
<file path=[Content_Types].xml><?xml version="1.0" encoding="utf-8"?>
<Types xmlns="http://schemas.openxmlformats.org/package/2006/content-types">
  <Default Extension="png" ContentType="image/png"/>
  <Default Extension="svg" ContentType="image/svg+xml"/>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DCEB" w14:textId="610E1021" w:rsidR="00E64489" w:rsidRPr="00737FF0" w:rsidRDefault="00E64489" w:rsidP="00E64489">
      <w:pPr>
        <w:pStyle w:val="Title"/>
        <w:rPr>
          <w:vertAlign w:val="subscript"/>
          <w:lang w:val="mk-MK"/>
        </w:rPr>
      </w:pPr>
    </w:p>
    <w:p w14:paraId="28FBA7EB" w14:textId="7C79A778" w:rsidR="00E64489" w:rsidRDefault="00E64489" w:rsidP="00E64489">
      <w:pPr>
        <w:pStyle w:val="Title"/>
        <w:jc w:val="center"/>
        <w:rPr>
          <w:lang w:val="mk-MK"/>
        </w:rPr>
      </w:pPr>
    </w:p>
    <w:p w14:paraId="000ECDFE" w14:textId="77777777" w:rsidR="00E64489" w:rsidRDefault="00E64489" w:rsidP="00E64489">
      <w:pPr>
        <w:pStyle w:val="Title"/>
        <w:jc w:val="center"/>
        <w:rPr>
          <w:lang w:val="mk-MK"/>
        </w:rPr>
      </w:pPr>
    </w:p>
    <w:p w14:paraId="7100295F" w14:textId="77777777" w:rsidR="00E64489" w:rsidRDefault="00E64489" w:rsidP="00E64489">
      <w:pPr>
        <w:pStyle w:val="Title"/>
        <w:jc w:val="center"/>
        <w:rPr>
          <w:lang w:val="mk-MK"/>
        </w:rPr>
      </w:pPr>
    </w:p>
    <w:p w14:paraId="693E2A8F" w14:textId="77777777" w:rsidR="00E64489" w:rsidRDefault="00E64489" w:rsidP="00E64489">
      <w:pPr>
        <w:pStyle w:val="Title"/>
        <w:jc w:val="center"/>
        <w:rPr>
          <w:lang w:val="mk-MK"/>
        </w:rPr>
      </w:pPr>
    </w:p>
    <w:p w14:paraId="2E56FC46" w14:textId="389ED9E3" w:rsidR="00E64489" w:rsidRPr="00E64489" w:rsidRDefault="00E64489" w:rsidP="00E64489">
      <w:pPr>
        <w:pStyle w:val="Title"/>
        <w:jc w:val="center"/>
        <w:rPr>
          <w:b/>
          <w:bCs/>
          <w:sz w:val="48"/>
          <w:szCs w:val="48"/>
          <w:lang w:val="mk-MK"/>
        </w:rPr>
      </w:pPr>
      <w:r w:rsidRPr="00E64489">
        <w:rPr>
          <w:b/>
          <w:bCs/>
          <w:sz w:val="48"/>
          <w:szCs w:val="48"/>
          <w:lang w:val="mk-MK"/>
        </w:rPr>
        <w:t>Стратегија за реформа на јавната администрација 2023 – 2030</w:t>
      </w:r>
    </w:p>
    <w:p w14:paraId="069D2DB6" w14:textId="33E4BE0D" w:rsidR="00E64489" w:rsidRPr="00E64489" w:rsidRDefault="00E64489" w:rsidP="00E64489">
      <w:pPr>
        <w:pStyle w:val="Title"/>
        <w:jc w:val="center"/>
        <w:rPr>
          <w:b/>
          <w:bCs/>
          <w:sz w:val="48"/>
          <w:szCs w:val="48"/>
          <w:lang w:val="mk-MK"/>
        </w:rPr>
      </w:pPr>
      <w:r w:rsidRPr="00E64489">
        <w:rPr>
          <w:b/>
          <w:bCs/>
          <w:sz w:val="48"/>
          <w:szCs w:val="48"/>
          <w:lang w:val="mk-MK"/>
        </w:rPr>
        <w:t>со</w:t>
      </w:r>
    </w:p>
    <w:p w14:paraId="09707D68" w14:textId="23F461CF" w:rsidR="00FB5416" w:rsidRPr="00E64489" w:rsidRDefault="00E64489" w:rsidP="00E64489">
      <w:pPr>
        <w:pStyle w:val="Title"/>
        <w:jc w:val="center"/>
        <w:rPr>
          <w:b/>
          <w:bCs/>
          <w:sz w:val="48"/>
          <w:szCs w:val="48"/>
          <w:lang w:val="mk-MK"/>
        </w:rPr>
      </w:pPr>
      <w:r w:rsidRPr="00E64489">
        <w:rPr>
          <w:b/>
          <w:bCs/>
          <w:sz w:val="48"/>
          <w:szCs w:val="48"/>
          <w:lang w:val="mk-MK"/>
        </w:rPr>
        <w:t>Акциски план 2023 – 2026</w:t>
      </w:r>
    </w:p>
    <w:p w14:paraId="2EF32E5D" w14:textId="71591392" w:rsidR="00E64489" w:rsidRPr="00E64489" w:rsidRDefault="00E64489" w:rsidP="00E64489">
      <w:pPr>
        <w:rPr>
          <w:lang w:val="mk-MK"/>
        </w:rPr>
      </w:pPr>
    </w:p>
    <w:p w14:paraId="0150ABEC" w14:textId="0EE03529" w:rsidR="00E64489" w:rsidRDefault="00E64489" w:rsidP="00E64489">
      <w:pPr>
        <w:rPr>
          <w:lang w:val="mk-MK"/>
        </w:rPr>
      </w:pPr>
    </w:p>
    <w:p w14:paraId="4A6410C1" w14:textId="7BE39D8E" w:rsidR="00E64489" w:rsidRDefault="00E64489" w:rsidP="00E64489">
      <w:pPr>
        <w:rPr>
          <w:lang w:val="mk-MK"/>
        </w:rPr>
      </w:pPr>
    </w:p>
    <w:p w14:paraId="66204639" w14:textId="7F32D970" w:rsidR="00E64489" w:rsidRDefault="00E64489" w:rsidP="00E64489">
      <w:pPr>
        <w:rPr>
          <w:lang w:val="mk-MK"/>
        </w:rPr>
      </w:pPr>
    </w:p>
    <w:p w14:paraId="348351A1" w14:textId="266153B4" w:rsidR="00E64489" w:rsidRPr="00E64489" w:rsidRDefault="00E64489" w:rsidP="00E64489">
      <w:pPr>
        <w:jc w:val="center"/>
        <w:rPr>
          <w:b/>
          <w:bCs/>
          <w:sz w:val="28"/>
          <w:szCs w:val="28"/>
          <w:lang w:val="mk-MK"/>
        </w:rPr>
      </w:pPr>
      <w:r w:rsidRPr="00E64489">
        <w:rPr>
          <w:b/>
          <w:bCs/>
          <w:sz w:val="28"/>
          <w:szCs w:val="28"/>
          <w:lang w:val="mk-MK"/>
        </w:rPr>
        <w:t>Нацрт</w:t>
      </w:r>
    </w:p>
    <w:p w14:paraId="7ED4D8F5" w14:textId="46943487" w:rsidR="00E64489" w:rsidRDefault="00E64489" w:rsidP="00E64489">
      <w:pPr>
        <w:jc w:val="center"/>
        <w:rPr>
          <w:lang w:val="mk-MK"/>
        </w:rPr>
      </w:pPr>
    </w:p>
    <w:p w14:paraId="769F1A08" w14:textId="77777777" w:rsidR="00E64489" w:rsidRDefault="00E64489" w:rsidP="00E64489">
      <w:pPr>
        <w:jc w:val="center"/>
        <w:rPr>
          <w:b/>
          <w:bCs/>
          <w:sz w:val="24"/>
          <w:szCs w:val="24"/>
          <w:lang w:val="mk-MK"/>
        </w:rPr>
      </w:pPr>
    </w:p>
    <w:p w14:paraId="05F8023E" w14:textId="77777777" w:rsidR="00E64489" w:rsidRDefault="00E64489" w:rsidP="00E64489">
      <w:pPr>
        <w:jc w:val="center"/>
        <w:rPr>
          <w:b/>
          <w:bCs/>
          <w:sz w:val="24"/>
          <w:szCs w:val="24"/>
          <w:lang w:val="mk-MK"/>
        </w:rPr>
      </w:pPr>
    </w:p>
    <w:p w14:paraId="7B2E5DF9" w14:textId="77777777" w:rsidR="00E64489" w:rsidRDefault="00E64489" w:rsidP="00E64489">
      <w:pPr>
        <w:jc w:val="center"/>
        <w:rPr>
          <w:b/>
          <w:bCs/>
          <w:sz w:val="24"/>
          <w:szCs w:val="24"/>
          <w:lang w:val="mk-MK"/>
        </w:rPr>
      </w:pPr>
    </w:p>
    <w:p w14:paraId="4885A3C4" w14:textId="77777777" w:rsidR="00E64489" w:rsidRDefault="00E64489" w:rsidP="00E64489">
      <w:pPr>
        <w:jc w:val="center"/>
        <w:rPr>
          <w:b/>
          <w:bCs/>
          <w:sz w:val="24"/>
          <w:szCs w:val="24"/>
          <w:lang w:val="mk-MK"/>
        </w:rPr>
      </w:pPr>
    </w:p>
    <w:p w14:paraId="756144B1" w14:textId="77777777" w:rsidR="00E64489" w:rsidRDefault="00E64489" w:rsidP="00E64489">
      <w:pPr>
        <w:jc w:val="center"/>
        <w:rPr>
          <w:b/>
          <w:bCs/>
          <w:sz w:val="24"/>
          <w:szCs w:val="24"/>
          <w:lang w:val="mk-MK"/>
        </w:rPr>
      </w:pPr>
    </w:p>
    <w:p w14:paraId="082C387B" w14:textId="77777777" w:rsidR="00E64489" w:rsidRDefault="00E64489" w:rsidP="00E64489">
      <w:pPr>
        <w:jc w:val="center"/>
        <w:rPr>
          <w:b/>
          <w:bCs/>
          <w:sz w:val="24"/>
          <w:szCs w:val="24"/>
          <w:lang w:val="mk-MK"/>
        </w:rPr>
      </w:pPr>
    </w:p>
    <w:p w14:paraId="3EAFECE5" w14:textId="011C99E6" w:rsidR="00E64489" w:rsidRDefault="00C56181" w:rsidP="00AC68FC">
      <w:pPr>
        <w:jc w:val="center"/>
        <w:rPr>
          <w:b/>
          <w:bCs/>
          <w:sz w:val="24"/>
          <w:szCs w:val="24"/>
          <w:lang w:val="mk-MK"/>
        </w:rPr>
      </w:pPr>
      <w:r>
        <w:rPr>
          <w:b/>
          <w:bCs/>
          <w:sz w:val="24"/>
          <w:szCs w:val="24"/>
          <w:lang w:val="mk-MK"/>
        </w:rPr>
        <w:t>Јули</w:t>
      </w:r>
      <w:r w:rsidR="00E64489" w:rsidRPr="00E64489">
        <w:rPr>
          <w:b/>
          <w:bCs/>
          <w:sz w:val="24"/>
          <w:szCs w:val="24"/>
          <w:lang w:val="mk-MK"/>
        </w:rPr>
        <w:t xml:space="preserve"> 2023</w:t>
      </w:r>
    </w:p>
    <w:p w14:paraId="6F7DC609" w14:textId="47232CDF" w:rsidR="00E64489" w:rsidRDefault="00E64489" w:rsidP="00E64489">
      <w:pPr>
        <w:jc w:val="center"/>
        <w:rPr>
          <w:b/>
          <w:bCs/>
          <w:sz w:val="24"/>
          <w:szCs w:val="24"/>
          <w:lang w:val="mk-MK"/>
        </w:rPr>
      </w:pPr>
    </w:p>
    <w:p w14:paraId="3C0454C5" w14:textId="30E033C9" w:rsidR="00E64489" w:rsidRDefault="00E64489" w:rsidP="00E64489">
      <w:pPr>
        <w:rPr>
          <w:lang w:val="mk-MK"/>
        </w:rPr>
      </w:pPr>
    </w:p>
    <w:p w14:paraId="5610A105" w14:textId="56FE1621" w:rsidR="00E64489" w:rsidRDefault="00E64489" w:rsidP="00E64489">
      <w:pPr>
        <w:rPr>
          <w:lang w:val="mk-MK"/>
        </w:rPr>
      </w:pPr>
    </w:p>
    <w:p w14:paraId="6458BF27" w14:textId="77777777" w:rsidR="002A0990" w:rsidRPr="002A0990" w:rsidRDefault="002A0990" w:rsidP="002A0990">
      <w:pPr>
        <w:jc w:val="center"/>
        <w:rPr>
          <w:rFonts w:ascii="Calibri" w:eastAsia="Calibri" w:hAnsi="Calibri" w:cs="Times New Roman"/>
          <w:b/>
          <w:lang w:val="en-US"/>
        </w:rPr>
      </w:pPr>
      <w:r w:rsidRPr="002A0990">
        <w:rPr>
          <w:rFonts w:ascii="Calibri" w:eastAsia="Calibri" w:hAnsi="Calibri" w:cs="Times New Roman"/>
          <w:b/>
          <w:lang w:val="en-US"/>
        </w:rPr>
        <w:t>Листа на кратенки</w:t>
      </w:r>
    </w:p>
    <w:p w14:paraId="0A9B09E1" w14:textId="18578F8D" w:rsidR="00142DD3" w:rsidRDefault="00142DD3" w:rsidP="00E64489">
      <w:pPr>
        <w:rPr>
          <w:lang w:val="mk-MK"/>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02"/>
        <w:gridCol w:w="7942"/>
      </w:tblGrid>
      <w:tr w:rsidR="00185881" w14:paraId="6ED86D7A" w14:textId="77777777" w:rsidTr="001F11B5">
        <w:trPr>
          <w:tblCellSpacing w:w="20" w:type="dxa"/>
        </w:trPr>
        <w:tc>
          <w:tcPr>
            <w:tcW w:w="1345" w:type="dxa"/>
            <w:tcBorders>
              <w:bottom w:val="outset" w:sz="6" w:space="0" w:color="auto"/>
            </w:tcBorders>
          </w:tcPr>
          <w:p w14:paraId="64936314" w14:textId="77777777" w:rsidR="00185881" w:rsidRDefault="00185881" w:rsidP="00EC7C0D">
            <w:pPr>
              <w:rPr>
                <w:rFonts w:ascii="Calibri" w:eastAsia="Calibri" w:hAnsi="Calibri" w:cs="Times New Roman"/>
                <w:b/>
                <w:lang w:val="en-US"/>
              </w:rPr>
            </w:pPr>
            <w:r w:rsidRPr="002A0990">
              <w:rPr>
                <w:rFonts w:ascii="Calibri" w:eastAsia="Calibri" w:hAnsi="Calibri" w:cs="Times New Roman"/>
                <w:b/>
                <w:lang w:val="en-US"/>
              </w:rPr>
              <w:t xml:space="preserve">Кратенка  </w:t>
            </w:r>
            <w:r w:rsidRPr="002A0990">
              <w:rPr>
                <w:rFonts w:ascii="Calibri" w:eastAsia="Calibri" w:hAnsi="Calibri" w:cs="Times New Roman"/>
                <w:b/>
                <w:lang w:val="mk-MK"/>
              </w:rPr>
              <w:t xml:space="preserve">  </w:t>
            </w:r>
          </w:p>
        </w:tc>
        <w:tc>
          <w:tcPr>
            <w:tcW w:w="8005" w:type="dxa"/>
            <w:tcBorders>
              <w:bottom w:val="outset" w:sz="6" w:space="0" w:color="auto"/>
            </w:tcBorders>
          </w:tcPr>
          <w:p w14:paraId="054CD01C" w14:textId="4ADB93D8" w:rsidR="00185881" w:rsidRPr="00E33051" w:rsidRDefault="00185881" w:rsidP="00EC7C0D">
            <w:pPr>
              <w:rPr>
                <w:rFonts w:ascii="Calibri" w:eastAsia="Calibri" w:hAnsi="Calibri" w:cs="Times New Roman"/>
                <w:b/>
                <w:lang w:val="mk-MK"/>
              </w:rPr>
            </w:pPr>
            <w:r w:rsidRPr="002A0990">
              <w:rPr>
                <w:rFonts w:ascii="Calibri" w:eastAsia="Calibri" w:hAnsi="Calibri" w:cs="Times New Roman"/>
                <w:b/>
                <w:lang w:val="mk-MK"/>
              </w:rPr>
              <w:t xml:space="preserve">  </w:t>
            </w:r>
            <w:r w:rsidRPr="002A0990">
              <w:rPr>
                <w:rFonts w:ascii="Calibri" w:eastAsia="Calibri" w:hAnsi="Calibri" w:cs="Times New Roman"/>
                <w:b/>
                <w:lang w:val="en-US"/>
              </w:rPr>
              <w:t xml:space="preserve"> Значење</w:t>
            </w:r>
            <w:r w:rsidR="00E33051">
              <w:rPr>
                <w:rFonts w:ascii="Calibri" w:eastAsia="Calibri" w:hAnsi="Calibri" w:cs="Times New Roman"/>
                <w:b/>
                <w:lang w:val="mk-MK"/>
              </w:rPr>
              <w:t xml:space="preserve"> </w:t>
            </w:r>
          </w:p>
        </w:tc>
      </w:tr>
      <w:tr w:rsidR="00185881" w:rsidRPr="002A0990" w14:paraId="74A7F1AF" w14:textId="77777777" w:rsidTr="001F11B5">
        <w:trPr>
          <w:tblCellSpacing w:w="20" w:type="dxa"/>
        </w:trPr>
        <w:tc>
          <w:tcPr>
            <w:tcW w:w="1345" w:type="dxa"/>
            <w:tcBorders>
              <w:top w:val="nil"/>
              <w:left w:val="nil"/>
              <w:bottom w:val="nil"/>
              <w:right w:val="nil"/>
            </w:tcBorders>
          </w:tcPr>
          <w:p w14:paraId="7FECE112" w14:textId="77777777" w:rsidR="00185881" w:rsidRPr="002A0990" w:rsidRDefault="00185881" w:rsidP="00EC7C0D">
            <w:pPr>
              <w:rPr>
                <w:rFonts w:ascii="Calibri" w:eastAsia="Calibri" w:hAnsi="Calibri" w:cs="Times New Roman"/>
                <w:b/>
                <w:lang w:val="en-US"/>
              </w:rPr>
            </w:pPr>
          </w:p>
        </w:tc>
        <w:tc>
          <w:tcPr>
            <w:tcW w:w="8005" w:type="dxa"/>
            <w:tcBorders>
              <w:top w:val="nil"/>
              <w:left w:val="nil"/>
              <w:bottom w:val="nil"/>
              <w:right w:val="nil"/>
            </w:tcBorders>
          </w:tcPr>
          <w:p w14:paraId="3D836434" w14:textId="77777777" w:rsidR="00185881" w:rsidRPr="002A0990" w:rsidRDefault="00185881" w:rsidP="00EC7C0D">
            <w:pPr>
              <w:rPr>
                <w:rFonts w:ascii="Calibri" w:eastAsia="Calibri" w:hAnsi="Calibri" w:cs="Times New Roman"/>
                <w:b/>
                <w:lang w:val="mk-MK"/>
              </w:rPr>
            </w:pPr>
          </w:p>
        </w:tc>
      </w:tr>
      <w:tr w:rsidR="00185881" w:rsidRPr="002A0990" w14:paraId="67E2BC31" w14:textId="77777777" w:rsidTr="001F11B5">
        <w:trPr>
          <w:tblCellSpacing w:w="20" w:type="dxa"/>
        </w:trPr>
        <w:tc>
          <w:tcPr>
            <w:tcW w:w="1345" w:type="dxa"/>
          </w:tcPr>
          <w:p w14:paraId="69EFBBC3" w14:textId="77777777" w:rsidR="00185881" w:rsidRPr="002A0990"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АЗПСПИЈК</w:t>
            </w:r>
          </w:p>
        </w:tc>
        <w:tc>
          <w:tcPr>
            <w:tcW w:w="8005" w:type="dxa"/>
          </w:tcPr>
          <w:p w14:paraId="2D0304FA" w14:textId="77777777" w:rsidR="00185881" w:rsidRPr="002A0990" w:rsidRDefault="00185881" w:rsidP="00EC7C0D">
            <w:pPr>
              <w:spacing w:line="276" w:lineRule="auto"/>
              <w:rPr>
                <w:rFonts w:ascii="Calibri" w:eastAsia="Calibri" w:hAnsi="Calibri" w:cs="Times New Roman"/>
                <w:b/>
                <w:lang w:val="mk-MK"/>
              </w:rPr>
            </w:pPr>
            <w:r w:rsidRPr="002A0990">
              <w:rPr>
                <w:rFonts w:ascii="Calibri" w:eastAsia="Calibri" w:hAnsi="Calibri" w:cs="Times New Roman"/>
                <w:lang w:val="mk-MK"/>
              </w:rPr>
              <w:t xml:space="preserve">Агенција </w:t>
            </w:r>
            <w:r w:rsidRPr="002A0990">
              <w:rPr>
                <w:rFonts w:ascii="Calibri" w:eastAsia="Calibri" w:hAnsi="Calibri" w:cs="Times New Roman"/>
                <w:lang w:val="en-US"/>
              </w:rPr>
              <w:t xml:space="preserve"> за заштита на правото за слободен пристап до информации од јавен каракте</w:t>
            </w:r>
            <w:r w:rsidRPr="002A0990">
              <w:rPr>
                <w:rFonts w:ascii="Calibri" w:eastAsia="Calibri" w:hAnsi="Calibri" w:cs="Times New Roman"/>
                <w:lang w:val="mk-MK"/>
              </w:rPr>
              <w:t>р</w:t>
            </w:r>
          </w:p>
        </w:tc>
      </w:tr>
      <w:tr w:rsidR="001D1515" w:rsidRPr="002A0990" w14:paraId="48658287" w14:textId="77777777" w:rsidTr="001F11B5">
        <w:trPr>
          <w:tblCellSpacing w:w="20" w:type="dxa"/>
        </w:trPr>
        <w:tc>
          <w:tcPr>
            <w:tcW w:w="1345" w:type="dxa"/>
          </w:tcPr>
          <w:p w14:paraId="09E0B3D4" w14:textId="1ED62D76" w:rsidR="001D1515" w:rsidRPr="00142DD3" w:rsidRDefault="001D1515" w:rsidP="00EC7C0D">
            <w:pPr>
              <w:spacing w:line="276" w:lineRule="auto"/>
              <w:rPr>
                <w:rFonts w:ascii="Calibri" w:eastAsia="Calibri" w:hAnsi="Calibri" w:cs="Times New Roman"/>
                <w:b/>
                <w:lang w:val="en-US"/>
              </w:rPr>
            </w:pPr>
            <w:r>
              <w:rPr>
                <w:rFonts w:cstheme="minorHAnsi"/>
                <w:lang w:val="mk-MK"/>
              </w:rPr>
              <w:t>ЗСПИЈК</w:t>
            </w:r>
          </w:p>
        </w:tc>
        <w:tc>
          <w:tcPr>
            <w:tcW w:w="8005" w:type="dxa"/>
          </w:tcPr>
          <w:p w14:paraId="0C5F8B09" w14:textId="7CAADABC" w:rsidR="001D1515" w:rsidRPr="002A0990" w:rsidRDefault="001D1515" w:rsidP="001D1515">
            <w:pPr>
              <w:spacing w:line="276" w:lineRule="auto"/>
              <w:rPr>
                <w:rFonts w:ascii="Calibri" w:eastAsia="Calibri" w:hAnsi="Calibri" w:cs="Times New Roman"/>
                <w:lang w:val="mk-MK"/>
              </w:rPr>
            </w:pPr>
            <w:r>
              <w:rPr>
                <w:rFonts w:ascii="Calibri" w:eastAsia="Calibri" w:hAnsi="Calibri" w:cs="Times New Roman"/>
                <w:lang w:val="mk-MK"/>
              </w:rPr>
              <w:t xml:space="preserve">Закон за </w:t>
            </w:r>
            <w:r w:rsidRPr="002A0990">
              <w:rPr>
                <w:rFonts w:ascii="Calibri" w:eastAsia="Calibri" w:hAnsi="Calibri" w:cs="Times New Roman"/>
                <w:lang w:val="en-US"/>
              </w:rPr>
              <w:t>слободен пристап до информации од јавен каракте</w:t>
            </w:r>
            <w:r w:rsidRPr="002A0990">
              <w:rPr>
                <w:rFonts w:ascii="Calibri" w:eastAsia="Calibri" w:hAnsi="Calibri" w:cs="Times New Roman"/>
                <w:lang w:val="mk-MK"/>
              </w:rPr>
              <w:t>р</w:t>
            </w:r>
          </w:p>
        </w:tc>
      </w:tr>
      <w:tr w:rsidR="00185881" w:rsidRPr="002A0990" w14:paraId="15DAB3FE" w14:textId="77777777" w:rsidTr="001F11B5">
        <w:trPr>
          <w:tblCellSpacing w:w="20" w:type="dxa"/>
        </w:trPr>
        <w:tc>
          <w:tcPr>
            <w:tcW w:w="1345" w:type="dxa"/>
          </w:tcPr>
          <w:p w14:paraId="005A87AF"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ВР</w:t>
            </w:r>
            <w:r w:rsidRPr="00142DD3">
              <w:rPr>
                <w:rFonts w:ascii="Calibri" w:eastAsia="Calibri" w:hAnsi="Calibri" w:cs="Times New Roman"/>
                <w:b/>
                <w:lang w:val="mk-MK"/>
              </w:rPr>
              <w:t>С</w:t>
            </w:r>
            <w:r w:rsidRPr="00142DD3">
              <w:rPr>
                <w:rFonts w:ascii="Calibri" w:eastAsia="Calibri" w:hAnsi="Calibri" w:cs="Times New Roman"/>
                <w:b/>
                <w:lang w:val="en-US"/>
              </w:rPr>
              <w:t>М</w:t>
            </w:r>
          </w:p>
        </w:tc>
        <w:tc>
          <w:tcPr>
            <w:tcW w:w="8005" w:type="dxa"/>
          </w:tcPr>
          <w:p w14:paraId="2C13FCEC"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 xml:space="preserve">Влада на Република </w:t>
            </w:r>
            <w:r w:rsidRPr="002A0990">
              <w:rPr>
                <w:rFonts w:ascii="Calibri" w:eastAsia="Calibri" w:hAnsi="Calibri" w:cs="Times New Roman"/>
                <w:lang w:val="mk-MK"/>
              </w:rPr>
              <w:t xml:space="preserve">Северна </w:t>
            </w:r>
            <w:r w:rsidRPr="002A0990">
              <w:rPr>
                <w:rFonts w:ascii="Calibri" w:eastAsia="Calibri" w:hAnsi="Calibri" w:cs="Times New Roman"/>
                <w:lang w:val="en-US"/>
              </w:rPr>
              <w:t>Македонија</w:t>
            </w:r>
          </w:p>
        </w:tc>
      </w:tr>
      <w:tr w:rsidR="00185881" w:rsidRPr="002A0990" w14:paraId="4935264E" w14:textId="77777777" w:rsidTr="001F11B5">
        <w:trPr>
          <w:tblCellSpacing w:w="20" w:type="dxa"/>
        </w:trPr>
        <w:tc>
          <w:tcPr>
            <w:tcW w:w="1345" w:type="dxa"/>
          </w:tcPr>
          <w:p w14:paraId="0237D95D"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ГС</w:t>
            </w:r>
          </w:p>
        </w:tc>
        <w:tc>
          <w:tcPr>
            <w:tcW w:w="8005" w:type="dxa"/>
          </w:tcPr>
          <w:p w14:paraId="339A8034"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Генерален секретаријат на Владата на Република</w:t>
            </w:r>
            <w:r w:rsidRPr="002A0990">
              <w:rPr>
                <w:rFonts w:ascii="Calibri" w:eastAsia="Calibri" w:hAnsi="Calibri" w:cs="Times New Roman"/>
                <w:lang w:val="mk-MK"/>
              </w:rPr>
              <w:t xml:space="preserve"> Северна </w:t>
            </w:r>
            <w:r w:rsidRPr="002A0990">
              <w:rPr>
                <w:rFonts w:ascii="Calibri" w:eastAsia="Calibri" w:hAnsi="Calibri" w:cs="Times New Roman"/>
                <w:lang w:val="en-US"/>
              </w:rPr>
              <w:t>Македонија</w:t>
            </w:r>
          </w:p>
        </w:tc>
      </w:tr>
      <w:tr w:rsidR="00185881" w:rsidRPr="002A0990" w14:paraId="56BD9BF1" w14:textId="77777777" w:rsidTr="001F11B5">
        <w:trPr>
          <w:tblCellSpacing w:w="20" w:type="dxa"/>
        </w:trPr>
        <w:tc>
          <w:tcPr>
            <w:tcW w:w="1345" w:type="dxa"/>
          </w:tcPr>
          <w:p w14:paraId="170B5FE5"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ГПРВ</w:t>
            </w:r>
          </w:p>
        </w:tc>
        <w:tc>
          <w:tcPr>
            <w:tcW w:w="8005" w:type="dxa"/>
          </w:tcPr>
          <w:p w14:paraId="2A6A9AB3" w14:textId="590A188D"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Годишната програма за работа на Владата</w:t>
            </w:r>
            <w:r w:rsidR="001F11B5" w:rsidRPr="002A0990">
              <w:rPr>
                <w:rFonts w:ascii="Calibri" w:eastAsia="Calibri" w:hAnsi="Calibri" w:cs="Times New Roman"/>
                <w:lang w:val="en-US"/>
              </w:rPr>
              <w:t xml:space="preserve"> на Република</w:t>
            </w:r>
            <w:r w:rsidR="001F11B5" w:rsidRPr="002A0990">
              <w:rPr>
                <w:rFonts w:ascii="Calibri" w:eastAsia="Calibri" w:hAnsi="Calibri" w:cs="Times New Roman"/>
                <w:lang w:val="mk-MK"/>
              </w:rPr>
              <w:t xml:space="preserve"> Северна </w:t>
            </w:r>
            <w:r w:rsidR="001F11B5" w:rsidRPr="002A0990">
              <w:rPr>
                <w:rFonts w:ascii="Calibri" w:eastAsia="Calibri" w:hAnsi="Calibri" w:cs="Times New Roman"/>
                <w:lang w:val="en-US"/>
              </w:rPr>
              <w:t>Македонија</w:t>
            </w:r>
          </w:p>
        </w:tc>
      </w:tr>
      <w:tr w:rsidR="00185881" w:rsidRPr="002A0990" w14:paraId="04588E08" w14:textId="77777777" w:rsidTr="001F11B5">
        <w:trPr>
          <w:tblCellSpacing w:w="20" w:type="dxa"/>
        </w:trPr>
        <w:tc>
          <w:tcPr>
            <w:tcW w:w="1345" w:type="dxa"/>
          </w:tcPr>
          <w:p w14:paraId="4314615D"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mk-MK"/>
              </w:rPr>
              <w:t>ДКСК</w:t>
            </w:r>
          </w:p>
        </w:tc>
        <w:tc>
          <w:tcPr>
            <w:tcW w:w="8005" w:type="dxa"/>
          </w:tcPr>
          <w:p w14:paraId="7FE80D70"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mk-MK"/>
              </w:rPr>
              <w:t>Државна комисија за спречување на корупцијата</w:t>
            </w:r>
          </w:p>
        </w:tc>
      </w:tr>
      <w:tr w:rsidR="00185881" w:rsidRPr="002A0990" w14:paraId="54DF0FCB" w14:textId="77777777" w:rsidTr="001F11B5">
        <w:trPr>
          <w:tblCellSpacing w:w="20" w:type="dxa"/>
        </w:trPr>
        <w:tc>
          <w:tcPr>
            <w:tcW w:w="1345" w:type="dxa"/>
          </w:tcPr>
          <w:p w14:paraId="544D84A0"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mk-MK"/>
              </w:rPr>
              <w:t>ДМС</w:t>
            </w:r>
          </w:p>
        </w:tc>
        <w:tc>
          <w:tcPr>
            <w:tcW w:w="8005" w:type="dxa"/>
          </w:tcPr>
          <w:p w14:paraId="3CE5BF0C"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mk-MK"/>
              </w:rPr>
              <w:t>Систем за електронско менаџирање на документи</w:t>
            </w:r>
          </w:p>
        </w:tc>
      </w:tr>
      <w:tr w:rsidR="00185881" w:rsidRPr="002A0990" w14:paraId="58FCD370" w14:textId="77777777" w:rsidTr="001F11B5">
        <w:trPr>
          <w:tblCellSpacing w:w="20" w:type="dxa"/>
        </w:trPr>
        <w:tc>
          <w:tcPr>
            <w:tcW w:w="1345" w:type="dxa"/>
          </w:tcPr>
          <w:p w14:paraId="0C6DAFD2"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ЕНЕР</w:t>
            </w:r>
          </w:p>
        </w:tc>
        <w:tc>
          <w:tcPr>
            <w:tcW w:w="8005" w:type="dxa"/>
          </w:tcPr>
          <w:p w14:paraId="66FED34B"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Единствен национален електронски регистар на прописи</w:t>
            </w:r>
          </w:p>
        </w:tc>
      </w:tr>
      <w:tr w:rsidR="00185881" w:rsidRPr="002A0990" w14:paraId="67B56BF7" w14:textId="77777777" w:rsidTr="001F11B5">
        <w:trPr>
          <w:tblCellSpacing w:w="20" w:type="dxa"/>
        </w:trPr>
        <w:tc>
          <w:tcPr>
            <w:tcW w:w="1345" w:type="dxa"/>
          </w:tcPr>
          <w:p w14:paraId="76485ECE"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ЕУ</w:t>
            </w:r>
          </w:p>
        </w:tc>
        <w:tc>
          <w:tcPr>
            <w:tcW w:w="8005" w:type="dxa"/>
          </w:tcPr>
          <w:p w14:paraId="5169ECFC"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Европска Унија</w:t>
            </w:r>
          </w:p>
        </w:tc>
      </w:tr>
      <w:tr w:rsidR="00185881" w:rsidRPr="002A0990" w14:paraId="0D1404D3" w14:textId="77777777" w:rsidTr="001F11B5">
        <w:trPr>
          <w:tblCellSpacing w:w="20" w:type="dxa"/>
        </w:trPr>
        <w:tc>
          <w:tcPr>
            <w:tcW w:w="1345" w:type="dxa"/>
          </w:tcPr>
          <w:p w14:paraId="35FBDC91"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ЗАС</w:t>
            </w:r>
          </w:p>
        </w:tc>
        <w:tc>
          <w:tcPr>
            <w:tcW w:w="8005" w:type="dxa"/>
          </w:tcPr>
          <w:p w14:paraId="1A49677E"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Закон за административни службеници</w:t>
            </w:r>
          </w:p>
        </w:tc>
      </w:tr>
      <w:tr w:rsidR="00185881" w:rsidRPr="002A0990" w14:paraId="35B25938" w14:textId="77777777" w:rsidTr="001F11B5">
        <w:trPr>
          <w:tblCellSpacing w:w="20" w:type="dxa"/>
        </w:trPr>
        <w:tc>
          <w:tcPr>
            <w:tcW w:w="1345" w:type="dxa"/>
          </w:tcPr>
          <w:p w14:paraId="5409C108"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ЗВЈС</w:t>
            </w:r>
          </w:p>
        </w:tc>
        <w:tc>
          <w:tcPr>
            <w:tcW w:w="8005" w:type="dxa"/>
          </w:tcPr>
          <w:p w14:paraId="153F3A75" w14:textId="77777777" w:rsidR="00185881" w:rsidRPr="002A0990"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Закон за вработените во јавниот сектор</w:t>
            </w:r>
          </w:p>
        </w:tc>
      </w:tr>
      <w:tr w:rsidR="00185881" w:rsidRPr="002A0990" w14:paraId="282CD7EB" w14:textId="77777777" w:rsidTr="001F11B5">
        <w:trPr>
          <w:tblCellSpacing w:w="20" w:type="dxa"/>
        </w:trPr>
        <w:tc>
          <w:tcPr>
            <w:tcW w:w="1345" w:type="dxa"/>
          </w:tcPr>
          <w:p w14:paraId="16159476"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ЗОРОДУ</w:t>
            </w:r>
          </w:p>
        </w:tc>
        <w:tc>
          <w:tcPr>
            <w:tcW w:w="8005" w:type="dxa"/>
          </w:tcPr>
          <w:p w14:paraId="54ED218C"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Закон за организација и работа на органите на државна управа</w:t>
            </w:r>
          </w:p>
        </w:tc>
      </w:tr>
      <w:tr w:rsidR="00185881" w:rsidRPr="002A0990" w14:paraId="6F282CEC" w14:textId="77777777" w:rsidTr="001F11B5">
        <w:trPr>
          <w:tblCellSpacing w:w="20" w:type="dxa"/>
        </w:trPr>
        <w:tc>
          <w:tcPr>
            <w:tcW w:w="1345" w:type="dxa"/>
          </w:tcPr>
          <w:p w14:paraId="5B6426F7"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ЗОУП</w:t>
            </w:r>
          </w:p>
        </w:tc>
        <w:tc>
          <w:tcPr>
            <w:tcW w:w="8005" w:type="dxa"/>
          </w:tcPr>
          <w:p w14:paraId="2C37AE58"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Закон за општата управна постапка</w:t>
            </w:r>
          </w:p>
        </w:tc>
      </w:tr>
      <w:tr w:rsidR="00185881" w:rsidRPr="002A0990" w14:paraId="0053FF5E" w14:textId="77777777" w:rsidTr="001F11B5">
        <w:trPr>
          <w:tblCellSpacing w:w="20" w:type="dxa"/>
        </w:trPr>
        <w:tc>
          <w:tcPr>
            <w:tcW w:w="1345" w:type="dxa"/>
          </w:tcPr>
          <w:p w14:paraId="73505A75"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ЗПВРСМ</w:t>
            </w:r>
          </w:p>
        </w:tc>
        <w:tc>
          <w:tcPr>
            <w:tcW w:w="8005" w:type="dxa"/>
          </w:tcPr>
          <w:p w14:paraId="6CAB3D1A"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Заменичка</w:t>
            </w:r>
            <w:r w:rsidRPr="002A0990">
              <w:rPr>
                <w:rFonts w:ascii="Calibri" w:eastAsia="Calibri" w:hAnsi="Calibri" w:cs="Times New Roman"/>
                <w:lang w:val="mk-MK"/>
              </w:rPr>
              <w:t xml:space="preserve"> </w:t>
            </w:r>
            <w:r w:rsidRPr="002A0990">
              <w:rPr>
                <w:rFonts w:ascii="Calibri" w:eastAsia="Calibri" w:hAnsi="Calibri" w:cs="Times New Roman"/>
                <w:lang w:val="en-US"/>
              </w:rPr>
              <w:t>на претседателот на Владата</w:t>
            </w:r>
          </w:p>
        </w:tc>
      </w:tr>
      <w:tr w:rsidR="00185881" w:rsidRPr="002A0990" w14:paraId="2B8BC3C2" w14:textId="77777777" w:rsidTr="001F11B5">
        <w:trPr>
          <w:tblCellSpacing w:w="20" w:type="dxa"/>
        </w:trPr>
        <w:tc>
          <w:tcPr>
            <w:tcW w:w="1345" w:type="dxa"/>
          </w:tcPr>
          <w:p w14:paraId="3178626F"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ИКТ</w:t>
            </w:r>
          </w:p>
        </w:tc>
        <w:tc>
          <w:tcPr>
            <w:tcW w:w="8005" w:type="dxa"/>
          </w:tcPr>
          <w:p w14:paraId="72651962"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Информациско комуникациски технологии</w:t>
            </w:r>
          </w:p>
        </w:tc>
      </w:tr>
      <w:tr w:rsidR="00185881" w:rsidRPr="002A0990" w14:paraId="7F8D0AAC" w14:textId="77777777" w:rsidTr="001F11B5">
        <w:trPr>
          <w:tblCellSpacing w:w="20" w:type="dxa"/>
        </w:trPr>
        <w:tc>
          <w:tcPr>
            <w:tcW w:w="1345" w:type="dxa"/>
          </w:tcPr>
          <w:p w14:paraId="2BE1A665"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ИСУЧР</w:t>
            </w:r>
          </w:p>
        </w:tc>
        <w:tc>
          <w:tcPr>
            <w:tcW w:w="8005" w:type="dxa"/>
          </w:tcPr>
          <w:p w14:paraId="0AB93E05"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Информационен систем за управување со човечки ресурси</w:t>
            </w:r>
          </w:p>
        </w:tc>
      </w:tr>
      <w:tr w:rsidR="00185881" w:rsidRPr="002A0990" w14:paraId="70B020D8" w14:textId="77777777" w:rsidTr="001F11B5">
        <w:trPr>
          <w:tblCellSpacing w:w="20" w:type="dxa"/>
        </w:trPr>
        <w:tc>
          <w:tcPr>
            <w:tcW w:w="1345" w:type="dxa"/>
          </w:tcPr>
          <w:p w14:paraId="60DF65EA"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ЛМС</w:t>
            </w:r>
          </w:p>
        </w:tc>
        <w:tc>
          <w:tcPr>
            <w:tcW w:w="8005" w:type="dxa"/>
          </w:tcPr>
          <w:p w14:paraId="75559E8B" w14:textId="77777777" w:rsidR="00185881" w:rsidRPr="002A0990" w:rsidRDefault="00185881" w:rsidP="00EC7C0D">
            <w:pPr>
              <w:spacing w:line="276" w:lineRule="auto"/>
              <w:rPr>
                <w:rFonts w:ascii="Calibri" w:eastAsia="Calibri" w:hAnsi="Calibri" w:cs="Times New Roman"/>
                <w:lang w:val="en-US"/>
              </w:rPr>
            </w:pPr>
            <w:r>
              <w:rPr>
                <w:rFonts w:ascii="Calibri" w:eastAsia="Calibri" w:hAnsi="Calibri" w:cs="Times New Roman"/>
                <w:lang w:val="en-US"/>
              </w:rPr>
              <w:t>E</w:t>
            </w:r>
            <w:r w:rsidRPr="002A0990">
              <w:rPr>
                <w:rFonts w:ascii="Calibri" w:eastAsia="Calibri" w:hAnsi="Calibri" w:cs="Times New Roman"/>
                <w:lang w:val="en-US"/>
              </w:rPr>
              <w:t>лектронски систем за управување со учењето</w:t>
            </w:r>
          </w:p>
        </w:tc>
      </w:tr>
      <w:tr w:rsidR="00185881" w:rsidRPr="002A0990" w14:paraId="67BAD6CB" w14:textId="77777777" w:rsidTr="001F11B5">
        <w:trPr>
          <w:tblCellSpacing w:w="20" w:type="dxa"/>
        </w:trPr>
        <w:tc>
          <w:tcPr>
            <w:tcW w:w="1345" w:type="dxa"/>
          </w:tcPr>
          <w:p w14:paraId="2FE90378"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МИОА</w:t>
            </w:r>
          </w:p>
        </w:tc>
        <w:tc>
          <w:tcPr>
            <w:tcW w:w="8005" w:type="dxa"/>
          </w:tcPr>
          <w:p w14:paraId="1936D5F5"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Министерство за информатичко општество и администрација</w:t>
            </w:r>
          </w:p>
        </w:tc>
      </w:tr>
      <w:tr w:rsidR="00185881" w:rsidRPr="002A0990" w14:paraId="382F9B9F" w14:textId="77777777" w:rsidTr="001F11B5">
        <w:trPr>
          <w:tblCellSpacing w:w="20" w:type="dxa"/>
        </w:trPr>
        <w:tc>
          <w:tcPr>
            <w:tcW w:w="1345" w:type="dxa"/>
          </w:tcPr>
          <w:p w14:paraId="05CF0BD5"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МФ</w:t>
            </w:r>
          </w:p>
        </w:tc>
        <w:tc>
          <w:tcPr>
            <w:tcW w:w="8005" w:type="dxa"/>
          </w:tcPr>
          <w:p w14:paraId="730594EF"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Министерство за финансии</w:t>
            </w:r>
          </w:p>
        </w:tc>
      </w:tr>
      <w:tr w:rsidR="00185881" w:rsidRPr="001D60BD" w14:paraId="54CF9878" w14:textId="77777777" w:rsidTr="001F11B5">
        <w:trPr>
          <w:tblCellSpacing w:w="20" w:type="dxa"/>
        </w:trPr>
        <w:tc>
          <w:tcPr>
            <w:tcW w:w="1345" w:type="dxa"/>
          </w:tcPr>
          <w:p w14:paraId="1571F3E9"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НПАА</w:t>
            </w:r>
          </w:p>
        </w:tc>
        <w:tc>
          <w:tcPr>
            <w:tcW w:w="8005" w:type="dxa"/>
          </w:tcPr>
          <w:p w14:paraId="4FA7009E" w14:textId="77777777" w:rsidR="00185881" w:rsidRPr="001D60BD" w:rsidRDefault="00185881" w:rsidP="00EC7C0D">
            <w:pPr>
              <w:spacing w:line="276" w:lineRule="auto"/>
              <w:rPr>
                <w:rFonts w:ascii="Calibri" w:eastAsia="Calibri" w:hAnsi="Calibri" w:cs="Times New Roman"/>
                <w:lang w:val="mk-MK"/>
              </w:rPr>
            </w:pPr>
            <w:r w:rsidRPr="002A0990">
              <w:rPr>
                <w:rFonts w:ascii="Calibri" w:eastAsia="Calibri" w:hAnsi="Calibri" w:cs="Times New Roman"/>
                <w:lang w:val="en-US"/>
              </w:rPr>
              <w:t xml:space="preserve">Национална програма за усвојување на </w:t>
            </w:r>
            <w:r w:rsidRPr="002A0990">
              <w:rPr>
                <w:rFonts w:ascii="Calibri" w:eastAsia="Calibri" w:hAnsi="Calibri" w:cs="Times New Roman"/>
                <w:lang w:val="mk-MK"/>
              </w:rPr>
              <w:t>правото на ЕУ</w:t>
            </w:r>
          </w:p>
        </w:tc>
      </w:tr>
      <w:tr w:rsidR="00185881" w:rsidRPr="002A0990" w14:paraId="69B9966D" w14:textId="77777777" w:rsidTr="001F11B5">
        <w:trPr>
          <w:tblCellSpacing w:w="20" w:type="dxa"/>
        </w:trPr>
        <w:tc>
          <w:tcPr>
            <w:tcW w:w="1345" w:type="dxa"/>
          </w:tcPr>
          <w:p w14:paraId="3B192316"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ПВР</w:t>
            </w:r>
          </w:p>
        </w:tc>
        <w:tc>
          <w:tcPr>
            <w:tcW w:w="8005" w:type="dxa"/>
          </w:tcPr>
          <w:p w14:paraId="4E63E79F"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Проценка на влијание на регулативата</w:t>
            </w:r>
          </w:p>
        </w:tc>
      </w:tr>
      <w:tr w:rsidR="00185881" w:rsidRPr="002A0990" w14:paraId="054E70BB" w14:textId="77777777" w:rsidTr="001F11B5">
        <w:trPr>
          <w:tblCellSpacing w:w="20" w:type="dxa"/>
        </w:trPr>
        <w:tc>
          <w:tcPr>
            <w:tcW w:w="1345" w:type="dxa"/>
          </w:tcPr>
          <w:p w14:paraId="0FCCC15F"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mk-MK"/>
              </w:rPr>
              <w:t>РеСПА</w:t>
            </w:r>
          </w:p>
        </w:tc>
        <w:tc>
          <w:tcPr>
            <w:tcW w:w="8005" w:type="dxa"/>
          </w:tcPr>
          <w:p w14:paraId="3D2310F6"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mk-MK"/>
              </w:rPr>
              <w:t>Регионална школа за јавна администрација</w:t>
            </w:r>
          </w:p>
        </w:tc>
      </w:tr>
      <w:tr w:rsidR="00185881" w:rsidRPr="002A0990" w14:paraId="59984ACE" w14:textId="77777777" w:rsidTr="001F11B5">
        <w:trPr>
          <w:tblCellSpacing w:w="20" w:type="dxa"/>
        </w:trPr>
        <w:tc>
          <w:tcPr>
            <w:tcW w:w="1345" w:type="dxa"/>
          </w:tcPr>
          <w:p w14:paraId="2D4774BA"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РЈА</w:t>
            </w:r>
          </w:p>
        </w:tc>
        <w:tc>
          <w:tcPr>
            <w:tcW w:w="8005" w:type="dxa"/>
          </w:tcPr>
          <w:p w14:paraId="2955BF4A"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Реформа на јавна администрација</w:t>
            </w:r>
          </w:p>
        </w:tc>
      </w:tr>
      <w:tr w:rsidR="00185881" w:rsidRPr="002A0990" w14:paraId="3C911E16" w14:textId="77777777" w:rsidTr="001F11B5">
        <w:trPr>
          <w:tblCellSpacing w:w="20" w:type="dxa"/>
        </w:trPr>
        <w:tc>
          <w:tcPr>
            <w:tcW w:w="1345" w:type="dxa"/>
          </w:tcPr>
          <w:p w14:paraId="427AA145"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СЕП</w:t>
            </w:r>
          </w:p>
        </w:tc>
        <w:tc>
          <w:tcPr>
            <w:tcW w:w="8005" w:type="dxa"/>
          </w:tcPr>
          <w:p w14:paraId="7589A523"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Секретаријат за европски прашања</w:t>
            </w:r>
          </w:p>
        </w:tc>
      </w:tr>
      <w:tr w:rsidR="00185881" w:rsidRPr="002A0990" w14:paraId="52779CD2" w14:textId="77777777" w:rsidTr="001F11B5">
        <w:trPr>
          <w:tblCellSpacing w:w="20" w:type="dxa"/>
        </w:trPr>
        <w:tc>
          <w:tcPr>
            <w:tcW w:w="1345" w:type="dxa"/>
          </w:tcPr>
          <w:p w14:paraId="263BFAE6"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СЗ</w:t>
            </w:r>
          </w:p>
        </w:tc>
        <w:tc>
          <w:tcPr>
            <w:tcW w:w="8005" w:type="dxa"/>
          </w:tcPr>
          <w:p w14:paraId="66151947" w14:textId="0BA94B25"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Секретаријат за законодавство</w:t>
            </w:r>
            <w:r w:rsidR="001F11B5" w:rsidRPr="002A0990">
              <w:rPr>
                <w:rFonts w:ascii="Calibri" w:eastAsia="Calibri" w:hAnsi="Calibri" w:cs="Times New Roman"/>
                <w:lang w:val="en-US"/>
              </w:rPr>
              <w:t xml:space="preserve"> на Владата на Република</w:t>
            </w:r>
            <w:r w:rsidR="001F11B5" w:rsidRPr="002A0990">
              <w:rPr>
                <w:rFonts w:ascii="Calibri" w:eastAsia="Calibri" w:hAnsi="Calibri" w:cs="Times New Roman"/>
                <w:lang w:val="mk-MK"/>
              </w:rPr>
              <w:t xml:space="preserve"> Северна </w:t>
            </w:r>
            <w:r w:rsidR="001F11B5" w:rsidRPr="002A0990">
              <w:rPr>
                <w:rFonts w:ascii="Calibri" w:eastAsia="Calibri" w:hAnsi="Calibri" w:cs="Times New Roman"/>
                <w:lang w:val="en-US"/>
              </w:rPr>
              <w:t>Македонија</w:t>
            </w:r>
          </w:p>
        </w:tc>
      </w:tr>
      <w:tr w:rsidR="00E368F5" w:rsidRPr="002A0990" w14:paraId="0D690EF5" w14:textId="77777777" w:rsidTr="001F11B5">
        <w:trPr>
          <w:tblCellSpacing w:w="20" w:type="dxa"/>
        </w:trPr>
        <w:tc>
          <w:tcPr>
            <w:tcW w:w="1345" w:type="dxa"/>
          </w:tcPr>
          <w:p w14:paraId="734E473E" w14:textId="3096ADAD" w:rsidR="00E368F5" w:rsidRPr="00E368F5" w:rsidRDefault="00E368F5" w:rsidP="00EC7C0D">
            <w:pPr>
              <w:spacing w:line="276" w:lineRule="auto"/>
              <w:rPr>
                <w:rFonts w:ascii="Calibri" w:eastAsia="Calibri" w:hAnsi="Calibri" w:cs="Times New Roman"/>
                <w:b/>
                <w:lang w:val="mk-MK"/>
              </w:rPr>
            </w:pPr>
            <w:r>
              <w:rPr>
                <w:rFonts w:ascii="Calibri" w:eastAsia="Calibri" w:hAnsi="Calibri" w:cs="Times New Roman"/>
                <w:b/>
                <w:lang w:val="mk-MK"/>
              </w:rPr>
              <w:t>СРСМ</w:t>
            </w:r>
          </w:p>
        </w:tc>
        <w:tc>
          <w:tcPr>
            <w:tcW w:w="8005" w:type="dxa"/>
          </w:tcPr>
          <w:p w14:paraId="1D1017AD" w14:textId="0A189C7C" w:rsidR="00E368F5" w:rsidRPr="00E368F5" w:rsidRDefault="00E368F5" w:rsidP="00EC7C0D">
            <w:pPr>
              <w:spacing w:line="276" w:lineRule="auto"/>
              <w:rPr>
                <w:rFonts w:ascii="Calibri" w:eastAsia="Calibri" w:hAnsi="Calibri" w:cs="Times New Roman"/>
                <w:lang w:val="mk-MK"/>
              </w:rPr>
            </w:pPr>
            <w:r>
              <w:rPr>
                <w:rFonts w:ascii="Calibri" w:eastAsia="Calibri" w:hAnsi="Calibri" w:cs="Times New Roman"/>
                <w:lang w:val="mk-MK"/>
              </w:rPr>
              <w:t xml:space="preserve">Собрание на </w:t>
            </w:r>
            <w:r w:rsidRPr="002A0990">
              <w:rPr>
                <w:rFonts w:ascii="Calibri" w:eastAsia="Calibri" w:hAnsi="Calibri" w:cs="Times New Roman"/>
                <w:lang w:val="en-US"/>
              </w:rPr>
              <w:t>Република</w:t>
            </w:r>
            <w:r w:rsidRPr="002A0990">
              <w:rPr>
                <w:rFonts w:ascii="Calibri" w:eastAsia="Calibri" w:hAnsi="Calibri" w:cs="Times New Roman"/>
                <w:lang w:val="mk-MK"/>
              </w:rPr>
              <w:t xml:space="preserve"> Северна </w:t>
            </w:r>
            <w:r w:rsidRPr="002A0990">
              <w:rPr>
                <w:rFonts w:ascii="Calibri" w:eastAsia="Calibri" w:hAnsi="Calibri" w:cs="Times New Roman"/>
                <w:lang w:val="en-US"/>
              </w:rPr>
              <w:t>Македонија</w:t>
            </w:r>
          </w:p>
        </w:tc>
      </w:tr>
      <w:tr w:rsidR="00E368F5" w:rsidRPr="002A0990" w14:paraId="7A542441" w14:textId="77777777" w:rsidTr="001F11B5">
        <w:trPr>
          <w:tblCellSpacing w:w="20" w:type="dxa"/>
        </w:trPr>
        <w:tc>
          <w:tcPr>
            <w:tcW w:w="1345" w:type="dxa"/>
          </w:tcPr>
          <w:p w14:paraId="77605352" w14:textId="51C7A2D3" w:rsidR="00E368F5" w:rsidRPr="00E368F5" w:rsidRDefault="00E368F5" w:rsidP="00EC7C0D">
            <w:pPr>
              <w:spacing w:line="276" w:lineRule="auto"/>
              <w:rPr>
                <w:rFonts w:ascii="Calibri" w:eastAsia="Calibri" w:hAnsi="Calibri" w:cs="Times New Roman"/>
                <w:b/>
                <w:lang w:val="mk-MK"/>
              </w:rPr>
            </w:pPr>
            <w:r>
              <w:rPr>
                <w:rFonts w:ascii="Calibri" w:eastAsia="Calibri" w:hAnsi="Calibri" w:cs="Times New Roman"/>
                <w:b/>
                <w:lang w:val="mk-MK"/>
              </w:rPr>
              <w:t>МКД</w:t>
            </w:r>
          </w:p>
        </w:tc>
        <w:tc>
          <w:tcPr>
            <w:tcW w:w="8005" w:type="dxa"/>
          </w:tcPr>
          <w:p w14:paraId="45697902" w14:textId="7EC7B476" w:rsidR="00E368F5" w:rsidRPr="002A0990" w:rsidRDefault="00E368F5" w:rsidP="00EC7C0D">
            <w:pPr>
              <w:spacing w:line="276" w:lineRule="auto"/>
              <w:rPr>
                <w:rFonts w:ascii="Calibri" w:eastAsia="Calibri" w:hAnsi="Calibri" w:cs="Times New Roman"/>
                <w:lang w:val="en-US"/>
              </w:rPr>
            </w:pPr>
            <w:r w:rsidRPr="002A0990">
              <w:rPr>
                <w:rFonts w:ascii="Calibri" w:eastAsia="Calibri" w:hAnsi="Calibri" w:cs="Times New Roman"/>
                <w:lang w:val="en-US"/>
              </w:rPr>
              <w:t>Република</w:t>
            </w:r>
            <w:r w:rsidRPr="002A0990">
              <w:rPr>
                <w:rFonts w:ascii="Calibri" w:eastAsia="Calibri" w:hAnsi="Calibri" w:cs="Times New Roman"/>
                <w:lang w:val="mk-MK"/>
              </w:rPr>
              <w:t xml:space="preserve"> Северна </w:t>
            </w:r>
            <w:r w:rsidRPr="002A0990">
              <w:rPr>
                <w:rFonts w:ascii="Calibri" w:eastAsia="Calibri" w:hAnsi="Calibri" w:cs="Times New Roman"/>
                <w:lang w:val="en-US"/>
              </w:rPr>
              <w:t>Македонија</w:t>
            </w:r>
          </w:p>
        </w:tc>
      </w:tr>
      <w:tr w:rsidR="00C56181" w:rsidRPr="002A0990" w14:paraId="1FEF2FE9" w14:textId="77777777" w:rsidTr="001F11B5">
        <w:trPr>
          <w:tblCellSpacing w:w="20" w:type="dxa"/>
        </w:trPr>
        <w:tc>
          <w:tcPr>
            <w:tcW w:w="1345" w:type="dxa"/>
          </w:tcPr>
          <w:p w14:paraId="3A867DEB" w14:textId="229B6C9D" w:rsidR="00C56181" w:rsidRDefault="00C56181" w:rsidP="00EC7C0D">
            <w:pPr>
              <w:spacing w:line="276" w:lineRule="auto"/>
              <w:rPr>
                <w:rFonts w:ascii="Calibri" w:eastAsia="Calibri" w:hAnsi="Calibri" w:cs="Times New Roman"/>
                <w:b/>
                <w:lang w:val="mk-MK"/>
              </w:rPr>
            </w:pPr>
            <w:r>
              <w:rPr>
                <w:rFonts w:ascii="Calibri" w:eastAsia="Calibri" w:hAnsi="Calibri" w:cs="Times New Roman"/>
                <w:b/>
                <w:lang w:val="mk-MK"/>
              </w:rPr>
              <w:lastRenderedPageBreak/>
              <w:t>МЛС</w:t>
            </w:r>
          </w:p>
        </w:tc>
        <w:tc>
          <w:tcPr>
            <w:tcW w:w="8005" w:type="dxa"/>
          </w:tcPr>
          <w:p w14:paraId="549980CE" w14:textId="0CD258DD" w:rsidR="00C56181" w:rsidRPr="00C56181" w:rsidRDefault="00C56181" w:rsidP="00EC7C0D">
            <w:pPr>
              <w:spacing w:line="276" w:lineRule="auto"/>
              <w:rPr>
                <w:rFonts w:ascii="Calibri" w:eastAsia="Calibri" w:hAnsi="Calibri" w:cs="Times New Roman"/>
                <w:lang w:val="mk-MK"/>
              </w:rPr>
            </w:pPr>
            <w:r>
              <w:rPr>
                <w:rFonts w:ascii="Calibri" w:eastAsia="Calibri" w:hAnsi="Calibri" w:cs="Times New Roman"/>
                <w:lang w:val="mk-MK"/>
              </w:rPr>
              <w:t>Министерство за локална самоуправа</w:t>
            </w:r>
          </w:p>
        </w:tc>
      </w:tr>
      <w:tr w:rsidR="00C56181" w:rsidRPr="002A0990" w14:paraId="7D2D0771" w14:textId="77777777" w:rsidTr="001F11B5">
        <w:trPr>
          <w:tblCellSpacing w:w="20" w:type="dxa"/>
        </w:trPr>
        <w:tc>
          <w:tcPr>
            <w:tcW w:w="1345" w:type="dxa"/>
          </w:tcPr>
          <w:p w14:paraId="4A416709" w14:textId="17983556" w:rsidR="00C56181" w:rsidRDefault="00C56181" w:rsidP="00EC7C0D">
            <w:pPr>
              <w:spacing w:line="276" w:lineRule="auto"/>
              <w:rPr>
                <w:rFonts w:ascii="Calibri" w:eastAsia="Calibri" w:hAnsi="Calibri" w:cs="Times New Roman"/>
                <w:b/>
                <w:lang w:val="mk-MK"/>
              </w:rPr>
            </w:pPr>
            <w:r>
              <w:rPr>
                <w:rFonts w:ascii="Calibri" w:eastAsia="Calibri" w:hAnsi="Calibri" w:cs="Times New Roman"/>
                <w:b/>
                <w:lang w:val="mk-MK"/>
              </w:rPr>
              <w:t>ЕЛС</w:t>
            </w:r>
          </w:p>
        </w:tc>
        <w:tc>
          <w:tcPr>
            <w:tcW w:w="8005" w:type="dxa"/>
          </w:tcPr>
          <w:p w14:paraId="4A1AB20A" w14:textId="4C4CA47D" w:rsidR="00C56181" w:rsidRPr="00C56181" w:rsidRDefault="00C56181" w:rsidP="00EC7C0D">
            <w:pPr>
              <w:spacing w:line="276" w:lineRule="auto"/>
              <w:rPr>
                <w:rFonts w:ascii="Calibri" w:eastAsia="Calibri" w:hAnsi="Calibri" w:cs="Times New Roman"/>
                <w:lang w:val="mk-MK"/>
              </w:rPr>
            </w:pPr>
            <w:r>
              <w:rPr>
                <w:rFonts w:ascii="Calibri" w:eastAsia="Calibri" w:hAnsi="Calibri" w:cs="Times New Roman"/>
                <w:lang w:val="mk-MK"/>
              </w:rPr>
              <w:t xml:space="preserve">Единиците на локална самоуправа </w:t>
            </w:r>
          </w:p>
        </w:tc>
      </w:tr>
      <w:tr w:rsidR="00C56181" w:rsidRPr="002A0990" w14:paraId="496D539B" w14:textId="77777777" w:rsidTr="001F11B5">
        <w:trPr>
          <w:tblCellSpacing w:w="20" w:type="dxa"/>
        </w:trPr>
        <w:tc>
          <w:tcPr>
            <w:tcW w:w="1345" w:type="dxa"/>
          </w:tcPr>
          <w:p w14:paraId="771462D4" w14:textId="4D5D2801" w:rsidR="00C56181" w:rsidRDefault="00C56181" w:rsidP="00EC7C0D">
            <w:pPr>
              <w:spacing w:line="276" w:lineRule="auto"/>
              <w:rPr>
                <w:rFonts w:ascii="Calibri" w:eastAsia="Calibri" w:hAnsi="Calibri" w:cs="Times New Roman"/>
                <w:b/>
                <w:lang w:val="mk-MK"/>
              </w:rPr>
            </w:pPr>
            <w:r>
              <w:rPr>
                <w:rFonts w:ascii="Calibri" w:eastAsia="Calibri" w:hAnsi="Calibri" w:cs="Times New Roman"/>
                <w:b/>
                <w:lang w:val="mk-MK"/>
              </w:rPr>
              <w:t>ЕТУ</w:t>
            </w:r>
          </w:p>
        </w:tc>
        <w:tc>
          <w:tcPr>
            <w:tcW w:w="8005" w:type="dxa"/>
          </w:tcPr>
          <w:p w14:paraId="64206270" w14:textId="5F4FD15E" w:rsidR="00C56181" w:rsidRPr="00C56181" w:rsidRDefault="00C56181" w:rsidP="00EC7C0D">
            <w:pPr>
              <w:spacing w:line="276" w:lineRule="auto"/>
              <w:rPr>
                <w:rFonts w:ascii="Calibri" w:eastAsia="Calibri" w:hAnsi="Calibri" w:cs="Times New Roman"/>
                <w:lang w:val="mk-MK"/>
              </w:rPr>
            </w:pPr>
            <w:r>
              <w:rPr>
                <w:rFonts w:ascii="Calibri" w:eastAsia="Calibri" w:hAnsi="Calibri" w:cs="Times New Roman"/>
                <w:lang w:val="mk-MK"/>
              </w:rPr>
              <w:t xml:space="preserve">Една точки на услуги </w:t>
            </w:r>
          </w:p>
        </w:tc>
      </w:tr>
      <w:tr w:rsidR="00FC4BB6" w:rsidRPr="002A0990" w14:paraId="1D22E913" w14:textId="77777777" w:rsidTr="001F11B5">
        <w:trPr>
          <w:tblCellSpacing w:w="20" w:type="dxa"/>
        </w:trPr>
        <w:tc>
          <w:tcPr>
            <w:tcW w:w="1345" w:type="dxa"/>
          </w:tcPr>
          <w:p w14:paraId="3A376567" w14:textId="2BB1C2A4" w:rsidR="00FC4BB6" w:rsidRDefault="00FC4BB6" w:rsidP="00EC7C0D">
            <w:pPr>
              <w:spacing w:line="276" w:lineRule="auto"/>
              <w:rPr>
                <w:rFonts w:ascii="Calibri" w:eastAsia="Calibri" w:hAnsi="Calibri" w:cs="Times New Roman"/>
                <w:b/>
                <w:lang w:val="mk-MK"/>
              </w:rPr>
            </w:pPr>
            <w:r>
              <w:rPr>
                <w:rFonts w:ascii="Calibri" w:eastAsia="Calibri" w:hAnsi="Calibri" w:cs="Times New Roman"/>
                <w:b/>
                <w:lang w:val="mk-MK"/>
              </w:rPr>
              <w:t>МАПАС</w:t>
            </w:r>
          </w:p>
        </w:tc>
        <w:tc>
          <w:tcPr>
            <w:tcW w:w="8005" w:type="dxa"/>
          </w:tcPr>
          <w:p w14:paraId="7A39F96E" w14:textId="62DBC8BB" w:rsidR="00FC4BB6" w:rsidRDefault="00FC4BB6" w:rsidP="00FC4BB6">
            <w:pPr>
              <w:spacing w:line="276" w:lineRule="auto"/>
              <w:rPr>
                <w:rFonts w:ascii="Calibri" w:eastAsia="Calibri" w:hAnsi="Calibri" w:cs="Times New Roman"/>
                <w:lang w:val="mk-MK"/>
              </w:rPr>
            </w:pPr>
            <w:r w:rsidRPr="00FC4BB6">
              <w:rPr>
                <w:rFonts w:ascii="Calibri" w:eastAsia="Calibri" w:hAnsi="Calibri" w:cs="Times New Roman"/>
                <w:lang w:val="mk-MK"/>
              </w:rPr>
              <w:t xml:space="preserve">Агенција за супервизија на капитално финансирано пензиско осигурување </w:t>
            </w:r>
          </w:p>
        </w:tc>
      </w:tr>
      <w:tr w:rsidR="00FC4BB6" w:rsidRPr="002A0990" w14:paraId="1DCE6036" w14:textId="77777777" w:rsidTr="001F11B5">
        <w:trPr>
          <w:tblCellSpacing w:w="20" w:type="dxa"/>
        </w:trPr>
        <w:tc>
          <w:tcPr>
            <w:tcW w:w="1345" w:type="dxa"/>
          </w:tcPr>
          <w:p w14:paraId="4F07D47B" w14:textId="7970CA69" w:rsidR="00FC4BB6" w:rsidRDefault="00FC4BB6" w:rsidP="00EC7C0D">
            <w:pPr>
              <w:spacing w:line="276" w:lineRule="auto"/>
              <w:rPr>
                <w:rFonts w:ascii="Calibri" w:eastAsia="Calibri" w:hAnsi="Calibri" w:cs="Times New Roman"/>
                <w:b/>
                <w:lang w:val="mk-MK"/>
              </w:rPr>
            </w:pPr>
            <w:r>
              <w:rPr>
                <w:rFonts w:ascii="Calibri" w:eastAsia="Calibri" w:hAnsi="Calibri" w:cs="Times New Roman"/>
                <w:b/>
                <w:lang w:val="mk-MK"/>
              </w:rPr>
              <w:t>УЕЗ</w:t>
            </w:r>
          </w:p>
        </w:tc>
        <w:tc>
          <w:tcPr>
            <w:tcW w:w="8005" w:type="dxa"/>
          </w:tcPr>
          <w:p w14:paraId="7A6F604D" w14:textId="0CB33898" w:rsidR="00FC4BB6" w:rsidRPr="00FC4BB6" w:rsidRDefault="00FC4BB6" w:rsidP="00FC4BB6">
            <w:pPr>
              <w:spacing w:line="276" w:lineRule="auto"/>
              <w:rPr>
                <w:rFonts w:ascii="Calibri" w:eastAsia="Calibri" w:hAnsi="Calibri" w:cs="Times New Roman"/>
                <w:lang w:val="mk-MK"/>
              </w:rPr>
            </w:pPr>
            <w:r>
              <w:rPr>
                <w:rFonts w:ascii="Calibri" w:eastAsia="Calibri" w:hAnsi="Calibri" w:cs="Times New Roman"/>
                <w:lang w:val="mk-MK"/>
              </w:rPr>
              <w:t>Управа за електронско здравство</w:t>
            </w:r>
          </w:p>
        </w:tc>
      </w:tr>
      <w:tr w:rsidR="00C56181" w:rsidRPr="002A0990" w14:paraId="564804F5" w14:textId="77777777" w:rsidTr="001F11B5">
        <w:trPr>
          <w:tblCellSpacing w:w="20" w:type="dxa"/>
        </w:trPr>
        <w:tc>
          <w:tcPr>
            <w:tcW w:w="1345" w:type="dxa"/>
          </w:tcPr>
          <w:p w14:paraId="12766443" w14:textId="646A6567" w:rsidR="00C56181" w:rsidRDefault="00C56181" w:rsidP="00EC7C0D">
            <w:pPr>
              <w:spacing w:line="276" w:lineRule="auto"/>
              <w:rPr>
                <w:rFonts w:ascii="Calibri" w:eastAsia="Calibri" w:hAnsi="Calibri" w:cs="Times New Roman"/>
                <w:b/>
                <w:lang w:val="mk-MK"/>
              </w:rPr>
            </w:pPr>
            <w:r>
              <w:rPr>
                <w:rFonts w:ascii="Calibri" w:eastAsia="Calibri" w:hAnsi="Calibri" w:cs="Times New Roman"/>
                <w:b/>
                <w:lang w:val="mk-MK"/>
              </w:rPr>
              <w:t>СОЗР</w:t>
            </w:r>
          </w:p>
        </w:tc>
        <w:tc>
          <w:tcPr>
            <w:tcW w:w="8005" w:type="dxa"/>
          </w:tcPr>
          <w:p w14:paraId="62F1188F" w14:textId="4A66E19D" w:rsidR="00C56181" w:rsidRPr="00C56181" w:rsidRDefault="00C56181" w:rsidP="00EC7C0D">
            <w:pPr>
              <w:spacing w:line="276" w:lineRule="auto"/>
              <w:rPr>
                <w:rFonts w:ascii="Calibri" w:eastAsia="Calibri" w:hAnsi="Calibri" w:cs="Times New Roman"/>
                <w:lang w:val="mk-MK"/>
              </w:rPr>
            </w:pPr>
            <w:r>
              <w:rPr>
                <w:rFonts w:ascii="Calibri" w:eastAsia="Calibri" w:hAnsi="Calibri" w:cs="Times New Roman"/>
                <w:lang w:val="mk-MK"/>
              </w:rPr>
              <w:t>Служба за општи и заеднички работи</w:t>
            </w:r>
          </w:p>
        </w:tc>
      </w:tr>
      <w:tr w:rsidR="00C56181" w:rsidRPr="002A0990" w14:paraId="05BE8254" w14:textId="77777777" w:rsidTr="001F11B5">
        <w:trPr>
          <w:tblCellSpacing w:w="20" w:type="dxa"/>
        </w:trPr>
        <w:tc>
          <w:tcPr>
            <w:tcW w:w="1345" w:type="dxa"/>
          </w:tcPr>
          <w:p w14:paraId="14091BE3" w14:textId="3676F9C9" w:rsidR="00C56181" w:rsidRDefault="00C56181" w:rsidP="00EC7C0D">
            <w:pPr>
              <w:spacing w:line="276" w:lineRule="auto"/>
              <w:rPr>
                <w:rFonts w:ascii="Calibri" w:eastAsia="Calibri" w:hAnsi="Calibri" w:cs="Times New Roman"/>
                <w:b/>
                <w:lang w:val="mk-MK"/>
              </w:rPr>
            </w:pPr>
            <w:r>
              <w:rPr>
                <w:rFonts w:ascii="Calibri" w:eastAsia="Calibri" w:hAnsi="Calibri" w:cs="Times New Roman"/>
                <w:b/>
                <w:lang w:val="mk-MK"/>
              </w:rPr>
              <w:t>ИСУЧР</w:t>
            </w:r>
          </w:p>
        </w:tc>
        <w:tc>
          <w:tcPr>
            <w:tcW w:w="8005" w:type="dxa"/>
          </w:tcPr>
          <w:p w14:paraId="3C7F9687" w14:textId="677F1950" w:rsidR="00C56181" w:rsidRPr="00C56181" w:rsidRDefault="00C56181" w:rsidP="00EC7C0D">
            <w:pPr>
              <w:spacing w:line="276" w:lineRule="auto"/>
              <w:rPr>
                <w:rFonts w:ascii="Calibri" w:eastAsia="Calibri" w:hAnsi="Calibri" w:cs="Times New Roman"/>
                <w:lang w:val="mk-MK"/>
              </w:rPr>
            </w:pPr>
            <w:r>
              <w:rPr>
                <w:rFonts w:ascii="Calibri" w:eastAsia="Calibri" w:hAnsi="Calibri" w:cs="Times New Roman"/>
                <w:lang w:val="mk-MK"/>
              </w:rPr>
              <w:t xml:space="preserve">Информационен систем за управување со човечки ресурси </w:t>
            </w:r>
          </w:p>
        </w:tc>
      </w:tr>
      <w:tr w:rsidR="00185881" w:rsidRPr="002A0990" w14:paraId="11224458" w14:textId="77777777" w:rsidTr="001F11B5">
        <w:trPr>
          <w:tblCellSpacing w:w="20" w:type="dxa"/>
        </w:trPr>
        <w:tc>
          <w:tcPr>
            <w:tcW w:w="1345" w:type="dxa"/>
          </w:tcPr>
          <w:p w14:paraId="51C810EF"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СИГМА</w:t>
            </w:r>
          </w:p>
        </w:tc>
        <w:tc>
          <w:tcPr>
            <w:tcW w:w="8005" w:type="dxa"/>
          </w:tcPr>
          <w:p w14:paraId="033E8934"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SIGMA (Support for Improvement in Governance and Management), заедничка иницијатива на OЕЦД и Европската Комисија</w:t>
            </w:r>
            <w:r w:rsidRPr="002A0990">
              <w:rPr>
                <w:rFonts w:ascii="Calibri" w:eastAsia="Calibri" w:hAnsi="Calibri" w:cs="Times New Roman"/>
                <w:lang w:val="mk-MK"/>
              </w:rPr>
              <w:t xml:space="preserve">   </w:t>
            </w:r>
          </w:p>
        </w:tc>
      </w:tr>
      <w:tr w:rsidR="00FC4BB6" w:rsidRPr="002A0990" w14:paraId="41C92F0D" w14:textId="77777777" w:rsidTr="001F11B5">
        <w:trPr>
          <w:tblCellSpacing w:w="20" w:type="dxa"/>
        </w:trPr>
        <w:tc>
          <w:tcPr>
            <w:tcW w:w="1345" w:type="dxa"/>
          </w:tcPr>
          <w:p w14:paraId="4AB37158" w14:textId="12EC3F78" w:rsidR="00FC4BB6" w:rsidRPr="00FC4BB6" w:rsidRDefault="00FC4BB6" w:rsidP="00EC7C0D">
            <w:pPr>
              <w:spacing w:line="276" w:lineRule="auto"/>
              <w:rPr>
                <w:rFonts w:ascii="Calibri" w:eastAsia="Calibri" w:hAnsi="Calibri" w:cs="Times New Roman"/>
                <w:b/>
                <w:lang w:val="mk-MK"/>
              </w:rPr>
            </w:pPr>
            <w:r>
              <w:rPr>
                <w:rFonts w:ascii="Calibri" w:eastAsia="Calibri" w:hAnsi="Calibri" w:cs="Times New Roman"/>
                <w:b/>
                <w:lang w:val="mk-MK"/>
              </w:rPr>
              <w:t>ФПИОСМ</w:t>
            </w:r>
          </w:p>
        </w:tc>
        <w:tc>
          <w:tcPr>
            <w:tcW w:w="8005" w:type="dxa"/>
          </w:tcPr>
          <w:p w14:paraId="61101A2E" w14:textId="4F860FDB" w:rsidR="00FC4BB6" w:rsidRPr="00FC4BB6" w:rsidRDefault="00FC4BB6" w:rsidP="00EC7C0D">
            <w:pPr>
              <w:spacing w:line="276" w:lineRule="auto"/>
              <w:rPr>
                <w:rFonts w:ascii="Calibri" w:eastAsia="Calibri" w:hAnsi="Calibri" w:cs="Times New Roman"/>
                <w:lang w:val="mk-MK"/>
              </w:rPr>
            </w:pPr>
            <w:r w:rsidRPr="00FC4BB6">
              <w:rPr>
                <w:rFonts w:ascii="Calibri" w:eastAsia="Calibri" w:hAnsi="Calibri" w:cs="Times New Roman"/>
                <w:lang w:val="mk-MK"/>
              </w:rPr>
              <w:t>Фонд на пензиското и инвалидското осигур</w:t>
            </w:r>
            <w:r>
              <w:rPr>
                <w:rFonts w:ascii="Calibri" w:eastAsia="Calibri" w:hAnsi="Calibri" w:cs="Times New Roman"/>
                <w:lang w:val="mk-MK"/>
              </w:rPr>
              <w:t>ување на Северна М</w:t>
            </w:r>
            <w:r w:rsidRPr="00FC4BB6">
              <w:rPr>
                <w:rFonts w:ascii="Calibri" w:eastAsia="Calibri" w:hAnsi="Calibri" w:cs="Times New Roman"/>
                <w:lang w:val="mk-MK"/>
              </w:rPr>
              <w:t>акедонија</w:t>
            </w:r>
          </w:p>
        </w:tc>
      </w:tr>
      <w:tr w:rsidR="00185881" w:rsidRPr="002A0990" w14:paraId="0D46875F" w14:textId="77777777" w:rsidTr="001F11B5">
        <w:trPr>
          <w:tblCellSpacing w:w="20" w:type="dxa"/>
        </w:trPr>
        <w:tc>
          <w:tcPr>
            <w:tcW w:w="1345" w:type="dxa"/>
          </w:tcPr>
          <w:p w14:paraId="6AA49D24"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УЧР</w:t>
            </w:r>
          </w:p>
        </w:tc>
        <w:tc>
          <w:tcPr>
            <w:tcW w:w="8005" w:type="dxa"/>
          </w:tcPr>
          <w:p w14:paraId="482D4F43" w14:textId="77777777" w:rsidR="00185881" w:rsidRPr="002A0990" w:rsidRDefault="00185881" w:rsidP="00EC7C0D">
            <w:pPr>
              <w:spacing w:line="276" w:lineRule="auto"/>
              <w:rPr>
                <w:rFonts w:ascii="Calibri" w:eastAsia="Calibri" w:hAnsi="Calibri" w:cs="Times New Roman"/>
                <w:lang w:val="en-US"/>
              </w:rPr>
            </w:pPr>
            <w:r w:rsidRPr="002A0990">
              <w:rPr>
                <w:rFonts w:ascii="Calibri" w:eastAsia="Calibri" w:hAnsi="Calibri" w:cs="Times New Roman"/>
                <w:lang w:val="en-US"/>
              </w:rPr>
              <w:t>Управување со човечки ресурси</w:t>
            </w:r>
          </w:p>
        </w:tc>
      </w:tr>
      <w:tr w:rsidR="00FC4BB6" w:rsidRPr="002A0990" w14:paraId="46C865B5" w14:textId="77777777" w:rsidTr="001F11B5">
        <w:trPr>
          <w:tblCellSpacing w:w="20" w:type="dxa"/>
        </w:trPr>
        <w:tc>
          <w:tcPr>
            <w:tcW w:w="1345" w:type="dxa"/>
          </w:tcPr>
          <w:p w14:paraId="60AB363B" w14:textId="7B82BB12" w:rsidR="00FC4BB6" w:rsidRPr="00FC4BB6" w:rsidRDefault="00FC4BB6" w:rsidP="00EC7C0D">
            <w:pPr>
              <w:spacing w:line="276" w:lineRule="auto"/>
              <w:rPr>
                <w:rFonts w:ascii="Calibri" w:eastAsia="Calibri" w:hAnsi="Calibri" w:cs="Times New Roman"/>
                <w:b/>
                <w:lang w:val="mk-MK"/>
              </w:rPr>
            </w:pPr>
            <w:r>
              <w:rPr>
                <w:rFonts w:ascii="Calibri" w:eastAsia="Calibri" w:hAnsi="Calibri" w:cs="Times New Roman"/>
                <w:b/>
                <w:lang w:val="mk-MK"/>
              </w:rPr>
              <w:t>АВРСМ</w:t>
            </w:r>
          </w:p>
        </w:tc>
        <w:tc>
          <w:tcPr>
            <w:tcW w:w="8005" w:type="dxa"/>
          </w:tcPr>
          <w:p w14:paraId="234C7244" w14:textId="694A505F" w:rsidR="00FC4BB6" w:rsidRPr="00FC4BB6" w:rsidRDefault="00FC4BB6" w:rsidP="00EC7C0D">
            <w:pPr>
              <w:spacing w:line="276" w:lineRule="auto"/>
              <w:rPr>
                <w:rFonts w:ascii="Calibri" w:eastAsia="Calibri" w:hAnsi="Calibri" w:cs="Times New Roman"/>
                <w:lang w:val="mk-MK"/>
              </w:rPr>
            </w:pPr>
            <w:r>
              <w:rPr>
                <w:rFonts w:ascii="Calibri" w:eastAsia="Calibri" w:hAnsi="Calibri" w:cs="Times New Roman"/>
                <w:lang w:val="mk-MK"/>
              </w:rPr>
              <w:t>Агенција за вработување на Република Северна Македонија</w:t>
            </w:r>
          </w:p>
        </w:tc>
      </w:tr>
      <w:tr w:rsidR="00FC4BB6" w:rsidRPr="002A0990" w14:paraId="0D3D8EFE" w14:textId="77777777" w:rsidTr="001F11B5">
        <w:trPr>
          <w:tblCellSpacing w:w="20" w:type="dxa"/>
        </w:trPr>
        <w:tc>
          <w:tcPr>
            <w:tcW w:w="1345" w:type="dxa"/>
          </w:tcPr>
          <w:p w14:paraId="75A40D70" w14:textId="73805525" w:rsidR="00FC4BB6" w:rsidRDefault="00FC4BB6" w:rsidP="00EC7C0D">
            <w:pPr>
              <w:spacing w:line="276" w:lineRule="auto"/>
              <w:rPr>
                <w:rFonts w:ascii="Calibri" w:eastAsia="Calibri" w:hAnsi="Calibri" w:cs="Times New Roman"/>
                <w:b/>
                <w:lang w:val="mk-MK"/>
              </w:rPr>
            </w:pPr>
            <w:r>
              <w:rPr>
                <w:rFonts w:ascii="Calibri" w:eastAsia="Calibri" w:hAnsi="Calibri" w:cs="Times New Roman"/>
                <w:b/>
                <w:lang w:val="mk-MK"/>
              </w:rPr>
              <w:t>УЈП</w:t>
            </w:r>
          </w:p>
        </w:tc>
        <w:tc>
          <w:tcPr>
            <w:tcW w:w="8005" w:type="dxa"/>
          </w:tcPr>
          <w:p w14:paraId="31A47587" w14:textId="7351627F" w:rsidR="00FC4BB6" w:rsidRDefault="00FC4BB6" w:rsidP="00EC7C0D">
            <w:pPr>
              <w:spacing w:line="276" w:lineRule="auto"/>
              <w:rPr>
                <w:rFonts w:ascii="Calibri" w:eastAsia="Calibri" w:hAnsi="Calibri" w:cs="Times New Roman"/>
                <w:lang w:val="mk-MK"/>
              </w:rPr>
            </w:pPr>
            <w:r>
              <w:rPr>
                <w:rFonts w:ascii="Calibri" w:eastAsia="Calibri" w:hAnsi="Calibri" w:cs="Times New Roman"/>
                <w:lang w:val="mk-MK"/>
              </w:rPr>
              <w:t>Министерство за финансии - Управа за јавни приходи</w:t>
            </w:r>
          </w:p>
        </w:tc>
      </w:tr>
      <w:tr w:rsidR="00185881" w:rsidRPr="002A0990" w14:paraId="49AE04B7" w14:textId="77777777" w:rsidTr="001F11B5">
        <w:trPr>
          <w:tblCellSpacing w:w="20" w:type="dxa"/>
        </w:trPr>
        <w:tc>
          <w:tcPr>
            <w:tcW w:w="1345" w:type="dxa"/>
          </w:tcPr>
          <w:p w14:paraId="65C40CAB" w14:textId="77777777" w:rsidR="00185881" w:rsidRPr="00142DD3" w:rsidRDefault="00185881" w:rsidP="00EC7C0D">
            <w:pPr>
              <w:spacing w:line="276" w:lineRule="auto"/>
              <w:rPr>
                <w:rFonts w:ascii="Calibri" w:eastAsia="Calibri" w:hAnsi="Calibri" w:cs="Times New Roman"/>
                <w:b/>
                <w:lang w:val="en-US"/>
              </w:rPr>
            </w:pPr>
            <w:r w:rsidRPr="00142DD3">
              <w:rPr>
                <w:rFonts w:ascii="Calibri" w:eastAsia="Calibri" w:hAnsi="Calibri" w:cs="Times New Roman"/>
                <w:b/>
                <w:lang w:val="en-US"/>
              </w:rPr>
              <w:t>УЈФ</w:t>
            </w:r>
          </w:p>
        </w:tc>
        <w:tc>
          <w:tcPr>
            <w:tcW w:w="8005" w:type="dxa"/>
          </w:tcPr>
          <w:p w14:paraId="2D26EF10" w14:textId="77777777" w:rsidR="00185881" w:rsidRPr="002A0990" w:rsidRDefault="00185881" w:rsidP="00EC7C0D">
            <w:pPr>
              <w:spacing w:line="276" w:lineRule="auto"/>
              <w:rPr>
                <w:rFonts w:ascii="Calibri" w:eastAsia="Calibri" w:hAnsi="Calibri" w:cs="Times New Roman"/>
                <w:lang w:val="en-US"/>
              </w:rPr>
            </w:pPr>
            <w:r>
              <w:rPr>
                <w:rFonts w:ascii="Calibri" w:eastAsia="Calibri" w:hAnsi="Calibri" w:cs="Times New Roman"/>
                <w:lang w:val="mk-MK"/>
              </w:rPr>
              <w:t>У</w:t>
            </w:r>
            <w:r w:rsidRPr="002A0990">
              <w:rPr>
                <w:rFonts w:ascii="Calibri" w:eastAsia="Calibri" w:hAnsi="Calibri" w:cs="Times New Roman"/>
                <w:lang w:val="en-US"/>
              </w:rPr>
              <w:t>правување со јавните финансии</w:t>
            </w:r>
          </w:p>
        </w:tc>
      </w:tr>
    </w:tbl>
    <w:p w14:paraId="2A947FFA" w14:textId="3FA09C03" w:rsidR="00E64489" w:rsidRPr="00185881" w:rsidRDefault="00E64489" w:rsidP="00E64489">
      <w:pPr>
        <w:pStyle w:val="Heading1"/>
        <w:rPr>
          <w:b/>
          <w:bCs/>
          <w:lang w:val="mk-MK"/>
        </w:rPr>
      </w:pPr>
      <w:r w:rsidRPr="00185881">
        <w:rPr>
          <w:b/>
          <w:bCs/>
          <w:lang w:val="mk-MK"/>
        </w:rPr>
        <w:t>Резиме</w:t>
      </w:r>
    </w:p>
    <w:p w14:paraId="0F8E0479" w14:textId="10ACED52" w:rsidR="00E64489" w:rsidRDefault="00E64489" w:rsidP="00E64489">
      <w:pPr>
        <w:rPr>
          <w:lang w:val="mk-MK"/>
        </w:rPr>
      </w:pPr>
    </w:p>
    <w:p w14:paraId="6BA87804" w14:textId="170BF9D8" w:rsidR="00C70A8E" w:rsidRDefault="00BB7E24" w:rsidP="00D3445B">
      <w:pPr>
        <w:jc w:val="both"/>
        <w:rPr>
          <w:rFonts w:cs="Calibri"/>
          <w:lang w:val="mk-MK"/>
        </w:rPr>
      </w:pPr>
      <w:r>
        <w:rPr>
          <w:rFonts w:cs="Calibri"/>
          <w:shd w:val="clear" w:color="auto" w:fill="FFFFFF"/>
          <w:lang w:val="mk-MK"/>
        </w:rPr>
        <w:t xml:space="preserve">              </w:t>
      </w:r>
      <w:r w:rsidR="003E02C7">
        <w:rPr>
          <w:rFonts w:cs="Calibri"/>
          <w:shd w:val="clear" w:color="auto" w:fill="FFFFFF"/>
          <w:lang w:val="mk-MK"/>
        </w:rPr>
        <w:t>Професионална, к</w:t>
      </w:r>
      <w:r w:rsidR="00C70A8E">
        <w:rPr>
          <w:rFonts w:cs="Calibri"/>
          <w:shd w:val="clear" w:color="auto" w:fill="FFFFFF"/>
          <w:lang w:val="mk-MK"/>
        </w:rPr>
        <w:t xml:space="preserve">валитетна </w:t>
      </w:r>
      <w:r w:rsidR="003E02C7">
        <w:rPr>
          <w:rFonts w:cs="Calibri"/>
          <w:shd w:val="clear" w:color="auto" w:fill="FFFFFF"/>
          <w:lang w:val="mk-MK"/>
        </w:rPr>
        <w:t xml:space="preserve">и сервисно ориентирана </w:t>
      </w:r>
      <w:r w:rsidR="00C70A8E">
        <w:rPr>
          <w:rFonts w:cs="Calibri"/>
          <w:shd w:val="clear" w:color="auto" w:fill="FFFFFF"/>
          <w:lang w:val="mk-MK"/>
        </w:rPr>
        <w:t>јавна администрација е клучна за постигнување на економски раст, за зајакнување на конкурентноста, подобрување н</w:t>
      </w:r>
      <w:r w:rsidR="003F6225">
        <w:rPr>
          <w:rFonts w:cs="Calibri"/>
          <w:shd w:val="clear" w:color="auto" w:fill="FFFFFF"/>
          <w:lang w:val="mk-MK"/>
        </w:rPr>
        <w:t>а квалитетот на животот и справ</w:t>
      </w:r>
      <w:r w:rsidR="00C70A8E">
        <w:rPr>
          <w:rFonts w:cs="Calibri"/>
          <w:shd w:val="clear" w:color="auto" w:fill="FFFFFF"/>
          <w:lang w:val="mk-MK"/>
        </w:rPr>
        <w:t xml:space="preserve">ување со сите предизвици во општеството. Тоа јасно се потврди за време на кризата предизвикана од пандемијата со Ковид-19 и со актуелната економска и енергетска криза. </w:t>
      </w:r>
      <w:r w:rsidR="00C70A8E" w:rsidRPr="00E402B0">
        <w:rPr>
          <w:rFonts w:cs="Calibri"/>
          <w:lang w:val="mk-MK"/>
        </w:rPr>
        <w:t xml:space="preserve"> </w:t>
      </w:r>
    </w:p>
    <w:p w14:paraId="277567FC" w14:textId="101B5FF3" w:rsidR="00C70A8E" w:rsidRDefault="00B929D7" w:rsidP="00E64489">
      <w:pPr>
        <w:jc w:val="both"/>
        <w:rPr>
          <w:rFonts w:cs="Calibri"/>
          <w:lang w:val="mk-MK"/>
        </w:rPr>
      </w:pPr>
      <w:r>
        <w:rPr>
          <w:rFonts w:eastAsia="Times New Roman" w:cs="Calibri"/>
          <w:bCs/>
          <w:lang w:val="mk-MK"/>
        </w:rPr>
        <w:t>Е</w:t>
      </w:r>
      <w:r w:rsidRPr="007E0A96">
        <w:rPr>
          <w:rFonts w:eastAsia="Times New Roman" w:cs="Calibri"/>
          <w:bCs/>
          <w:lang w:val="mk-MK"/>
        </w:rPr>
        <w:t xml:space="preserve">ден од стратешките приоритети на </w:t>
      </w:r>
      <w:r w:rsidR="001F11B5">
        <w:rPr>
          <w:rFonts w:eastAsia="Times New Roman" w:cs="Calibri"/>
          <w:bCs/>
          <w:lang w:val="mk-MK"/>
        </w:rPr>
        <w:t>ВРСМ</w:t>
      </w:r>
      <w:r w:rsidR="007A09E8">
        <w:rPr>
          <w:rFonts w:cs="Calibri"/>
          <w:shd w:val="clear" w:color="auto" w:fill="FFFFFF"/>
          <w:lang w:val="mk-MK"/>
        </w:rPr>
        <w:t xml:space="preserve"> </w:t>
      </w:r>
      <w:r w:rsidRPr="007E0A96">
        <w:rPr>
          <w:rFonts w:cs="Calibri"/>
          <w:shd w:val="clear" w:color="auto" w:fill="FFFFFF"/>
          <w:lang w:val="mk-MK"/>
        </w:rPr>
        <w:t xml:space="preserve">утврден во Програмата за работа на Владата </w:t>
      </w:r>
      <w:r>
        <w:rPr>
          <w:rFonts w:cs="Calibri"/>
          <w:shd w:val="clear" w:color="auto" w:fill="FFFFFF"/>
          <w:lang w:val="mk-MK"/>
        </w:rPr>
        <w:t xml:space="preserve">на Република Северна Македонија </w:t>
      </w:r>
      <w:r w:rsidRPr="007E0A96">
        <w:rPr>
          <w:rFonts w:cs="Calibri"/>
          <w:shd w:val="clear" w:color="auto" w:fill="FFFFFF"/>
          <w:lang w:val="mk-MK"/>
        </w:rPr>
        <w:t>(2022-2024)</w:t>
      </w:r>
      <w:r>
        <w:rPr>
          <w:rFonts w:cs="Calibri"/>
          <w:shd w:val="clear" w:color="auto" w:fill="FFFFFF"/>
          <w:lang w:val="mk-MK"/>
        </w:rPr>
        <w:t xml:space="preserve"> е развивање на </w:t>
      </w:r>
      <w:r w:rsidRPr="00AC68FC">
        <w:rPr>
          <w:rFonts w:eastAsia="Times New Roman" w:cs="Calibri"/>
          <w:b/>
          <w:lang w:val="mk-MK"/>
        </w:rPr>
        <w:t>„Модерна и ефикасна јавна администрација базирана на дигитализација која обезбедува квалитетни и брзи услуги за граѓаните и деловните субјекти“.</w:t>
      </w:r>
      <w:r>
        <w:rPr>
          <w:rFonts w:eastAsia="Times New Roman" w:cs="Calibri"/>
          <w:bCs/>
          <w:lang w:val="mk-MK"/>
        </w:rPr>
        <w:t xml:space="preserve"> </w:t>
      </w:r>
      <w:r w:rsidR="00E64489" w:rsidRPr="00E64489">
        <w:rPr>
          <w:rFonts w:cs="Calibri"/>
          <w:b/>
          <w:lang w:val="mk-MK"/>
        </w:rPr>
        <w:t xml:space="preserve">Стратегијата за </w:t>
      </w:r>
      <w:r w:rsidR="001F11B5">
        <w:rPr>
          <w:rFonts w:cs="Calibri"/>
          <w:b/>
          <w:lang w:val="mk-MK"/>
        </w:rPr>
        <w:t>РЈА</w:t>
      </w:r>
      <w:r w:rsidR="00E64489" w:rsidRPr="00E64489">
        <w:rPr>
          <w:rFonts w:cs="Calibri"/>
          <w:b/>
          <w:lang w:val="mk-MK"/>
        </w:rPr>
        <w:t xml:space="preserve"> (2023-2030)</w:t>
      </w:r>
      <w:r>
        <w:rPr>
          <w:rFonts w:cs="Calibri"/>
          <w:b/>
          <w:lang w:val="mk-MK"/>
        </w:rPr>
        <w:t xml:space="preserve"> </w:t>
      </w:r>
      <w:r w:rsidRPr="00AC68FC">
        <w:rPr>
          <w:rFonts w:cs="Calibri"/>
          <w:bCs/>
          <w:lang w:val="mk-MK"/>
        </w:rPr>
        <w:t>е директно насочена кон постигнување на</w:t>
      </w:r>
      <w:r>
        <w:rPr>
          <w:rFonts w:cs="Calibri"/>
          <w:b/>
          <w:lang w:val="mk-MK"/>
        </w:rPr>
        <w:t xml:space="preserve"> </w:t>
      </w:r>
      <w:r>
        <w:rPr>
          <w:rFonts w:cs="Calibri"/>
          <w:lang w:val="mk-MK"/>
        </w:rPr>
        <w:t>овој приоритет п</w:t>
      </w:r>
      <w:r w:rsidR="008A42BD">
        <w:rPr>
          <w:rFonts w:cs="Calibri"/>
          <w:lang w:val="mk-MK"/>
        </w:rPr>
        <w:t>реку дефинираните цели кои обез</w:t>
      </w:r>
      <w:r>
        <w:rPr>
          <w:rFonts w:cs="Calibri"/>
          <w:lang w:val="mk-MK"/>
        </w:rPr>
        <w:t>б</w:t>
      </w:r>
      <w:r w:rsidR="008A42BD">
        <w:rPr>
          <w:rFonts w:cs="Calibri"/>
          <w:lang w:val="en-US"/>
        </w:rPr>
        <w:t>e</w:t>
      </w:r>
      <w:r>
        <w:rPr>
          <w:rFonts w:cs="Calibri"/>
          <w:lang w:val="mk-MK"/>
        </w:rPr>
        <w:t>дуваат стратешка рамка за развој на јавната</w:t>
      </w:r>
      <w:r w:rsidR="00314449">
        <w:rPr>
          <w:rFonts w:cs="Calibri"/>
          <w:lang w:val="mk-MK"/>
        </w:rPr>
        <w:t xml:space="preserve"> администрација до 2030 година. </w:t>
      </w:r>
    </w:p>
    <w:p w14:paraId="6A169BB7" w14:textId="2A5DCE70" w:rsidR="00E64489" w:rsidRPr="00E64489" w:rsidRDefault="002370B5" w:rsidP="00E64489">
      <w:pPr>
        <w:jc w:val="both"/>
        <w:rPr>
          <w:rFonts w:cs="Calibri"/>
          <w:lang w:val="mk-MK"/>
        </w:rPr>
      </w:pPr>
      <w:r>
        <w:rPr>
          <w:rFonts w:cs="Calibri"/>
          <w:lang w:val="mk-MK"/>
        </w:rPr>
        <w:t xml:space="preserve">Целите </w:t>
      </w:r>
      <w:r w:rsidR="00314449">
        <w:rPr>
          <w:rFonts w:cs="Calibri"/>
          <w:lang w:val="mk-MK"/>
        </w:rPr>
        <w:t xml:space="preserve">дефинирани во Стратегијата за </w:t>
      </w:r>
      <w:r w:rsidR="00C82529">
        <w:rPr>
          <w:rFonts w:cs="Calibri"/>
          <w:lang w:val="mk-MK"/>
        </w:rPr>
        <w:t xml:space="preserve">РЈА </w:t>
      </w:r>
      <w:r>
        <w:rPr>
          <w:rFonts w:cs="Calibri"/>
          <w:lang w:val="mk-MK"/>
        </w:rPr>
        <w:t xml:space="preserve"> ќе се реализираат</w:t>
      </w:r>
      <w:r w:rsidR="00C82529">
        <w:rPr>
          <w:rFonts w:cs="Calibri"/>
          <w:lang w:val="mk-MK"/>
        </w:rPr>
        <w:t xml:space="preserve"> </w:t>
      </w:r>
      <w:r>
        <w:rPr>
          <w:rFonts w:cs="Calibri"/>
          <w:lang w:val="mk-MK"/>
        </w:rPr>
        <w:t xml:space="preserve">преку мерки кои ќе обезбедат </w:t>
      </w:r>
      <w:r w:rsidR="00C82529">
        <w:rPr>
          <w:rFonts w:cs="Calibri"/>
          <w:lang w:val="mk-MK"/>
        </w:rPr>
        <w:t xml:space="preserve">ефективно креирање на политиките засновано на докази, </w:t>
      </w:r>
      <w:r w:rsidR="00E64489" w:rsidRPr="00E64489">
        <w:rPr>
          <w:rFonts w:cs="Calibri"/>
          <w:lang w:val="mk-MK"/>
        </w:rPr>
        <w:t xml:space="preserve">реорганизација, оптимизација и воведување дополнителни форми за ефикасно работење на </w:t>
      </w:r>
      <w:r w:rsidR="00B929D7">
        <w:rPr>
          <w:rFonts w:cs="Calibri"/>
          <w:lang w:val="en-US"/>
        </w:rPr>
        <w:t xml:space="preserve"> </w:t>
      </w:r>
      <w:r w:rsidR="00B929D7">
        <w:rPr>
          <w:rFonts w:cs="Calibri"/>
          <w:lang w:val="mk-MK"/>
        </w:rPr>
        <w:t xml:space="preserve">јавната </w:t>
      </w:r>
      <w:r w:rsidR="00E64489" w:rsidRPr="00E64489">
        <w:rPr>
          <w:rFonts w:cs="Calibri"/>
          <w:lang w:val="mk-MK"/>
        </w:rPr>
        <w:t>администрација</w:t>
      </w:r>
      <w:r>
        <w:rPr>
          <w:rFonts w:cs="Calibri"/>
          <w:lang w:val="mk-MK"/>
        </w:rPr>
        <w:t>,</w:t>
      </w:r>
      <w:r w:rsidR="00C82529">
        <w:rPr>
          <w:rFonts w:cs="Calibri"/>
          <w:lang w:val="mk-MK"/>
        </w:rPr>
        <w:t xml:space="preserve"> </w:t>
      </w:r>
      <w:r>
        <w:rPr>
          <w:rFonts w:cs="Calibri"/>
          <w:lang w:val="mk-MK"/>
        </w:rPr>
        <w:t xml:space="preserve"> како и понатамошно развивање на </w:t>
      </w:r>
      <w:r w:rsidR="00E64489" w:rsidRPr="00E64489">
        <w:rPr>
          <w:rFonts w:cs="Calibri"/>
          <w:lang w:val="mk-MK"/>
        </w:rPr>
        <w:t xml:space="preserve">професионална јавна администрација поддржана од интензивна дигитализација, односно дигитална трансформација со цел </w:t>
      </w:r>
      <w:r w:rsidR="00C82529">
        <w:rPr>
          <w:rFonts w:cs="Calibri"/>
          <w:lang w:val="mk-MK"/>
        </w:rPr>
        <w:t xml:space="preserve">развивање на </w:t>
      </w:r>
      <w:r w:rsidR="00C82529" w:rsidRPr="00E64489">
        <w:rPr>
          <w:rFonts w:cs="Calibri"/>
          <w:lang w:val="mk-MK"/>
        </w:rPr>
        <w:t>оптимална структура и иновативни процеси и техники</w:t>
      </w:r>
      <w:r w:rsidR="00C82529">
        <w:rPr>
          <w:rFonts w:cs="Calibri"/>
          <w:lang w:val="mk-MK"/>
        </w:rPr>
        <w:t xml:space="preserve"> кои ќе </w:t>
      </w:r>
      <w:r w:rsidR="00E64489" w:rsidRPr="00E64489">
        <w:rPr>
          <w:rFonts w:cs="Calibri"/>
          <w:lang w:val="mk-MK"/>
        </w:rPr>
        <w:t>обезбед</w:t>
      </w:r>
      <w:r w:rsidR="00C82529">
        <w:rPr>
          <w:rFonts w:cs="Calibri"/>
          <w:lang w:val="mk-MK"/>
        </w:rPr>
        <w:t xml:space="preserve">ат </w:t>
      </w:r>
      <w:r w:rsidR="00E64489" w:rsidRPr="00E64489">
        <w:rPr>
          <w:rFonts w:cs="Calibri"/>
          <w:lang w:val="mk-MK"/>
        </w:rPr>
        <w:t xml:space="preserve">квалитетни и лесно достапни услуги за граѓаните </w:t>
      </w:r>
      <w:r w:rsidR="00E64489" w:rsidRPr="00E64489">
        <w:rPr>
          <w:rFonts w:cs="Calibri"/>
          <w:bCs/>
          <w:lang w:val="mk-MK"/>
        </w:rPr>
        <w:t xml:space="preserve">и </w:t>
      </w:r>
      <w:r w:rsidR="00C82529">
        <w:rPr>
          <w:rFonts w:cs="Calibri"/>
          <w:bCs/>
          <w:lang w:val="mk-MK"/>
        </w:rPr>
        <w:t>деловните субјекти</w:t>
      </w:r>
      <w:r w:rsidR="00C82529">
        <w:rPr>
          <w:rFonts w:cs="Calibri"/>
          <w:lang w:val="mk-MK"/>
        </w:rPr>
        <w:t xml:space="preserve">. </w:t>
      </w:r>
      <w:r w:rsidR="00E64489" w:rsidRPr="00E64489">
        <w:rPr>
          <w:rFonts w:cs="Calibri"/>
          <w:lang w:val="mk-MK"/>
        </w:rPr>
        <w:t xml:space="preserve"> </w:t>
      </w:r>
    </w:p>
    <w:p w14:paraId="00609CF7" w14:textId="53942913" w:rsidR="00E64489" w:rsidRDefault="00E64489" w:rsidP="00E64489">
      <w:pPr>
        <w:jc w:val="both"/>
        <w:rPr>
          <w:rFonts w:cs="Calibri"/>
          <w:bCs/>
          <w:lang w:val="mk-MK"/>
        </w:rPr>
      </w:pPr>
      <w:r w:rsidRPr="00E64489">
        <w:rPr>
          <w:lang w:val="mk-MK"/>
        </w:rPr>
        <w:t>Преку четирите приоритетни области</w:t>
      </w:r>
      <w:r w:rsidR="00226226">
        <w:rPr>
          <w:lang w:val="mk-MK"/>
        </w:rPr>
        <w:t xml:space="preserve"> </w:t>
      </w:r>
      <w:r w:rsidRPr="00E64489">
        <w:rPr>
          <w:lang w:val="mk-MK"/>
        </w:rPr>
        <w:t xml:space="preserve">: (1) </w:t>
      </w:r>
      <w:r w:rsidRPr="00E64489">
        <w:rPr>
          <w:rFonts w:cs="Calibri"/>
          <w:lang w:val="mk-MK"/>
        </w:rPr>
        <w:t xml:space="preserve">Креирање на политики и координација; (2) </w:t>
      </w:r>
      <w:r w:rsidRPr="00E64489">
        <w:rPr>
          <w:rFonts w:cs="Calibri"/>
          <w:bCs/>
          <w:lang w:val="mk-MK"/>
        </w:rPr>
        <w:t>Јавна служба и управување со човечките ресурси; (3) Одговорност, отчетност и транспарентност и (4</w:t>
      </w:r>
      <w:r w:rsidRPr="00142DD3">
        <w:rPr>
          <w:rFonts w:cs="Calibri"/>
          <w:bCs/>
          <w:lang w:val="mk-MK"/>
        </w:rPr>
        <w:t xml:space="preserve">) </w:t>
      </w:r>
      <w:r w:rsidR="003F6225">
        <w:rPr>
          <w:rFonts w:cs="Calibri"/>
          <w:bCs/>
          <w:lang w:val="mk-MK"/>
        </w:rPr>
        <w:t>Д</w:t>
      </w:r>
      <w:r w:rsidR="00AC68FC" w:rsidRPr="00142DD3">
        <w:rPr>
          <w:rFonts w:cs="Calibri"/>
          <w:bCs/>
          <w:lang w:val="mk-MK"/>
        </w:rPr>
        <w:t xml:space="preserve">авање услуги и </w:t>
      </w:r>
      <w:r w:rsidR="00AC68FC" w:rsidRPr="00142DD3">
        <w:rPr>
          <w:rFonts w:cs="Calibri"/>
          <w:lang w:val="mk-MK"/>
        </w:rPr>
        <w:t>д</w:t>
      </w:r>
      <w:r w:rsidR="0006026B" w:rsidRPr="00142DD3">
        <w:rPr>
          <w:rFonts w:cs="Calibri"/>
          <w:lang w:val="mk-MK"/>
        </w:rPr>
        <w:t>игитална трансформација</w:t>
      </w:r>
      <w:r w:rsidR="003F6225">
        <w:rPr>
          <w:rFonts w:cs="Calibri"/>
          <w:lang w:val="mk-MK"/>
        </w:rPr>
        <w:t xml:space="preserve"> </w:t>
      </w:r>
      <w:r w:rsidRPr="00142DD3">
        <w:rPr>
          <w:rFonts w:cs="Calibri"/>
          <w:lang w:val="mk-MK"/>
        </w:rPr>
        <w:t>во кои се утврдени мерки за исполнување на општите и посебните цели,</w:t>
      </w:r>
      <w:r w:rsidR="00C82529" w:rsidRPr="00142DD3">
        <w:rPr>
          <w:rFonts w:cs="Calibri"/>
          <w:lang w:val="mk-MK"/>
        </w:rPr>
        <w:t xml:space="preserve"> </w:t>
      </w:r>
      <w:r w:rsidRPr="00142DD3">
        <w:rPr>
          <w:rFonts w:cs="Calibri"/>
          <w:lang w:val="mk-MK"/>
        </w:rPr>
        <w:t>Стратегија</w:t>
      </w:r>
      <w:r w:rsidR="00C82529" w:rsidRPr="00142DD3">
        <w:rPr>
          <w:rFonts w:cs="Calibri"/>
          <w:lang w:val="mk-MK"/>
        </w:rPr>
        <w:t xml:space="preserve">та за РЈА </w:t>
      </w:r>
      <w:r w:rsidRPr="00142DD3">
        <w:rPr>
          <w:rFonts w:cs="Calibri"/>
          <w:lang w:val="mk-MK"/>
        </w:rPr>
        <w:t xml:space="preserve">се стреми кон исполнување на </w:t>
      </w:r>
      <w:r w:rsidRPr="00142DD3">
        <w:rPr>
          <w:rFonts w:cs="Calibri"/>
          <w:b/>
          <w:lang w:val="mk-MK"/>
        </w:rPr>
        <w:t>визијата</w:t>
      </w:r>
      <w:r w:rsidR="009700A1">
        <w:rPr>
          <w:rFonts w:cs="Calibri"/>
          <w:b/>
          <w:lang w:val="mk-MK"/>
        </w:rPr>
        <w:t>.</w:t>
      </w:r>
      <w:r w:rsidRPr="00E64489">
        <w:rPr>
          <w:rFonts w:cs="Calibri"/>
          <w:b/>
          <w:lang w:val="mk-MK"/>
        </w:rPr>
        <w:t xml:space="preserve"> </w:t>
      </w:r>
    </w:p>
    <w:p w14:paraId="0D1D55EC" w14:textId="791E3E34" w:rsidR="00542CCC" w:rsidRDefault="00542CCC" w:rsidP="00E64489">
      <w:pPr>
        <w:jc w:val="both"/>
        <w:rPr>
          <w:rFonts w:cs="Calibri"/>
          <w:bCs/>
          <w:lang w:val="mk-MK"/>
        </w:rPr>
      </w:pPr>
      <w:r>
        <w:rPr>
          <w:rFonts w:cs="Calibri"/>
          <w:bCs/>
          <w:noProof/>
          <w:lang w:val="en-US"/>
        </w:rPr>
        <w:lastRenderedPageBreak/>
        <mc:AlternateContent>
          <mc:Choice Requires="wps">
            <w:drawing>
              <wp:anchor distT="0" distB="0" distL="114300" distR="114300" simplePos="0" relativeHeight="251683840" behindDoc="0" locked="0" layoutInCell="1" allowOverlap="1" wp14:anchorId="1845519F" wp14:editId="65325CE4">
                <wp:simplePos x="0" y="0"/>
                <wp:positionH relativeFrom="margin">
                  <wp:align>right</wp:align>
                </wp:positionH>
                <wp:positionV relativeFrom="paragraph">
                  <wp:posOffset>863</wp:posOffset>
                </wp:positionV>
                <wp:extent cx="5865963" cy="1476375"/>
                <wp:effectExtent l="19050" t="19050" r="20955" b="28575"/>
                <wp:wrapNone/>
                <wp:docPr id="29" name="Scroll: Horizontal 29"/>
                <wp:cNvGraphicFramePr/>
                <a:graphic xmlns:a="http://schemas.openxmlformats.org/drawingml/2006/main">
                  <a:graphicData uri="http://schemas.microsoft.com/office/word/2010/wordprocessingShape">
                    <wps:wsp>
                      <wps:cNvSpPr/>
                      <wps:spPr>
                        <a:xfrm>
                          <a:off x="0" y="0"/>
                          <a:ext cx="5865963" cy="1476375"/>
                        </a:xfrm>
                        <a:prstGeom prst="horizontalScroll">
                          <a:avLst/>
                        </a:prstGeom>
                        <a:ln w="28575"/>
                      </wps:spPr>
                      <wps:style>
                        <a:lnRef idx="2">
                          <a:schemeClr val="accent1"/>
                        </a:lnRef>
                        <a:fillRef idx="1">
                          <a:schemeClr val="lt1"/>
                        </a:fillRef>
                        <a:effectRef idx="0">
                          <a:schemeClr val="accent1"/>
                        </a:effectRef>
                        <a:fontRef idx="minor">
                          <a:schemeClr val="dk1"/>
                        </a:fontRef>
                      </wps:style>
                      <wps:txbx>
                        <w:txbxContent>
                          <w:p w14:paraId="74E952AF" w14:textId="33F75EB5" w:rsidR="00902252" w:rsidRPr="00AC68FC" w:rsidRDefault="00902252" w:rsidP="00542CCC">
                            <w:pPr>
                              <w:jc w:val="both"/>
                              <w:rPr>
                                <w:rFonts w:cs="Calibri"/>
                                <w:b/>
                                <w:bCs/>
                                <w:lang w:val="mk-MK"/>
                              </w:rPr>
                            </w:pPr>
                            <w:r w:rsidRPr="00AC68FC">
                              <w:rPr>
                                <w:rFonts w:cs="Calibri"/>
                                <w:b/>
                                <w:bCs/>
                                <w:lang w:val="mk-MK"/>
                              </w:rPr>
                              <w:t>„Деполитизирана, ефикасна, ефективна и отчетна јавна администрација која обезбедува квалитетни политики и лесно достапни услуги за граѓаните и деловните субјекти. Работата на јавната администрација се темели на европските начела и вредности и придонесува кон одржлив економски раст, владеење на правото, социјална кохезија и благосостојба</w:t>
                            </w:r>
                            <w:r>
                              <w:rPr>
                                <w:rFonts w:cs="Calibri"/>
                                <w:b/>
                                <w:bCs/>
                                <w:lang w:val="mk-MK"/>
                              </w:rPr>
                              <w:t>.</w:t>
                            </w:r>
                            <w:r w:rsidRPr="00AC68FC">
                              <w:rPr>
                                <w:rFonts w:cs="Calibri"/>
                                <w:b/>
                                <w:bCs/>
                                <w:lang w:val="mk-MK"/>
                              </w:rPr>
                              <w:t>“</w:t>
                            </w:r>
                          </w:p>
                          <w:p w14:paraId="6F5C0A64" w14:textId="77777777" w:rsidR="00902252" w:rsidRDefault="00902252" w:rsidP="00542C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5519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9" o:spid="_x0000_s1026" type="#_x0000_t98" style="position:absolute;left:0;text-align:left;margin-left:410.7pt;margin-top:.05pt;width:461.9pt;height:116.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" fillcolor="white [3201]" strokecolor="#4472c4 [3204]" strokeweight="2.25pt">
                <v:stroke joinstyle="miter"/>
                <v:textbox>
                  <w:txbxContent>
                    <w:p w14:paraId="74E952AF" w14:textId="33F75EB5" w:rsidR="00902252" w:rsidRPr="00AC68FC" w:rsidRDefault="00902252" w:rsidP="00542CCC">
                      <w:pPr>
                        <w:jc w:val="both"/>
                        <w:rPr>
                          <w:rFonts w:cs="Calibri"/>
                          <w:b/>
                          <w:bCs/>
                          <w:lang w:val="mk-MK"/>
                        </w:rPr>
                      </w:pPr>
                      <w:r w:rsidRPr="00AC68FC">
                        <w:rPr>
                          <w:rFonts w:cs="Calibri"/>
                          <w:b/>
                          <w:bCs/>
                          <w:lang w:val="mk-MK"/>
                        </w:rPr>
                        <w:t>„Деполитизирана, ефикасна, ефективна и отчетна јавна администрација која обезбедува квалитетни политики и лесно достапни услуги за граѓаните и деловните субјекти. Работата на јавната администрација се темели на европските начела и вредности и придонесува кон одржлив економски раст, владеење на правото, социјална кохезија и благосостојба</w:t>
                      </w:r>
                      <w:r>
                        <w:rPr>
                          <w:rFonts w:cs="Calibri"/>
                          <w:b/>
                          <w:bCs/>
                          <w:lang w:val="mk-MK"/>
                        </w:rPr>
                        <w:t>.</w:t>
                      </w:r>
                      <w:r w:rsidRPr="00AC68FC">
                        <w:rPr>
                          <w:rFonts w:cs="Calibri"/>
                          <w:b/>
                          <w:bCs/>
                          <w:lang w:val="mk-MK"/>
                        </w:rPr>
                        <w:t>“</w:t>
                      </w:r>
                    </w:p>
                    <w:p w14:paraId="6F5C0A64" w14:textId="77777777" w:rsidR="00902252" w:rsidRDefault="00902252" w:rsidP="00542CCC">
                      <w:pPr>
                        <w:jc w:val="center"/>
                      </w:pPr>
                    </w:p>
                  </w:txbxContent>
                </v:textbox>
                <w10:wrap anchorx="margin"/>
              </v:shape>
            </w:pict>
          </mc:Fallback>
        </mc:AlternateContent>
      </w:r>
    </w:p>
    <w:p w14:paraId="7F29B01B" w14:textId="77777777" w:rsidR="00542CCC" w:rsidRPr="00E64489" w:rsidRDefault="00542CCC" w:rsidP="00E64489">
      <w:pPr>
        <w:jc w:val="both"/>
        <w:rPr>
          <w:rFonts w:cs="Calibri"/>
          <w:bCs/>
          <w:lang w:val="mk-MK"/>
        </w:rPr>
      </w:pPr>
    </w:p>
    <w:p w14:paraId="6B8FEC69" w14:textId="77777777" w:rsidR="00542CCC" w:rsidRDefault="00542CCC" w:rsidP="00E64489">
      <w:pPr>
        <w:jc w:val="both"/>
        <w:rPr>
          <w:rFonts w:cs="Calibri"/>
          <w:shd w:val="clear" w:color="auto" w:fill="FFFFFF"/>
          <w:lang w:val="mk-MK"/>
        </w:rPr>
      </w:pPr>
    </w:p>
    <w:p w14:paraId="6FEE49F7" w14:textId="77777777" w:rsidR="00542CCC" w:rsidRDefault="00542CCC" w:rsidP="00E64489">
      <w:pPr>
        <w:jc w:val="both"/>
        <w:rPr>
          <w:rFonts w:cs="Calibri"/>
          <w:shd w:val="clear" w:color="auto" w:fill="FFFFFF"/>
          <w:lang w:val="mk-MK"/>
        </w:rPr>
      </w:pPr>
    </w:p>
    <w:p w14:paraId="50EA1CD5" w14:textId="77777777" w:rsidR="00542CCC" w:rsidRDefault="00542CCC" w:rsidP="00E64489">
      <w:pPr>
        <w:jc w:val="both"/>
        <w:rPr>
          <w:rFonts w:cs="Calibri"/>
          <w:shd w:val="clear" w:color="auto" w:fill="FFFFFF"/>
          <w:lang w:val="mk-MK"/>
        </w:rPr>
      </w:pPr>
    </w:p>
    <w:p w14:paraId="1D36A36E" w14:textId="77777777" w:rsidR="0065671B" w:rsidRDefault="0065671B" w:rsidP="00E64489">
      <w:pPr>
        <w:jc w:val="both"/>
        <w:rPr>
          <w:rFonts w:cs="Calibri"/>
          <w:shd w:val="clear" w:color="auto" w:fill="FFFFFF"/>
          <w:lang w:val="mk-MK"/>
        </w:rPr>
      </w:pPr>
    </w:p>
    <w:p w14:paraId="2FD23D8F" w14:textId="77777777" w:rsidR="0065671B" w:rsidRDefault="0065671B" w:rsidP="00E64489">
      <w:pPr>
        <w:jc w:val="both"/>
        <w:rPr>
          <w:rFonts w:cs="Calibri"/>
          <w:shd w:val="clear" w:color="auto" w:fill="FFFFFF"/>
          <w:lang w:val="mk-MK"/>
        </w:rPr>
      </w:pPr>
    </w:p>
    <w:p w14:paraId="60E9FAB6" w14:textId="77777777" w:rsidR="00185881" w:rsidRDefault="00185881" w:rsidP="00E64489">
      <w:pPr>
        <w:jc w:val="both"/>
        <w:rPr>
          <w:rFonts w:cs="Calibri"/>
          <w:shd w:val="clear" w:color="auto" w:fill="FFFFFF"/>
          <w:lang w:val="mk-MK"/>
        </w:rPr>
      </w:pPr>
    </w:p>
    <w:p w14:paraId="48B754E6" w14:textId="77777777" w:rsidR="00185881" w:rsidRDefault="00185881" w:rsidP="00E64489">
      <w:pPr>
        <w:jc w:val="both"/>
        <w:rPr>
          <w:rFonts w:cs="Calibri"/>
          <w:shd w:val="clear" w:color="auto" w:fill="FFFFFF"/>
          <w:lang w:val="mk-MK"/>
        </w:rPr>
      </w:pPr>
    </w:p>
    <w:p w14:paraId="0D84EBDF" w14:textId="77777777" w:rsidR="0065671B" w:rsidRDefault="0065671B" w:rsidP="00E64489">
      <w:pPr>
        <w:jc w:val="both"/>
        <w:rPr>
          <w:rFonts w:cs="Calibri"/>
          <w:shd w:val="clear" w:color="auto" w:fill="FFFFFF"/>
          <w:lang w:val="mk-MK"/>
        </w:rPr>
      </w:pPr>
    </w:p>
    <w:p w14:paraId="6559C3EA" w14:textId="77777777" w:rsidR="0065671B" w:rsidRDefault="0065671B" w:rsidP="00E64489">
      <w:pPr>
        <w:jc w:val="both"/>
        <w:rPr>
          <w:rFonts w:cs="Calibri"/>
          <w:shd w:val="clear" w:color="auto" w:fill="FFFFFF"/>
          <w:lang w:val="mk-MK"/>
        </w:rPr>
      </w:pPr>
    </w:p>
    <w:p w14:paraId="6997DD89" w14:textId="512075F3" w:rsidR="00542CCC" w:rsidRDefault="00542CCC" w:rsidP="00E64489">
      <w:pPr>
        <w:jc w:val="both"/>
        <w:rPr>
          <w:rFonts w:cs="Calibri"/>
          <w:shd w:val="clear" w:color="auto" w:fill="FFFFFF"/>
          <w:lang w:val="mk-MK"/>
        </w:rPr>
      </w:pPr>
      <w:r w:rsidRPr="00AC68FC">
        <w:rPr>
          <w:rFonts w:cs="Calibri"/>
          <w:b/>
          <w:shd w:val="clear" w:color="auto" w:fill="FFFFFF"/>
          <w:lang w:val="mk-MK"/>
        </w:rPr>
        <w:t>Стратешката рамка е дефинирана преку општата и посебните цели во секоја од приоритетните области</w:t>
      </w:r>
      <w:r>
        <w:rPr>
          <w:rFonts w:cs="Calibri"/>
          <w:shd w:val="clear" w:color="auto" w:fill="FFFFFF"/>
          <w:lang w:val="mk-M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221"/>
      </w:tblGrid>
      <w:tr w:rsidR="0065671B" w14:paraId="3830E9F7" w14:textId="77777777" w:rsidTr="00AC68FC">
        <w:tc>
          <w:tcPr>
            <w:tcW w:w="1139" w:type="dxa"/>
          </w:tcPr>
          <w:p w14:paraId="756BE2AE" w14:textId="70064756" w:rsidR="0065671B" w:rsidRDefault="0065671B" w:rsidP="00E64489">
            <w:pPr>
              <w:jc w:val="both"/>
              <w:rPr>
                <w:rFonts w:cs="Calibri"/>
                <w:shd w:val="clear" w:color="auto" w:fill="FFFFFF"/>
                <w:lang w:val="mk-MK"/>
              </w:rPr>
            </w:pPr>
            <w:r>
              <w:rPr>
                <w:rFonts w:cs="Calibri"/>
                <w:noProof/>
                <w:shd w:val="clear" w:color="auto" w:fill="FFFFFF"/>
                <w:lang w:val="en-US"/>
              </w:rPr>
              <w:drawing>
                <wp:inline distT="0" distB="0" distL="0" distR="0" wp14:anchorId="3BEBA5FA" wp14:editId="7978B7BF">
                  <wp:extent cx="586597" cy="508635"/>
                  <wp:effectExtent l="0" t="0" r="0" b="0"/>
                  <wp:docPr id="61" name="Graphic 61"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Puzzle pieces"/>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95678" cy="516509"/>
                          </a:xfrm>
                          <a:prstGeom prst="rect">
                            <a:avLst/>
                          </a:prstGeom>
                        </pic:spPr>
                      </pic:pic>
                    </a:graphicData>
                  </a:graphic>
                </wp:inline>
              </w:drawing>
            </w:r>
          </w:p>
        </w:tc>
        <w:tc>
          <w:tcPr>
            <w:tcW w:w="8221" w:type="dxa"/>
          </w:tcPr>
          <w:p w14:paraId="6B2A538E" w14:textId="77777777" w:rsidR="0065671B" w:rsidRPr="00AC68FC" w:rsidRDefault="0065671B" w:rsidP="00E64489">
            <w:pPr>
              <w:jc w:val="both"/>
              <w:rPr>
                <w:rFonts w:cs="Calibri"/>
                <w:b/>
                <w:sz w:val="24"/>
                <w:szCs w:val="24"/>
                <w:lang w:val="mk-MK"/>
              </w:rPr>
            </w:pPr>
            <w:r w:rsidRPr="00AC68FC">
              <w:rPr>
                <w:rFonts w:cs="Calibri"/>
                <w:b/>
                <w:sz w:val="24"/>
                <w:szCs w:val="24"/>
                <w:lang w:val="mk-MK"/>
              </w:rPr>
              <w:t>Креирање на политики и координација</w:t>
            </w:r>
          </w:p>
          <w:p w14:paraId="4BCC31BB" w14:textId="77777777" w:rsidR="00745259" w:rsidRDefault="00745259" w:rsidP="00E64489">
            <w:pPr>
              <w:jc w:val="both"/>
              <w:rPr>
                <w:rFonts w:cs="Calibri"/>
                <w:b/>
                <w:shd w:val="clear" w:color="auto" w:fill="FFFFFF"/>
                <w:lang w:val="mk-MK"/>
              </w:rPr>
            </w:pPr>
          </w:p>
          <w:p w14:paraId="7668DF35" w14:textId="09134B84" w:rsidR="003607EF" w:rsidRDefault="003607EF" w:rsidP="00E64489">
            <w:pPr>
              <w:jc w:val="both"/>
              <w:rPr>
                <w:rFonts w:cs="Calibri"/>
                <w:b/>
                <w:shd w:val="clear" w:color="auto" w:fill="FFFFFF"/>
                <w:lang w:val="mk-MK"/>
              </w:rPr>
            </w:pPr>
            <w:r w:rsidRPr="00FD03E7">
              <w:rPr>
                <w:rFonts w:cs="Calibri"/>
                <w:b/>
                <w:shd w:val="clear" w:color="auto" w:fill="FFFFFF"/>
                <w:lang w:val="mk-MK"/>
              </w:rPr>
              <w:t>Општа цел: Ефективно, ефикасно</w:t>
            </w:r>
            <w:r w:rsidR="00385B81" w:rsidRPr="00FD03E7">
              <w:rPr>
                <w:rFonts w:cs="Calibri"/>
                <w:b/>
                <w:shd w:val="clear" w:color="auto" w:fill="FFFFFF"/>
                <w:lang w:val="mk-MK"/>
              </w:rPr>
              <w:t>, транспарентно,</w:t>
            </w:r>
            <w:r w:rsidRPr="00FD03E7">
              <w:rPr>
                <w:rFonts w:cs="Calibri"/>
                <w:b/>
                <w:shd w:val="clear" w:color="auto" w:fill="FFFFFF"/>
                <w:lang w:val="mk-MK"/>
              </w:rPr>
              <w:t xml:space="preserve"> инклузивно креирани политики</w:t>
            </w:r>
            <w:r w:rsidR="00385B81" w:rsidRPr="00FD03E7">
              <w:rPr>
                <w:rFonts w:cs="Calibri"/>
                <w:b/>
                <w:shd w:val="clear" w:color="auto" w:fill="FFFFFF"/>
                <w:lang w:val="mk-MK"/>
              </w:rPr>
              <w:t xml:space="preserve"> базирани на докази</w:t>
            </w:r>
          </w:p>
          <w:p w14:paraId="46E41CC7" w14:textId="070AC66A" w:rsidR="003607EF" w:rsidRDefault="003607EF" w:rsidP="00E64489">
            <w:pPr>
              <w:jc w:val="both"/>
              <w:rPr>
                <w:rFonts w:cs="Calibri"/>
                <w:shd w:val="clear" w:color="auto" w:fill="FFFFFF"/>
                <w:lang w:val="mk-MK"/>
              </w:rPr>
            </w:pPr>
          </w:p>
        </w:tc>
      </w:tr>
    </w:tbl>
    <w:p w14:paraId="15726F46" w14:textId="1602AA8E" w:rsidR="00E64489" w:rsidRPr="00E64489" w:rsidRDefault="00450DC1" w:rsidP="00E64489">
      <w:pPr>
        <w:jc w:val="both"/>
        <w:rPr>
          <w:iCs/>
          <w:lang w:val="mk-MK"/>
        </w:rPr>
      </w:pPr>
      <w:r>
        <w:rPr>
          <w:rFonts w:cs="Calibri"/>
          <w:shd w:val="clear" w:color="auto" w:fill="FFFFFF"/>
          <w:lang w:val="mk-MK"/>
        </w:rPr>
        <w:t>З</w:t>
      </w:r>
      <w:r w:rsidR="00E64489" w:rsidRPr="00E64489">
        <w:rPr>
          <w:rFonts w:cs="Calibri"/>
          <w:shd w:val="clear" w:color="auto" w:fill="FFFFFF"/>
          <w:lang w:val="mk-MK"/>
        </w:rPr>
        <w:t>а постигнување на општ</w:t>
      </w:r>
      <w:r>
        <w:rPr>
          <w:rFonts w:cs="Calibri"/>
          <w:shd w:val="clear" w:color="auto" w:fill="FFFFFF"/>
          <w:lang w:val="mk-MK"/>
        </w:rPr>
        <w:t>ата</w:t>
      </w:r>
      <w:r w:rsidR="00E64489" w:rsidRPr="00E64489">
        <w:rPr>
          <w:rFonts w:cs="Calibri"/>
          <w:shd w:val="clear" w:color="auto" w:fill="FFFFFF"/>
          <w:lang w:val="mk-MK"/>
        </w:rPr>
        <w:t xml:space="preserve"> и посебни</w:t>
      </w:r>
      <w:r>
        <w:rPr>
          <w:rFonts w:cs="Calibri"/>
          <w:shd w:val="clear" w:color="auto" w:fill="FFFFFF"/>
          <w:lang w:val="mk-MK"/>
        </w:rPr>
        <w:t>те</w:t>
      </w:r>
      <w:r w:rsidR="00E64489" w:rsidRPr="00E64489">
        <w:rPr>
          <w:rFonts w:cs="Calibri"/>
          <w:shd w:val="clear" w:color="auto" w:fill="FFFFFF"/>
          <w:lang w:val="mk-MK"/>
        </w:rPr>
        <w:t xml:space="preserve"> цели во првата приоритетна област </w:t>
      </w:r>
      <w:r w:rsidR="00E64489" w:rsidRPr="00071C93">
        <w:rPr>
          <w:rFonts w:cs="Calibri"/>
          <w:b/>
          <w:shd w:val="clear" w:color="auto" w:fill="FFFFFF"/>
          <w:lang w:val="mk-MK"/>
        </w:rPr>
        <w:t>„</w:t>
      </w:r>
      <w:r w:rsidR="00E64489" w:rsidRPr="00E64489">
        <w:rPr>
          <w:rFonts w:cs="Calibri"/>
          <w:b/>
          <w:lang w:val="mk-MK"/>
        </w:rPr>
        <w:t>Креирање на политики и координација“</w:t>
      </w:r>
      <w:r w:rsidR="00E64489" w:rsidRPr="00E64489">
        <w:rPr>
          <w:rFonts w:cs="Calibri"/>
          <w:lang w:val="mk-MK"/>
        </w:rPr>
        <w:t xml:space="preserve"> ќе бидат преземени мерки за </w:t>
      </w:r>
      <w:r w:rsidR="00E64489" w:rsidRPr="00E64489">
        <w:rPr>
          <w:bCs/>
          <w:lang w:val="mk-MK"/>
        </w:rPr>
        <w:t>развивање и одржување на функционален  механизам  за  усогласување на долгорочното со среднорочното и годишното планирање</w:t>
      </w:r>
      <w:r w:rsidR="00EA3F23">
        <w:rPr>
          <w:bCs/>
          <w:lang w:val="mk-MK"/>
        </w:rPr>
        <w:t xml:space="preserve"> преку унапредување на процесите и </w:t>
      </w:r>
      <w:r w:rsidR="00E64489" w:rsidRPr="00E64489">
        <w:rPr>
          <w:lang w:val="mk-MK"/>
        </w:rPr>
        <w:t xml:space="preserve">електронско хоризонтално и вертикално поврзување на организационите единици за стратешко планирање во </w:t>
      </w:r>
      <w:r w:rsidR="00C82529">
        <w:rPr>
          <w:lang w:val="mk-MK"/>
        </w:rPr>
        <w:t>органите на државната управа</w:t>
      </w:r>
      <w:r w:rsidR="00E64489" w:rsidRPr="00E64489">
        <w:rPr>
          <w:lang w:val="mk-MK"/>
        </w:rPr>
        <w:t xml:space="preserve"> со </w:t>
      </w:r>
      <w:r w:rsidR="001F11B5">
        <w:rPr>
          <w:lang w:val="mk-MK"/>
        </w:rPr>
        <w:t>ГС</w:t>
      </w:r>
      <w:r w:rsidR="000A2DED">
        <w:rPr>
          <w:lang w:val="mk-MK"/>
        </w:rPr>
        <w:t>. Воедно, ќе се работи на</w:t>
      </w:r>
      <w:r w:rsidR="00E64489" w:rsidRPr="00E64489">
        <w:rPr>
          <w:lang w:val="mk-MK"/>
        </w:rPr>
        <w:t xml:space="preserve"> зајакнување</w:t>
      </w:r>
      <w:r w:rsidR="000A2DED">
        <w:rPr>
          <w:lang w:val="mk-MK"/>
        </w:rPr>
        <w:t xml:space="preserve"> </w:t>
      </w:r>
      <w:r w:rsidR="00E64489" w:rsidRPr="00E64489">
        <w:rPr>
          <w:lang w:val="mk-MK"/>
        </w:rPr>
        <w:t>на капацитети</w:t>
      </w:r>
      <w:r w:rsidR="000A2DED">
        <w:rPr>
          <w:lang w:val="mk-MK"/>
        </w:rPr>
        <w:t xml:space="preserve">те </w:t>
      </w:r>
      <w:r w:rsidR="00E64489" w:rsidRPr="00E64489">
        <w:rPr>
          <w:lang w:val="mk-MK"/>
        </w:rPr>
        <w:t xml:space="preserve">во </w:t>
      </w:r>
      <w:r w:rsidR="001F11B5">
        <w:rPr>
          <w:lang w:val="mk-MK"/>
        </w:rPr>
        <w:t>ГС</w:t>
      </w:r>
      <w:r w:rsidR="00E64489" w:rsidRPr="00E64489">
        <w:rPr>
          <w:lang w:val="mk-MK"/>
        </w:rPr>
        <w:t xml:space="preserve"> и </w:t>
      </w:r>
      <w:r w:rsidR="000A2DED">
        <w:rPr>
          <w:lang w:val="mk-MK"/>
        </w:rPr>
        <w:t xml:space="preserve">на </w:t>
      </w:r>
      <w:r w:rsidR="00E64489" w:rsidRPr="00E64489">
        <w:rPr>
          <w:lang w:val="mk-MK"/>
        </w:rPr>
        <w:t>вработените во организационите единици</w:t>
      </w:r>
      <w:r w:rsidR="00EA3F23">
        <w:rPr>
          <w:lang w:val="mk-MK"/>
        </w:rPr>
        <w:t xml:space="preserve"> за стратешко планирање</w:t>
      </w:r>
      <w:r w:rsidR="00E64489" w:rsidRPr="00E64489">
        <w:rPr>
          <w:lang w:val="mk-MK"/>
        </w:rPr>
        <w:t xml:space="preserve"> во </w:t>
      </w:r>
      <w:r w:rsidR="000A2DED">
        <w:rPr>
          <w:lang w:val="mk-MK"/>
        </w:rPr>
        <w:t>органите на државната управа</w:t>
      </w:r>
      <w:r w:rsidR="00E64489" w:rsidRPr="00E64489">
        <w:rPr>
          <w:b/>
          <w:bCs/>
          <w:lang w:val="mk-MK"/>
        </w:rPr>
        <w:t xml:space="preserve">. </w:t>
      </w:r>
      <w:r w:rsidR="00EA3F23">
        <w:rPr>
          <w:bCs/>
          <w:lang w:val="mk-MK"/>
        </w:rPr>
        <w:t>С</w:t>
      </w:r>
      <w:r w:rsidR="00E64489" w:rsidRPr="00E64489">
        <w:rPr>
          <w:bCs/>
          <w:lang w:val="mk-MK"/>
        </w:rPr>
        <w:t xml:space="preserve">истемот на координација на политики и одлучување на </w:t>
      </w:r>
      <w:r w:rsidR="001F11B5">
        <w:rPr>
          <w:bCs/>
          <w:lang w:val="mk-MK"/>
        </w:rPr>
        <w:t>ВРСМ</w:t>
      </w:r>
      <w:r w:rsidR="00EA3F23">
        <w:rPr>
          <w:bCs/>
          <w:lang w:val="mk-MK"/>
        </w:rPr>
        <w:t xml:space="preserve"> ќе </w:t>
      </w:r>
      <w:r w:rsidR="00E64489" w:rsidRPr="00E64489">
        <w:rPr>
          <w:bCs/>
          <w:lang w:val="mk-MK"/>
        </w:rPr>
        <w:t xml:space="preserve">се </w:t>
      </w:r>
      <w:r w:rsidR="00EA3F23">
        <w:rPr>
          <w:bCs/>
          <w:lang w:val="mk-MK"/>
        </w:rPr>
        <w:t xml:space="preserve">унапреди </w:t>
      </w:r>
      <w:r w:rsidR="00EA3F23">
        <w:rPr>
          <w:lang w:val="mk-MK"/>
        </w:rPr>
        <w:t>преку подобрување на квалитетот на</w:t>
      </w:r>
      <w:r w:rsidR="00E64489" w:rsidRPr="00E64489">
        <w:rPr>
          <w:lang w:val="mk-MK"/>
        </w:rPr>
        <w:t xml:space="preserve"> правната рамка (нов Деловник за работа на </w:t>
      </w:r>
      <w:r w:rsidR="001F11B5">
        <w:rPr>
          <w:lang w:val="mk-MK"/>
        </w:rPr>
        <w:t>ВРСМ</w:t>
      </w:r>
      <w:r w:rsidR="00E64489" w:rsidRPr="00E64489">
        <w:rPr>
          <w:lang w:val="mk-MK"/>
        </w:rPr>
        <w:t>)</w:t>
      </w:r>
      <w:r w:rsidR="00EA3F23">
        <w:rPr>
          <w:lang w:val="mk-MK"/>
        </w:rPr>
        <w:t xml:space="preserve"> и понатамошна </w:t>
      </w:r>
      <w:r w:rsidR="00E64489" w:rsidRPr="00E64489">
        <w:rPr>
          <w:lang w:val="mk-MK"/>
        </w:rPr>
        <w:t>дигитализација на процесите</w:t>
      </w:r>
      <w:r w:rsidR="00EA3F23">
        <w:rPr>
          <w:lang w:val="mk-MK"/>
        </w:rPr>
        <w:t xml:space="preserve"> за планирање и координација </w:t>
      </w:r>
      <w:r w:rsidR="00E64489" w:rsidRPr="00E64489">
        <w:rPr>
          <w:lang w:val="mk-MK"/>
        </w:rPr>
        <w:t xml:space="preserve">и поедноставување на работата на </w:t>
      </w:r>
      <w:r w:rsidR="001F11B5">
        <w:rPr>
          <w:lang w:val="mk-MK"/>
        </w:rPr>
        <w:t>ГС</w:t>
      </w:r>
      <w:r w:rsidR="000A2DED">
        <w:rPr>
          <w:lang w:val="mk-MK"/>
        </w:rPr>
        <w:t xml:space="preserve"> </w:t>
      </w:r>
      <w:r w:rsidR="00E64489" w:rsidRPr="00E64489">
        <w:rPr>
          <w:lang w:val="mk-MK"/>
        </w:rPr>
        <w:t>преку надградба на системот Е-Влада. Утврдени се мерки за к</w:t>
      </w:r>
      <w:r w:rsidR="00E64489" w:rsidRPr="00E64489">
        <w:rPr>
          <w:bCs/>
          <w:lang w:val="mk-MK"/>
        </w:rPr>
        <w:t xml:space="preserve">валитетно транспонирање на правото на ЕУ во националното законодавство </w:t>
      </w:r>
      <w:r w:rsidR="00E64489" w:rsidRPr="00E64489">
        <w:rPr>
          <w:lang w:val="mk-MK"/>
        </w:rPr>
        <w:t xml:space="preserve">преку спроведување на специјализирана програма за обука за номотехнички правила и за транспонирање на правото на ЕУ во националното законодавство. Заради ефективно и доследно спроведување на процесот на </w:t>
      </w:r>
      <w:r w:rsidR="00C82529">
        <w:rPr>
          <w:lang w:val="mk-MK"/>
        </w:rPr>
        <w:t>ПВР</w:t>
      </w:r>
      <w:r w:rsidR="00E64489" w:rsidRPr="00E64489">
        <w:rPr>
          <w:lang w:val="mk-MK"/>
        </w:rPr>
        <w:t xml:space="preserve"> предвидено е зајакнување на човечките ресурси одговорни за подготовка, но и проверка на содржината на извештаите за </w:t>
      </w:r>
      <w:r w:rsidR="000A2DED">
        <w:rPr>
          <w:lang w:val="mk-MK"/>
        </w:rPr>
        <w:t>ПВР</w:t>
      </w:r>
      <w:r w:rsidR="00E64489" w:rsidRPr="00E64489">
        <w:rPr>
          <w:lang w:val="mk-MK"/>
        </w:rPr>
        <w:t xml:space="preserve">. Дополнително, ќе се олесни и воедначи процесот на ПВР во министерствата преку активности </w:t>
      </w:r>
      <w:r w:rsidR="000A2DED">
        <w:rPr>
          <w:lang w:val="mk-MK"/>
        </w:rPr>
        <w:t xml:space="preserve">кои ќе обезбедат </w:t>
      </w:r>
      <w:r w:rsidR="00E64489" w:rsidRPr="00E64489">
        <w:rPr>
          <w:lang w:val="mk-MK"/>
        </w:rPr>
        <w:t>ј</w:t>
      </w:r>
      <w:r w:rsidR="00E64489" w:rsidRPr="00E64489">
        <w:rPr>
          <w:iCs/>
          <w:lang w:val="mk-MK"/>
        </w:rPr>
        <w:t>асни правила и процедури за планирање, спроведување и следење на процесот,</w:t>
      </w:r>
      <w:r w:rsidR="007A09E8">
        <w:rPr>
          <w:iCs/>
          <w:lang w:val="mk-MK"/>
        </w:rPr>
        <w:t xml:space="preserve"> како и </w:t>
      </w:r>
      <w:r w:rsidR="00385B81" w:rsidRPr="00FD03E7">
        <w:rPr>
          <w:iCs/>
          <w:lang w:val="mk-MK"/>
        </w:rPr>
        <w:t>постепено</w:t>
      </w:r>
      <w:r w:rsidR="00385B81">
        <w:rPr>
          <w:iCs/>
          <w:lang w:val="mk-MK"/>
        </w:rPr>
        <w:t xml:space="preserve"> </w:t>
      </w:r>
      <w:r w:rsidR="00E64489" w:rsidRPr="00E64489">
        <w:rPr>
          <w:iCs/>
          <w:lang w:val="mk-MK"/>
        </w:rPr>
        <w:t>прошир</w:t>
      </w:r>
      <w:r w:rsidR="007A09E8">
        <w:rPr>
          <w:iCs/>
          <w:lang w:val="mk-MK"/>
        </w:rPr>
        <w:t xml:space="preserve">ување на ПВР </w:t>
      </w:r>
      <w:r w:rsidR="00E64489" w:rsidRPr="00E64489">
        <w:rPr>
          <w:iCs/>
          <w:lang w:val="mk-MK"/>
        </w:rPr>
        <w:t xml:space="preserve">на подзаконските акти. Исто така, предвидени се мерки насочени кон </w:t>
      </w:r>
      <w:r w:rsidR="007A09E8">
        <w:rPr>
          <w:iCs/>
          <w:lang w:val="mk-MK"/>
        </w:rPr>
        <w:t xml:space="preserve">зајакнување на </w:t>
      </w:r>
      <w:r w:rsidR="007A09E8" w:rsidRPr="00E64489">
        <w:rPr>
          <w:lang w:val="mk-MK"/>
        </w:rPr>
        <w:t>контролните механизми за спроведување на консултациите</w:t>
      </w:r>
      <w:r w:rsidR="007A09E8">
        <w:rPr>
          <w:iCs/>
          <w:lang w:val="mk-MK"/>
        </w:rPr>
        <w:t xml:space="preserve"> со </w:t>
      </w:r>
      <w:r w:rsidR="00E64489" w:rsidRPr="00E64489">
        <w:rPr>
          <w:iCs/>
          <w:lang w:val="mk-MK"/>
        </w:rPr>
        <w:t>заинтересираните страни и пошироката јавност во креирањето на политиките и подготовката на законодавството</w:t>
      </w:r>
      <w:r w:rsidR="00E64489" w:rsidRPr="00E64489">
        <w:rPr>
          <w:lang w:val="mk-MK"/>
        </w:rPr>
        <w:t xml:space="preserve">. На </w:t>
      </w:r>
      <w:r w:rsidR="00E64489" w:rsidRPr="00E64489">
        <w:rPr>
          <w:lang w:val="mk-MK"/>
        </w:rPr>
        <w:lastRenderedPageBreak/>
        <w:t xml:space="preserve">крај, со цел да се обезбеди </w:t>
      </w:r>
      <w:r w:rsidR="007A09E8">
        <w:rPr>
          <w:lang w:val="mk-MK"/>
        </w:rPr>
        <w:t xml:space="preserve">зајакнување на транспарентноста </w:t>
      </w:r>
      <w:r w:rsidR="00E64489" w:rsidRPr="00E64489">
        <w:rPr>
          <w:lang w:val="mk-MK"/>
        </w:rPr>
        <w:t xml:space="preserve">во работата на </w:t>
      </w:r>
      <w:r w:rsidR="001F11B5">
        <w:rPr>
          <w:lang w:val="mk-MK"/>
        </w:rPr>
        <w:t>ВРСМ</w:t>
      </w:r>
      <w:r w:rsidR="00E64489" w:rsidRPr="00E64489">
        <w:rPr>
          <w:lang w:val="mk-MK"/>
        </w:rPr>
        <w:t>, предвидена е мерка за р</w:t>
      </w:r>
      <w:r w:rsidR="00E64489" w:rsidRPr="00E64489">
        <w:rPr>
          <w:bCs/>
          <w:lang w:val="mk-MK"/>
        </w:rPr>
        <w:t xml:space="preserve">едовно и навремено информирање на јавноста за работата на </w:t>
      </w:r>
      <w:r w:rsidR="001F11B5">
        <w:rPr>
          <w:bCs/>
          <w:lang w:val="mk-MK"/>
        </w:rPr>
        <w:t>ВРСМ</w:t>
      </w:r>
      <w:r w:rsidR="001F11B5" w:rsidRPr="00E64489">
        <w:rPr>
          <w:bCs/>
          <w:lang w:val="mk-MK"/>
        </w:rPr>
        <w:t xml:space="preserve"> </w:t>
      </w:r>
      <w:r w:rsidR="00E64489" w:rsidRPr="00E64489">
        <w:rPr>
          <w:bCs/>
          <w:lang w:val="mk-MK"/>
        </w:rPr>
        <w:t>и за спроведувањето на планските документи.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3607EF" w14:paraId="045B2105" w14:textId="77777777" w:rsidTr="00AC68FC">
        <w:tc>
          <w:tcPr>
            <w:tcW w:w="985" w:type="dxa"/>
          </w:tcPr>
          <w:p w14:paraId="3371F9AC" w14:textId="4564F3C4" w:rsidR="003607EF" w:rsidRDefault="003607EF" w:rsidP="00E64489">
            <w:pPr>
              <w:jc w:val="both"/>
              <w:rPr>
                <w:iCs/>
                <w:lang w:val="mk-MK"/>
              </w:rPr>
            </w:pPr>
            <w:r>
              <w:rPr>
                <w:noProof/>
                <w:color w:val="000000" w:themeColor="text1"/>
                <w:sz w:val="24"/>
                <w:szCs w:val="24"/>
                <w:lang w:val="en-US"/>
              </w:rPr>
              <w:drawing>
                <wp:inline distT="0" distB="0" distL="0" distR="0" wp14:anchorId="4CE87D45" wp14:editId="0E1A9C75">
                  <wp:extent cx="428343" cy="373712"/>
                  <wp:effectExtent l="0" t="0" r="0" b="0"/>
                  <wp:docPr id="62" name="Graphic 62"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Users"/>
                          <pic:cNvPicPr/>
                        </pic:nvPicPr>
                        <pic:blipFill>
                          <a:blip r:embed="rId14"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5"/>
                              </a:ext>
                            </a:extLst>
                          </a:blip>
                          <a:stretch>
                            <a:fillRect/>
                          </a:stretch>
                        </pic:blipFill>
                        <pic:spPr>
                          <a:xfrm>
                            <a:off x="0" y="0"/>
                            <a:ext cx="442440" cy="386011"/>
                          </a:xfrm>
                          <a:prstGeom prst="rect">
                            <a:avLst/>
                          </a:prstGeom>
                        </pic:spPr>
                      </pic:pic>
                    </a:graphicData>
                  </a:graphic>
                </wp:inline>
              </w:drawing>
            </w:r>
          </w:p>
        </w:tc>
        <w:tc>
          <w:tcPr>
            <w:tcW w:w="8365" w:type="dxa"/>
          </w:tcPr>
          <w:p w14:paraId="1B76AE34" w14:textId="77777777" w:rsidR="003607EF" w:rsidRPr="00AC68FC" w:rsidRDefault="003607EF" w:rsidP="00E64489">
            <w:pPr>
              <w:jc w:val="both"/>
              <w:rPr>
                <w:rFonts w:cs="Calibri"/>
                <w:b/>
                <w:bCs/>
                <w:sz w:val="24"/>
                <w:szCs w:val="24"/>
                <w:lang w:val="mk-MK"/>
              </w:rPr>
            </w:pPr>
            <w:r w:rsidRPr="00AC68FC">
              <w:rPr>
                <w:rFonts w:cs="Calibri"/>
                <w:b/>
                <w:bCs/>
                <w:sz w:val="24"/>
                <w:szCs w:val="24"/>
                <w:lang w:val="mk-MK"/>
              </w:rPr>
              <w:t>Јавна служба и управување со човечките ресурси</w:t>
            </w:r>
          </w:p>
          <w:p w14:paraId="79A7C25A" w14:textId="77777777" w:rsidR="00745259" w:rsidRDefault="00745259" w:rsidP="00E64489">
            <w:pPr>
              <w:jc w:val="both"/>
              <w:rPr>
                <w:rFonts w:cs="Calibri"/>
                <w:b/>
                <w:bCs/>
                <w:lang w:val="mk-MK"/>
              </w:rPr>
            </w:pPr>
          </w:p>
          <w:p w14:paraId="36841660" w14:textId="0F719E74" w:rsidR="003607EF" w:rsidRDefault="003607EF" w:rsidP="00E64489">
            <w:pPr>
              <w:jc w:val="both"/>
              <w:rPr>
                <w:iCs/>
                <w:lang w:val="mk-MK"/>
              </w:rPr>
            </w:pPr>
            <w:r>
              <w:rPr>
                <w:rFonts w:cs="Calibri"/>
                <w:b/>
                <w:bCs/>
                <w:lang w:val="mk-MK"/>
              </w:rPr>
              <w:t xml:space="preserve">Општа цел: </w:t>
            </w:r>
            <w:r w:rsidR="004370A2">
              <w:rPr>
                <w:rFonts w:cs="Calibri"/>
                <w:b/>
                <w:bCs/>
                <w:lang w:val="mk-MK"/>
              </w:rPr>
              <w:t>Департизирана</w:t>
            </w:r>
            <w:r>
              <w:rPr>
                <w:rFonts w:cs="Calibri"/>
                <w:b/>
                <w:bCs/>
                <w:lang w:val="mk-MK"/>
              </w:rPr>
              <w:t>, професионална и стручна јавна администрација</w:t>
            </w:r>
          </w:p>
        </w:tc>
      </w:tr>
    </w:tbl>
    <w:p w14:paraId="25737560" w14:textId="77777777" w:rsidR="003607EF" w:rsidRDefault="003607EF" w:rsidP="00E64489">
      <w:pPr>
        <w:spacing w:after="0"/>
        <w:jc w:val="both"/>
        <w:rPr>
          <w:iCs/>
          <w:lang w:val="mk-MK"/>
        </w:rPr>
      </w:pPr>
    </w:p>
    <w:p w14:paraId="6223851B" w14:textId="4C139B58" w:rsidR="00E64489" w:rsidRDefault="00E64489" w:rsidP="00E64489">
      <w:pPr>
        <w:spacing w:after="0"/>
        <w:jc w:val="both"/>
        <w:rPr>
          <w:rFonts w:cstheme="minorHAnsi"/>
          <w:b/>
          <w:bCs/>
          <w:lang w:val="mk-MK" w:eastAsia="en-GB"/>
        </w:rPr>
      </w:pPr>
      <w:r w:rsidRPr="00E64489">
        <w:rPr>
          <w:iCs/>
          <w:lang w:val="mk-MK"/>
        </w:rPr>
        <w:t xml:space="preserve">Приоритетните мерки во областа </w:t>
      </w:r>
      <w:r w:rsidRPr="00071C93">
        <w:rPr>
          <w:b/>
          <w:iCs/>
          <w:lang w:val="mk-MK"/>
        </w:rPr>
        <w:t>„</w:t>
      </w:r>
      <w:r w:rsidRPr="00E64489">
        <w:rPr>
          <w:rFonts w:cs="Calibri"/>
          <w:b/>
          <w:bCs/>
          <w:lang w:val="mk-MK"/>
        </w:rPr>
        <w:t>Јавна служба и управување со човечките ресурси“</w:t>
      </w:r>
      <w:r w:rsidRPr="00E64489">
        <w:rPr>
          <w:rFonts w:cs="Calibri"/>
          <w:bCs/>
          <w:lang w:val="mk-MK"/>
        </w:rPr>
        <w:t xml:space="preserve"> ќе бидат насочени кон градење на </w:t>
      </w:r>
      <w:r w:rsidRPr="0025203C">
        <w:rPr>
          <w:rFonts w:cs="Calibri"/>
          <w:bCs/>
          <w:lang w:val="mk-MK"/>
        </w:rPr>
        <w:t>д</w:t>
      </w:r>
      <w:r w:rsidRPr="0025203C">
        <w:rPr>
          <w:iCs/>
          <w:lang w:val="mk-MK"/>
        </w:rPr>
        <w:t>епартизирана, професионална и стручна јавна администрација</w:t>
      </w:r>
      <w:r w:rsidRPr="00E64489">
        <w:rPr>
          <w:iCs/>
          <w:lang w:val="mk-MK"/>
        </w:rPr>
        <w:t xml:space="preserve">. </w:t>
      </w:r>
      <w:r w:rsidR="007A09E8">
        <w:rPr>
          <w:iCs/>
          <w:lang w:val="mk-MK"/>
        </w:rPr>
        <w:t xml:space="preserve">Планирањето на </w:t>
      </w:r>
      <w:r w:rsidRPr="00E64489">
        <w:rPr>
          <w:rFonts w:cstheme="minorHAnsi"/>
          <w:lang w:val="mk-MK"/>
        </w:rPr>
        <w:t>вработувања</w:t>
      </w:r>
      <w:r w:rsidR="007A09E8">
        <w:rPr>
          <w:rFonts w:cstheme="minorHAnsi"/>
          <w:lang w:val="mk-MK"/>
        </w:rPr>
        <w:t xml:space="preserve">та според потребите ќе се обезбеди преку </w:t>
      </w:r>
      <w:r w:rsidR="007A09E8" w:rsidRPr="00E64489">
        <w:rPr>
          <w:rFonts w:cstheme="minorHAnsi"/>
          <w:lang w:val="mk-MK"/>
        </w:rPr>
        <w:t>п</w:t>
      </w:r>
      <w:r w:rsidR="007A09E8" w:rsidRPr="00E64489">
        <w:rPr>
          <w:rFonts w:cstheme="minorHAnsi"/>
          <w:bCs/>
          <w:lang w:val="mk-MK"/>
        </w:rPr>
        <w:t>оврзување на стр</w:t>
      </w:r>
      <w:r w:rsidR="005D48BD">
        <w:rPr>
          <w:rFonts w:cstheme="minorHAnsi"/>
          <w:bCs/>
          <w:lang w:val="mk-MK"/>
        </w:rPr>
        <w:t>а</w:t>
      </w:r>
      <w:r w:rsidR="007A09E8" w:rsidRPr="00E64489">
        <w:rPr>
          <w:rFonts w:cstheme="minorHAnsi"/>
          <w:bCs/>
          <w:lang w:val="mk-MK"/>
        </w:rPr>
        <w:t xml:space="preserve">тешкото планирање со </w:t>
      </w:r>
      <w:r w:rsidR="005D48BD">
        <w:rPr>
          <w:rFonts w:cstheme="minorHAnsi"/>
          <w:bCs/>
          <w:lang w:val="mk-MK"/>
        </w:rPr>
        <w:t xml:space="preserve">планирањето на </w:t>
      </w:r>
      <w:r w:rsidR="007A09E8" w:rsidRPr="00E64489">
        <w:rPr>
          <w:rFonts w:cstheme="minorHAnsi"/>
          <w:bCs/>
          <w:lang w:val="mk-MK"/>
        </w:rPr>
        <w:t>човечките ресурси во институц</w:t>
      </w:r>
      <w:r w:rsidR="005D48BD">
        <w:rPr>
          <w:rFonts w:cstheme="minorHAnsi"/>
          <w:bCs/>
          <w:lang w:val="mk-MK"/>
        </w:rPr>
        <w:t xml:space="preserve">иите, а постапките за вработување </w:t>
      </w:r>
      <w:r w:rsidR="005D48BD" w:rsidRPr="00E64489">
        <w:rPr>
          <w:lang w:val="mk-MK"/>
        </w:rPr>
        <w:t>во јавната администрација</w:t>
      </w:r>
      <w:r w:rsidR="005D48BD">
        <w:rPr>
          <w:rFonts w:cstheme="minorHAnsi"/>
          <w:bCs/>
          <w:lang w:val="mk-MK"/>
        </w:rPr>
        <w:t xml:space="preserve"> ќе се унапредат преку </w:t>
      </w:r>
      <w:r w:rsidRPr="00E64489">
        <w:rPr>
          <w:rFonts w:cstheme="minorHAnsi"/>
          <w:bCs/>
          <w:lang w:val="mk-MK"/>
        </w:rPr>
        <w:t>ј</w:t>
      </w:r>
      <w:r w:rsidRPr="00E64489">
        <w:rPr>
          <w:lang w:val="mk-MK"/>
        </w:rPr>
        <w:t>акнење на улогата на интервју</w:t>
      </w:r>
      <w:r w:rsidR="005D48BD">
        <w:rPr>
          <w:lang w:val="mk-MK"/>
        </w:rPr>
        <w:t xml:space="preserve">то засновано на соодветни </w:t>
      </w:r>
      <w:r w:rsidRPr="00E64489">
        <w:rPr>
          <w:lang w:val="mk-MK"/>
        </w:rPr>
        <w:t xml:space="preserve">компетенции. </w:t>
      </w:r>
      <w:r w:rsidR="005D48BD">
        <w:rPr>
          <w:lang w:val="mk-MK"/>
        </w:rPr>
        <w:t>П</w:t>
      </w:r>
      <w:r w:rsidRPr="00E64489">
        <w:rPr>
          <w:lang w:val="mk-MK"/>
        </w:rPr>
        <w:t xml:space="preserve">осебно внимание е посветено </w:t>
      </w:r>
      <w:r w:rsidR="005D48BD">
        <w:rPr>
          <w:lang w:val="mk-MK"/>
        </w:rPr>
        <w:t>на</w:t>
      </w:r>
      <w:r w:rsidRPr="00E64489">
        <w:rPr>
          <w:lang w:val="mk-MK"/>
        </w:rPr>
        <w:t xml:space="preserve"> п</w:t>
      </w:r>
      <w:r w:rsidRPr="00E64489">
        <w:rPr>
          <w:rFonts w:cstheme="minorHAnsi"/>
          <w:bCs/>
          <w:lang w:val="mk-MK"/>
        </w:rPr>
        <w:t>ериодична проверка на компетенциите на веќе вработениот кадар</w:t>
      </w:r>
      <w:r w:rsidRPr="00E64489">
        <w:rPr>
          <w:rFonts w:cstheme="minorHAnsi"/>
          <w:lang w:val="mk-MK"/>
        </w:rPr>
        <w:t xml:space="preserve"> за да се обезбеди</w:t>
      </w:r>
      <w:r w:rsidR="0025203C">
        <w:rPr>
          <w:rFonts w:cstheme="minorHAnsi"/>
          <w:lang w:val="mk-MK"/>
        </w:rPr>
        <w:t xml:space="preserve"> адекватно распределување на административните службеници според постигнатите резултати. </w:t>
      </w:r>
      <w:r w:rsidRPr="00E64489">
        <w:rPr>
          <w:rFonts w:cstheme="minorHAnsi"/>
          <w:lang w:val="mk-MK"/>
        </w:rPr>
        <w:t xml:space="preserve">Дополнително, </w:t>
      </w:r>
      <w:r w:rsidRPr="00E64489">
        <w:rPr>
          <w:lang w:val="mk-MK"/>
        </w:rPr>
        <w:t xml:space="preserve">во </w:t>
      </w:r>
      <w:r w:rsidR="00BD7D74" w:rsidRPr="00E64489">
        <w:rPr>
          <w:lang w:val="mk-MK"/>
        </w:rPr>
        <w:t xml:space="preserve">општините </w:t>
      </w:r>
      <w:r w:rsidR="00BD7D74">
        <w:rPr>
          <w:lang w:val="mk-MK"/>
        </w:rPr>
        <w:t xml:space="preserve">и во </w:t>
      </w:r>
      <w:r w:rsidRPr="00E64489">
        <w:rPr>
          <w:lang w:val="mk-MK"/>
        </w:rPr>
        <w:t>институциите од областа на дејностите од јавен интерес</w:t>
      </w:r>
      <w:r w:rsidR="00BD7D74">
        <w:rPr>
          <w:lang w:val="mk-MK"/>
        </w:rPr>
        <w:t xml:space="preserve"> (</w:t>
      </w:r>
      <w:r w:rsidRPr="00E64489">
        <w:rPr>
          <w:lang w:val="mk-MK"/>
        </w:rPr>
        <w:t>образование, здравство, култура, социјална и детска заштита, комуналните и др</w:t>
      </w:r>
      <w:r w:rsidR="003E02C7">
        <w:rPr>
          <w:lang w:val="mk-MK"/>
        </w:rPr>
        <w:t>уги дејности</w:t>
      </w:r>
      <w:r w:rsidR="00BD7D74">
        <w:rPr>
          <w:lang w:val="mk-MK"/>
        </w:rPr>
        <w:t>)</w:t>
      </w:r>
      <w:r w:rsidRPr="00E64489">
        <w:rPr>
          <w:lang w:val="mk-MK"/>
        </w:rPr>
        <w:t xml:space="preserve"> ќе биде спроведена унификација на организационата поставеност на административната служба. </w:t>
      </w:r>
      <w:r w:rsidRPr="00E64489">
        <w:rPr>
          <w:rFonts w:cstheme="minorHAnsi"/>
          <w:lang w:val="mk-MK"/>
        </w:rPr>
        <w:t xml:space="preserve">Професионализацијата на јавната администрација </w:t>
      </w:r>
      <w:r w:rsidRPr="00BD7D74">
        <w:rPr>
          <w:rFonts w:cstheme="minorHAnsi"/>
          <w:lang w:val="mk-MK"/>
        </w:rPr>
        <w:t xml:space="preserve">е од посебна важност за оваа </w:t>
      </w:r>
      <w:r w:rsidR="001F11B5">
        <w:rPr>
          <w:rFonts w:cstheme="minorHAnsi"/>
          <w:lang w:val="mk-MK"/>
        </w:rPr>
        <w:t>ВРСМ</w:t>
      </w:r>
      <w:r w:rsidR="001F11B5" w:rsidRPr="00E64489">
        <w:rPr>
          <w:rFonts w:cstheme="minorHAnsi"/>
          <w:lang w:val="mk-MK"/>
        </w:rPr>
        <w:t xml:space="preserve"> </w:t>
      </w:r>
      <w:r w:rsidRPr="00E64489">
        <w:rPr>
          <w:rFonts w:cstheme="minorHAnsi"/>
          <w:lang w:val="mk-MK"/>
        </w:rPr>
        <w:t>и затоа ќе започне од високата раководна служба (</w:t>
      </w:r>
      <w:r w:rsidRPr="00E64489">
        <w:rPr>
          <w:rFonts w:cstheme="minorHAnsi"/>
          <w:lang w:val="en-US"/>
        </w:rPr>
        <w:t>senior civil service)</w:t>
      </w:r>
      <w:r w:rsidRPr="00E64489">
        <w:rPr>
          <w:rFonts w:cstheme="minorHAnsi"/>
          <w:lang w:val="mk-MK"/>
        </w:rPr>
        <w:t xml:space="preserve"> </w:t>
      </w:r>
      <w:r w:rsidR="000D65A4">
        <w:rPr>
          <w:rFonts w:cstheme="minorHAnsi"/>
          <w:lang w:val="mk-MK"/>
        </w:rPr>
        <w:t xml:space="preserve">со што ќе се овозможи целосна </w:t>
      </w:r>
      <w:r w:rsidRPr="000D65A4">
        <w:rPr>
          <w:rFonts w:cstheme="minorHAnsi"/>
          <w:lang w:val="mk-MK"/>
        </w:rPr>
        <w:t>професионализација на јавната администрација</w:t>
      </w:r>
      <w:r w:rsidRPr="00E64489">
        <w:rPr>
          <w:rFonts w:cstheme="minorHAnsi"/>
          <w:lang w:val="mk-MK"/>
        </w:rPr>
        <w:t xml:space="preserve">. Во оваа насока предвидена е мерка чија цел е јакнење на капацитетите на организационите единици за управување со човечки ресурси. Посветеноста за департизација на јавната администрација оваа </w:t>
      </w:r>
      <w:r w:rsidR="001F11B5">
        <w:rPr>
          <w:rFonts w:cstheme="minorHAnsi"/>
          <w:lang w:val="mk-MK"/>
        </w:rPr>
        <w:t>ВРСМ</w:t>
      </w:r>
      <w:r w:rsidR="001F11B5" w:rsidRPr="00E64489">
        <w:rPr>
          <w:rFonts w:cstheme="minorHAnsi"/>
          <w:lang w:val="mk-MK"/>
        </w:rPr>
        <w:t xml:space="preserve"> </w:t>
      </w:r>
      <w:r w:rsidRPr="00E64489">
        <w:rPr>
          <w:rFonts w:cstheme="minorHAnsi"/>
          <w:lang w:val="mk-MK"/>
        </w:rPr>
        <w:t>ја потврдува со мерката и активностите за у</w:t>
      </w:r>
      <w:r w:rsidRPr="00E64489">
        <w:rPr>
          <w:lang w:val="mk-MK"/>
        </w:rPr>
        <w:t>напредувањата во јавната администрација, кои освен што ќе бидат базирани на</w:t>
      </w:r>
      <w:r w:rsidR="00BD7D74">
        <w:rPr>
          <w:lang w:val="mk-MK"/>
        </w:rPr>
        <w:t xml:space="preserve"> </w:t>
      </w:r>
      <w:r w:rsidR="0025203C">
        <w:rPr>
          <w:lang w:val="mk-MK"/>
        </w:rPr>
        <w:t>заслуги</w:t>
      </w:r>
      <w:r w:rsidRPr="00E64489">
        <w:rPr>
          <w:lang w:val="mk-MK"/>
        </w:rPr>
        <w:t>, ќе бидат и преку “смарт“ описи, што значи</w:t>
      </w:r>
      <w:r w:rsidRPr="00E64489">
        <w:rPr>
          <w:b/>
          <w:lang w:val="mk-MK"/>
        </w:rPr>
        <w:t xml:space="preserve"> </w:t>
      </w:r>
      <w:r w:rsidRPr="00E64489">
        <w:rPr>
          <w:rFonts w:cstheme="minorHAnsi"/>
          <w:lang w:val="mk-MK"/>
        </w:rPr>
        <w:t>вертикално пополнување на работните места на раководните административни службеници со кадар “од внатре“ преку унапредување на постојните вработени. Исто така, предвидени се мерки за р</w:t>
      </w:r>
      <w:r w:rsidRPr="00E64489">
        <w:rPr>
          <w:lang w:val="mk-MK"/>
        </w:rPr>
        <w:t>азвој на политика за задржување на стручни и компетентни кадри во јавната администрација и ј</w:t>
      </w:r>
      <w:r w:rsidRPr="00E64489">
        <w:rPr>
          <w:rFonts w:cstheme="minorHAnsi"/>
          <w:bCs/>
          <w:lang w:val="mk-MK"/>
        </w:rPr>
        <w:t xml:space="preserve">акнење на улогата на Мрежата за управување со човечките ресурси. За да се обезбеди </w:t>
      </w:r>
      <w:r w:rsidRPr="00E64489">
        <w:rPr>
          <w:rFonts w:cstheme="minorHAnsi"/>
          <w:lang w:val="mk-MK"/>
        </w:rPr>
        <w:t xml:space="preserve">квалитет и стручност на јавната администрација ќе биде </w:t>
      </w:r>
      <w:r w:rsidRPr="00E64489">
        <w:rPr>
          <w:lang w:val="mk-MK"/>
        </w:rPr>
        <w:t>воспоставен сеопфатен (интегриран)</w:t>
      </w:r>
      <w:r w:rsidRPr="00E64489">
        <w:rPr>
          <w:sz w:val="16"/>
          <w:szCs w:val="16"/>
          <w:lang w:val="mk-MK"/>
        </w:rPr>
        <w:t xml:space="preserve"> </w:t>
      </w:r>
      <w:r w:rsidRPr="00E64489">
        <w:rPr>
          <w:lang w:val="mk-MK"/>
        </w:rPr>
        <w:t>систем за стручно усовршување,</w:t>
      </w:r>
      <w:r w:rsidR="00BD7D74">
        <w:rPr>
          <w:lang w:val="mk-MK"/>
        </w:rPr>
        <w:t xml:space="preserve"> а </w:t>
      </w:r>
      <w:r w:rsidRPr="00E64489">
        <w:rPr>
          <w:lang w:val="mk-MK"/>
        </w:rPr>
        <w:t xml:space="preserve"> </w:t>
      </w:r>
      <w:r w:rsidRPr="00E64489">
        <w:rPr>
          <w:rFonts w:cstheme="minorHAnsi"/>
          <w:bCs/>
          <w:lang w:val="mk-MK"/>
        </w:rPr>
        <w:t xml:space="preserve">системот за </w:t>
      </w:r>
      <w:r w:rsidR="00BD7D74" w:rsidRPr="00E64489">
        <w:rPr>
          <w:rFonts w:cstheme="minorHAnsi"/>
          <w:bCs/>
          <w:lang w:val="mk-MK"/>
        </w:rPr>
        <w:t>е-учењето</w:t>
      </w:r>
      <w:r w:rsidR="00BD7D74" w:rsidRPr="00BD7D74">
        <w:rPr>
          <w:rFonts w:cstheme="minorHAnsi"/>
          <w:bCs/>
          <w:lang w:val="mk-MK"/>
        </w:rPr>
        <w:t xml:space="preserve"> </w:t>
      </w:r>
      <w:r w:rsidR="00BD7D74">
        <w:rPr>
          <w:rFonts w:cstheme="minorHAnsi"/>
          <w:bCs/>
          <w:lang w:val="mk-MK"/>
        </w:rPr>
        <w:t xml:space="preserve">ќе биде </w:t>
      </w:r>
      <w:r w:rsidR="00BD7D74" w:rsidRPr="00E64489">
        <w:rPr>
          <w:rFonts w:cstheme="minorHAnsi"/>
          <w:bCs/>
          <w:lang w:val="mk-MK"/>
        </w:rPr>
        <w:t>унапреден</w:t>
      </w:r>
      <w:r w:rsidRPr="00E64489">
        <w:rPr>
          <w:rFonts w:cstheme="minorHAnsi"/>
          <w:bCs/>
          <w:lang w:val="mk-MK"/>
        </w:rPr>
        <w:t xml:space="preserve">. Во оваа приоритетна област внимание се посветува и на </w:t>
      </w:r>
      <w:r w:rsidRPr="00E64489">
        <w:rPr>
          <w:rFonts w:cstheme="minorHAnsi"/>
          <w:bCs/>
          <w:lang w:val="mk-MK" w:eastAsia="en-GB"/>
        </w:rPr>
        <w:t>воспоставување на единствен систем на плати во јавниот сектор</w:t>
      </w:r>
      <w:r w:rsidR="00794A7D">
        <w:rPr>
          <w:rFonts w:cstheme="minorHAnsi"/>
          <w:bCs/>
          <w:lang w:val="mk-MK" w:eastAsia="en-GB"/>
        </w:rPr>
        <w:t>,</w:t>
      </w:r>
      <w:r w:rsidRPr="00E64489">
        <w:rPr>
          <w:rFonts w:cstheme="minorHAnsi"/>
          <w:bCs/>
          <w:lang w:val="mk-MK" w:eastAsia="en-GB"/>
        </w:rPr>
        <w:t xml:space="preserve"> преку утврдување </w:t>
      </w:r>
      <w:r w:rsidR="0025203C">
        <w:rPr>
          <w:rFonts w:cstheme="minorHAnsi"/>
          <w:bCs/>
          <w:lang w:val="mk-MK" w:eastAsia="en-GB"/>
        </w:rPr>
        <w:t xml:space="preserve">и спроведување </w:t>
      </w:r>
      <w:r w:rsidRPr="00E64489">
        <w:rPr>
          <w:rFonts w:cstheme="minorHAnsi"/>
          <w:bCs/>
          <w:lang w:val="mk-MK" w:eastAsia="en-GB"/>
        </w:rPr>
        <w:t>на правна рамка.</w:t>
      </w:r>
      <w:r w:rsidRPr="00E64489">
        <w:rPr>
          <w:rFonts w:cstheme="minorHAnsi"/>
          <w:b/>
          <w:bCs/>
          <w:lang w:val="mk-MK" w:eastAsia="en-GB"/>
        </w:rPr>
        <w:t xml:space="preserve"> </w:t>
      </w:r>
    </w:p>
    <w:p w14:paraId="2BFADD2F" w14:textId="77777777" w:rsidR="003607EF" w:rsidRPr="00E64489" w:rsidRDefault="003607EF" w:rsidP="00E64489">
      <w:pPr>
        <w:spacing w:after="0"/>
        <w:jc w:val="both"/>
        <w:rPr>
          <w:iCs/>
          <w:lang w:val="mk-M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3607EF" w14:paraId="3C229054" w14:textId="77777777" w:rsidTr="00AC68FC">
        <w:tc>
          <w:tcPr>
            <w:tcW w:w="985" w:type="dxa"/>
          </w:tcPr>
          <w:p w14:paraId="18088C39" w14:textId="0B522475" w:rsidR="003607EF" w:rsidRDefault="003607EF" w:rsidP="00AC68FC">
            <w:pPr>
              <w:jc w:val="both"/>
              <w:rPr>
                <w:iCs/>
                <w:lang w:val="mk-MK"/>
              </w:rPr>
            </w:pPr>
            <w:r>
              <w:rPr>
                <w:noProof/>
                <w:lang w:val="en-US"/>
              </w:rPr>
              <w:drawing>
                <wp:inline distT="0" distB="0" distL="0" distR="0" wp14:anchorId="694D61A9" wp14:editId="6AF7864F">
                  <wp:extent cx="431165" cy="379562"/>
                  <wp:effectExtent l="0" t="0" r="6985" b="1905"/>
                  <wp:docPr id="192" name="Picture 192" descr="Transparenc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cy free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157" cy="398042"/>
                          </a:xfrm>
                          <a:prstGeom prst="rect">
                            <a:avLst/>
                          </a:prstGeom>
                          <a:noFill/>
                          <a:ln>
                            <a:noFill/>
                          </a:ln>
                        </pic:spPr>
                      </pic:pic>
                    </a:graphicData>
                  </a:graphic>
                </wp:inline>
              </w:drawing>
            </w:r>
          </w:p>
        </w:tc>
        <w:tc>
          <w:tcPr>
            <w:tcW w:w="8365" w:type="dxa"/>
          </w:tcPr>
          <w:p w14:paraId="0375CEE0" w14:textId="4694A882" w:rsidR="003607EF" w:rsidRPr="00AC68FC" w:rsidRDefault="003607EF" w:rsidP="00AC68FC">
            <w:pPr>
              <w:jc w:val="both"/>
              <w:rPr>
                <w:rFonts w:cs="Calibri"/>
                <w:b/>
                <w:bCs/>
                <w:sz w:val="24"/>
                <w:szCs w:val="24"/>
                <w:lang w:val="mk-MK"/>
              </w:rPr>
            </w:pPr>
            <w:r w:rsidRPr="00AC68FC">
              <w:rPr>
                <w:rFonts w:cs="Calibri"/>
                <w:b/>
                <w:bCs/>
                <w:sz w:val="24"/>
                <w:szCs w:val="24"/>
                <w:lang w:val="mk-MK"/>
              </w:rPr>
              <w:t>Одговорност, отчетност и транспарентност</w:t>
            </w:r>
          </w:p>
          <w:p w14:paraId="0DF7DF75" w14:textId="77777777" w:rsidR="00745259" w:rsidRDefault="00745259" w:rsidP="00AC68FC">
            <w:pPr>
              <w:jc w:val="both"/>
              <w:rPr>
                <w:rFonts w:cs="Calibri"/>
                <w:b/>
                <w:bCs/>
                <w:lang w:val="mk-MK"/>
              </w:rPr>
            </w:pPr>
          </w:p>
          <w:p w14:paraId="3BBAE71E" w14:textId="27EB6E6C" w:rsidR="003607EF" w:rsidRDefault="003607EF" w:rsidP="00AC68FC">
            <w:pPr>
              <w:jc w:val="both"/>
              <w:rPr>
                <w:iCs/>
                <w:lang w:val="mk-MK"/>
              </w:rPr>
            </w:pPr>
            <w:r>
              <w:rPr>
                <w:rFonts w:cs="Calibri"/>
                <w:b/>
                <w:bCs/>
                <w:lang w:val="mk-MK"/>
              </w:rPr>
              <w:t xml:space="preserve">Општа цел: </w:t>
            </w:r>
            <w:r w:rsidR="00745259">
              <w:rPr>
                <w:rFonts w:cs="Calibri"/>
                <w:b/>
                <w:bCs/>
                <w:lang w:val="mk-MK"/>
              </w:rPr>
              <w:t>Одговорно, отчетно и транспарентно работење на институциите</w:t>
            </w:r>
          </w:p>
        </w:tc>
      </w:tr>
    </w:tbl>
    <w:p w14:paraId="07B63941" w14:textId="1D2CAD0F" w:rsidR="00E64489" w:rsidRPr="00E64489" w:rsidRDefault="00E64489" w:rsidP="00E64489">
      <w:pPr>
        <w:spacing w:before="240"/>
        <w:jc w:val="both"/>
        <w:rPr>
          <w:lang w:val="mk-MK"/>
        </w:rPr>
      </w:pPr>
      <w:r w:rsidRPr="00E64489">
        <w:rPr>
          <w:rFonts w:cs="Calibri"/>
          <w:shd w:val="clear" w:color="auto" w:fill="FFFFFF"/>
          <w:lang w:val="mk-MK"/>
        </w:rPr>
        <w:t xml:space="preserve">За постигнување на утврдените општи и посебни цели во третата приоритетна област </w:t>
      </w:r>
      <w:r w:rsidRPr="00071C93">
        <w:rPr>
          <w:rFonts w:cs="Calibri"/>
          <w:b/>
          <w:shd w:val="clear" w:color="auto" w:fill="FFFFFF"/>
          <w:lang w:val="mk-MK"/>
        </w:rPr>
        <w:t>„</w:t>
      </w:r>
      <w:r w:rsidRPr="00E64489">
        <w:rPr>
          <w:rFonts w:cs="Calibri"/>
          <w:b/>
          <w:bCs/>
          <w:lang w:val="mk-MK"/>
        </w:rPr>
        <w:t xml:space="preserve">Одговорност, отчетност и транспарентност“ </w:t>
      </w:r>
      <w:r w:rsidRPr="00E64489">
        <w:rPr>
          <w:rFonts w:cs="Calibri"/>
          <w:bCs/>
          <w:lang w:val="mk-MK"/>
        </w:rPr>
        <w:t xml:space="preserve">посебно внимание е посветено на </w:t>
      </w:r>
      <w:r w:rsidRPr="00E64489">
        <w:rPr>
          <w:lang w:val="mk-MK"/>
        </w:rPr>
        <w:t>реорганизација</w:t>
      </w:r>
      <w:r w:rsidR="003F6225">
        <w:rPr>
          <w:lang w:val="mk-MK"/>
        </w:rPr>
        <w:t>та</w:t>
      </w:r>
      <w:r w:rsidRPr="00E64489">
        <w:rPr>
          <w:lang w:val="mk-MK"/>
        </w:rPr>
        <w:t xml:space="preserve"> и оптимизацијата на државната управа, со цел </w:t>
      </w:r>
      <w:r w:rsidR="0025203C">
        <w:rPr>
          <w:lang w:val="mk-MK"/>
        </w:rPr>
        <w:t xml:space="preserve">оптимизација и </w:t>
      </w:r>
      <w:r w:rsidRPr="00E64489">
        <w:rPr>
          <w:lang w:val="mk-MK"/>
        </w:rPr>
        <w:t>зголемување на ефикасноста</w:t>
      </w:r>
      <w:r w:rsidR="0025203C">
        <w:rPr>
          <w:lang w:val="mk-MK"/>
        </w:rPr>
        <w:t>, како</w:t>
      </w:r>
      <w:r w:rsidR="00BD7D74">
        <w:rPr>
          <w:lang w:val="mk-MK"/>
        </w:rPr>
        <w:t xml:space="preserve"> и јасно утврдување на линиите на одговорност</w:t>
      </w:r>
      <w:r w:rsidRPr="00E64489">
        <w:rPr>
          <w:lang w:val="mk-MK"/>
        </w:rPr>
        <w:t xml:space="preserve">. За да се </w:t>
      </w:r>
      <w:r w:rsidRPr="00E64489">
        <w:rPr>
          <w:bCs/>
          <w:lang w:val="mk-MK"/>
        </w:rPr>
        <w:t xml:space="preserve">подобри ефикасноста на управните постапки предвидени се мерки за унапредена имплементација на Законот за општата управна постапка, зајакнување на капацитетите за водење на управните постапки и воспоставување на механизам за следење на ефикасноста на управните постапки. Посебно внимание се посветува на зајакнување на </w:t>
      </w:r>
      <w:r w:rsidRPr="00E64489">
        <w:rPr>
          <w:bCs/>
          <w:lang w:val="mk-MK"/>
        </w:rPr>
        <w:lastRenderedPageBreak/>
        <w:t>интегритетот</w:t>
      </w:r>
      <w:r w:rsidR="002F03D2">
        <w:rPr>
          <w:bCs/>
          <w:lang w:val="mk-MK"/>
        </w:rPr>
        <w:t xml:space="preserve"> преку </w:t>
      </w:r>
      <w:r w:rsidRPr="00E64489">
        <w:rPr>
          <w:bCs/>
          <w:lang w:val="mk-MK"/>
        </w:rPr>
        <w:t xml:space="preserve">мерки насочени кон </w:t>
      </w:r>
      <w:r w:rsidRPr="00E64489">
        <w:rPr>
          <w:lang w:val="mk-MK"/>
        </w:rPr>
        <w:t>носителите на извршната власт од највисоко ниво</w:t>
      </w:r>
      <w:r w:rsidR="003E03EF">
        <w:rPr>
          <w:lang w:val="mk-MK"/>
        </w:rPr>
        <w:t xml:space="preserve"> и јакн</w:t>
      </w:r>
      <w:r w:rsidR="003F6225">
        <w:rPr>
          <w:lang w:val="mk-MK"/>
        </w:rPr>
        <w:t>ење на индивидуалниот и институ</w:t>
      </w:r>
      <w:r w:rsidR="003E03EF">
        <w:rPr>
          <w:lang w:val="mk-MK"/>
        </w:rPr>
        <w:t xml:space="preserve">ционалниот интегритет на државно и локално ниво. Преку </w:t>
      </w:r>
      <w:r w:rsidRPr="00E64489">
        <w:rPr>
          <w:bCs/>
          <w:lang w:val="mk-MK"/>
        </w:rPr>
        <w:t>воспоставување и развој на електронски систем за дигитализација на инспекциската постапка и инспекциското работење</w:t>
      </w:r>
      <w:r w:rsidR="003E03EF">
        <w:rPr>
          <w:bCs/>
          <w:lang w:val="mk-MK"/>
        </w:rPr>
        <w:t xml:space="preserve"> (</w:t>
      </w:r>
      <w:r w:rsidRPr="00E64489">
        <w:rPr>
          <w:bCs/>
          <w:lang w:val="mk-MK"/>
        </w:rPr>
        <w:t>„Е-инспектор“</w:t>
      </w:r>
      <w:r w:rsidR="003E03EF">
        <w:rPr>
          <w:bCs/>
          <w:lang w:val="mk-MK"/>
        </w:rPr>
        <w:t>) ќе се обезбеди поефикасно</w:t>
      </w:r>
      <w:r w:rsidR="002F03D2">
        <w:rPr>
          <w:bCs/>
          <w:lang w:val="mk-MK"/>
        </w:rPr>
        <w:t xml:space="preserve"> работење</w:t>
      </w:r>
      <w:r w:rsidR="003E03EF">
        <w:rPr>
          <w:bCs/>
          <w:lang w:val="mk-MK"/>
        </w:rPr>
        <w:t xml:space="preserve"> на инспекциските служби</w:t>
      </w:r>
      <w:r w:rsidRPr="00E64489">
        <w:rPr>
          <w:bCs/>
          <w:lang w:val="mk-MK"/>
        </w:rPr>
        <w:t xml:space="preserve">. </w:t>
      </w:r>
      <w:r w:rsidR="003E03EF">
        <w:rPr>
          <w:bCs/>
          <w:lang w:val="mk-MK"/>
        </w:rPr>
        <w:t>Воедно, з</w:t>
      </w:r>
      <w:r w:rsidRPr="00E64489">
        <w:rPr>
          <w:bCs/>
          <w:lang w:val="mk-MK"/>
        </w:rPr>
        <w:t xml:space="preserve">големувањето на транспарентноста на институциите на државно и локално ниво </w:t>
      </w:r>
      <w:r w:rsidR="003E03EF">
        <w:rPr>
          <w:bCs/>
          <w:lang w:val="mk-MK"/>
        </w:rPr>
        <w:t xml:space="preserve">ќе се обезбеди </w:t>
      </w:r>
      <w:r w:rsidRPr="00E64489">
        <w:rPr>
          <w:bCs/>
          <w:lang w:val="mk-MK"/>
        </w:rPr>
        <w:t>преку унапредување на алатките за достапност на информациите од јавен карактер и зголемување на транспарентноста на инспекциските служби. Исто така, планирано е воспоставување на организациски механизми за идентификација на отворените податоци и нивна зголемена употреба.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8359"/>
      </w:tblGrid>
      <w:tr w:rsidR="00745259" w14:paraId="59FDBDE8" w14:textId="77777777" w:rsidTr="00AC68FC">
        <w:tc>
          <w:tcPr>
            <w:tcW w:w="985" w:type="dxa"/>
          </w:tcPr>
          <w:p w14:paraId="3DAAF2DC" w14:textId="1C23FB6B" w:rsidR="00745259" w:rsidRDefault="00745259" w:rsidP="00AC68FC">
            <w:pPr>
              <w:jc w:val="both"/>
              <w:rPr>
                <w:iCs/>
                <w:lang w:val="mk-MK"/>
              </w:rPr>
            </w:pPr>
            <w:r>
              <w:rPr>
                <w:rFonts w:eastAsia="Calibri"/>
                <w:noProof/>
                <w:color w:val="000000" w:themeColor="text1"/>
                <w:lang w:val="en-US"/>
              </w:rPr>
              <w:drawing>
                <wp:inline distT="0" distB="0" distL="0" distR="0" wp14:anchorId="2B70FBE9" wp14:editId="287CE16D">
                  <wp:extent cx="498943" cy="420370"/>
                  <wp:effectExtent l="0" t="0" r="0" b="0"/>
                  <wp:docPr id="194" name="Graphic 1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Internet"/>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8"/>
                              </a:ext>
                            </a:extLst>
                          </a:blip>
                          <a:stretch>
                            <a:fillRect/>
                          </a:stretch>
                        </pic:blipFill>
                        <pic:spPr>
                          <a:xfrm>
                            <a:off x="0" y="0"/>
                            <a:ext cx="512974" cy="432192"/>
                          </a:xfrm>
                          <a:prstGeom prst="rect">
                            <a:avLst/>
                          </a:prstGeom>
                        </pic:spPr>
                      </pic:pic>
                    </a:graphicData>
                  </a:graphic>
                </wp:inline>
              </w:drawing>
            </w:r>
          </w:p>
        </w:tc>
        <w:tc>
          <w:tcPr>
            <w:tcW w:w="8365" w:type="dxa"/>
          </w:tcPr>
          <w:p w14:paraId="0F092F93" w14:textId="0AD8C5E6" w:rsidR="00745259" w:rsidRPr="00AC68FC" w:rsidRDefault="00AC68FC" w:rsidP="00AC68FC">
            <w:pPr>
              <w:rPr>
                <w:rFonts w:cs="Calibri"/>
                <w:b/>
                <w:bCs/>
                <w:sz w:val="24"/>
                <w:szCs w:val="24"/>
                <w:lang w:val="mk-MK"/>
              </w:rPr>
            </w:pPr>
            <w:r w:rsidRPr="00142DD3">
              <w:rPr>
                <w:rFonts w:cs="Calibri"/>
                <w:b/>
                <w:sz w:val="24"/>
                <w:szCs w:val="24"/>
                <w:lang w:val="mk-MK"/>
              </w:rPr>
              <w:t>Давање услуги и</w:t>
            </w:r>
            <w:r>
              <w:rPr>
                <w:rFonts w:cs="Calibri"/>
                <w:b/>
                <w:sz w:val="24"/>
                <w:szCs w:val="24"/>
                <w:lang w:val="mk-MK"/>
              </w:rPr>
              <w:t xml:space="preserve"> д</w:t>
            </w:r>
            <w:r w:rsidR="00745259" w:rsidRPr="00AC68FC">
              <w:rPr>
                <w:rFonts w:cs="Calibri"/>
                <w:b/>
                <w:sz w:val="24"/>
                <w:szCs w:val="24"/>
                <w:lang w:val="mk-MK"/>
              </w:rPr>
              <w:t>игитална трансформација</w:t>
            </w:r>
          </w:p>
          <w:p w14:paraId="08F7E6CB" w14:textId="77777777" w:rsidR="00745259" w:rsidRDefault="00745259" w:rsidP="00AC68FC">
            <w:pPr>
              <w:jc w:val="both"/>
              <w:rPr>
                <w:rFonts w:cs="Calibri"/>
                <w:b/>
                <w:bCs/>
                <w:lang w:val="mk-MK"/>
              </w:rPr>
            </w:pPr>
          </w:p>
          <w:p w14:paraId="775D867F" w14:textId="710286BD" w:rsidR="00745259" w:rsidRDefault="00745259" w:rsidP="00AC68FC">
            <w:pPr>
              <w:jc w:val="both"/>
              <w:rPr>
                <w:iCs/>
                <w:lang w:val="mk-MK"/>
              </w:rPr>
            </w:pPr>
            <w:r>
              <w:rPr>
                <w:rFonts w:cs="Calibri"/>
                <w:b/>
                <w:bCs/>
                <w:lang w:val="mk-MK"/>
              </w:rPr>
              <w:t xml:space="preserve">Општа цел: Дигитализирана јавна администрација </w:t>
            </w:r>
          </w:p>
        </w:tc>
      </w:tr>
    </w:tbl>
    <w:p w14:paraId="6CA0B051" w14:textId="77777777" w:rsidR="00745259" w:rsidRDefault="00745259" w:rsidP="00E64489">
      <w:pPr>
        <w:jc w:val="both"/>
        <w:rPr>
          <w:iCs/>
          <w:lang w:val="mk-MK"/>
        </w:rPr>
      </w:pPr>
    </w:p>
    <w:p w14:paraId="74BF3380" w14:textId="35147A42" w:rsidR="00E64489" w:rsidRPr="00E64489" w:rsidRDefault="00E64489" w:rsidP="00E64489">
      <w:pPr>
        <w:jc w:val="both"/>
        <w:rPr>
          <w:rFonts w:cs="Calibri"/>
          <w:lang w:val="mk-MK"/>
        </w:rPr>
      </w:pPr>
      <w:r w:rsidRPr="00E64489">
        <w:rPr>
          <w:iCs/>
          <w:lang w:val="mk-MK"/>
        </w:rPr>
        <w:t xml:space="preserve">Приоритетните мерки во четвртата област </w:t>
      </w:r>
      <w:r w:rsidRPr="00071C93">
        <w:rPr>
          <w:b/>
          <w:iCs/>
          <w:lang w:val="mk-MK"/>
        </w:rPr>
        <w:t>„</w:t>
      </w:r>
      <w:r w:rsidR="00AC68FC" w:rsidRPr="00071C93">
        <w:rPr>
          <w:rFonts w:cs="Calibri"/>
          <w:b/>
          <w:lang w:val="mk-MK"/>
        </w:rPr>
        <w:t>Давање услуги и</w:t>
      </w:r>
      <w:r w:rsidR="00AC68FC" w:rsidRPr="00142DD3">
        <w:rPr>
          <w:rFonts w:cs="Calibri"/>
          <w:lang w:val="mk-MK"/>
        </w:rPr>
        <w:t xml:space="preserve"> </w:t>
      </w:r>
      <w:r w:rsidR="00AC68FC" w:rsidRPr="00142DD3">
        <w:rPr>
          <w:rFonts w:cs="Calibri"/>
          <w:b/>
          <w:lang w:val="mk-MK"/>
        </w:rPr>
        <w:t>д</w:t>
      </w:r>
      <w:r w:rsidR="0006026B" w:rsidRPr="00142DD3">
        <w:rPr>
          <w:rFonts w:cs="Calibri"/>
          <w:b/>
          <w:lang w:val="mk-MK"/>
        </w:rPr>
        <w:t>игитална трансформација</w:t>
      </w:r>
      <w:r w:rsidRPr="00071C93">
        <w:rPr>
          <w:rFonts w:cs="Calibri"/>
          <w:b/>
          <w:lang w:val="mk-MK"/>
        </w:rPr>
        <w:t>“</w:t>
      </w:r>
      <w:r w:rsidRPr="00142DD3">
        <w:rPr>
          <w:rFonts w:cs="Calibri"/>
          <w:lang w:val="mk-MK"/>
        </w:rPr>
        <w:t xml:space="preserve"> </w:t>
      </w:r>
      <w:r w:rsidRPr="00142DD3">
        <w:rPr>
          <w:iCs/>
          <w:lang w:val="mk-MK"/>
        </w:rPr>
        <w:t xml:space="preserve"> се насочени кон градење на дигитална средина за подобро работење на администрацијата, односно </w:t>
      </w:r>
      <w:r w:rsidRPr="00142DD3">
        <w:rPr>
          <w:rFonts w:cs="Calibri"/>
          <w:lang w:val="mk-MK"/>
        </w:rPr>
        <w:t>креирање на канали на електронска комуникација во рамките на администрацијата</w:t>
      </w:r>
      <w:r w:rsidR="003E03EF" w:rsidRPr="00142DD3">
        <w:rPr>
          <w:rFonts w:cs="Calibri"/>
          <w:lang w:val="mk-MK"/>
        </w:rPr>
        <w:t xml:space="preserve">, </w:t>
      </w:r>
      <w:r w:rsidRPr="00142DD3">
        <w:rPr>
          <w:rFonts w:cs="Calibri"/>
          <w:lang w:val="mk-MK"/>
        </w:rPr>
        <w:t>воспоставување на унифициран ДМС</w:t>
      </w:r>
      <w:r w:rsidRPr="00E64489">
        <w:rPr>
          <w:rFonts w:cs="Calibri"/>
          <w:lang w:val="mk-MK"/>
        </w:rPr>
        <w:t xml:space="preserve"> систем во органите на државната управа, локалната самоуправа и останатите институции од јавниот сектор. </w:t>
      </w:r>
      <w:r w:rsidRPr="00E64489">
        <w:rPr>
          <w:rFonts w:cs="Calibri"/>
          <w:bCs/>
          <w:lang w:val="mk-MK"/>
        </w:rPr>
        <w:t xml:space="preserve">Институционалната и законската рамка за ИКТ ќе се унапредува така што </w:t>
      </w:r>
      <w:r w:rsidRPr="00E64489">
        <w:rPr>
          <w:rFonts w:cs="Calibri"/>
          <w:lang w:val="mk-MK"/>
        </w:rPr>
        <w:t>ќе се утврди посебна надлежност за вршење на инспекциски надзор на примената на законите од оваа област. Посебно внимание е посветено на дигитализирање на регистрите за давање услуги, како и на зголемувањето на бројот на е-услуги и бројот на центри „Една точка за услуги“ со цел зголемен квалитет и достапност до услугите</w:t>
      </w:r>
      <w:r w:rsidR="00EF53D1">
        <w:rPr>
          <w:rFonts w:cs="Calibri"/>
          <w:lang w:val="mk-MK"/>
        </w:rPr>
        <w:t xml:space="preserve"> за граѓаните и деловните субјекти</w:t>
      </w:r>
      <w:r w:rsidRPr="00E64489">
        <w:rPr>
          <w:rFonts w:cs="Calibri"/>
          <w:lang w:val="mk-MK"/>
        </w:rPr>
        <w:t xml:space="preserve">. Важен дел во оваа област е посветен на </w:t>
      </w:r>
      <w:r w:rsidRPr="00E64489">
        <w:rPr>
          <w:rFonts w:cs="Calibri"/>
          <w:bCs/>
          <w:lang w:val="mk-MK"/>
        </w:rPr>
        <w:t>подобрена пристапност на институциите за лицата со поп</w:t>
      </w:r>
      <w:r w:rsidR="00071C93">
        <w:rPr>
          <w:rFonts w:cs="Calibri"/>
          <w:bCs/>
          <w:lang w:val="mk-MK"/>
        </w:rPr>
        <w:t xml:space="preserve">реченост, возрасни лица, </w:t>
      </w:r>
      <w:r w:rsidRPr="00E64489">
        <w:rPr>
          <w:rFonts w:cs="Calibri"/>
          <w:bCs/>
          <w:lang w:val="mk-MK"/>
        </w:rPr>
        <w:t>лица кои се на ниско ниво на дигитална писменост</w:t>
      </w:r>
      <w:r w:rsidR="00EF53D1">
        <w:rPr>
          <w:rFonts w:cs="Calibri"/>
          <w:bCs/>
          <w:lang w:val="mk-MK"/>
        </w:rPr>
        <w:t>, како</w:t>
      </w:r>
      <w:r w:rsidRPr="00E64489">
        <w:rPr>
          <w:rFonts w:cs="Calibri"/>
          <w:bCs/>
          <w:lang w:val="mk-MK"/>
        </w:rPr>
        <w:t xml:space="preserve"> и </w:t>
      </w:r>
      <w:r w:rsidR="00EF53D1">
        <w:rPr>
          <w:rFonts w:cs="Calibri"/>
          <w:bCs/>
          <w:lang w:val="mk-MK"/>
        </w:rPr>
        <w:t xml:space="preserve">на </w:t>
      </w:r>
      <w:r w:rsidRPr="00E64489">
        <w:rPr>
          <w:bCs/>
          <w:lang w:val="mk-MK"/>
        </w:rPr>
        <w:t>мерење на задоволството на корисниците од услугите на државните органи. Дел од мерките се насочени кон п</w:t>
      </w:r>
      <w:r w:rsidRPr="00E64489">
        <w:rPr>
          <w:rFonts w:cs="Calibri"/>
          <w:lang w:val="mk-MK"/>
        </w:rPr>
        <w:t>ромоција на дигиталните услуги за да се подигне свеста за дигиталната трансформација, односно за потребата и користа од примена на дигитализацијата.</w:t>
      </w:r>
    </w:p>
    <w:p w14:paraId="66279AE0" w14:textId="53A9055F" w:rsidR="00E64489" w:rsidRPr="00E64489" w:rsidRDefault="00E64489" w:rsidP="00E64489">
      <w:pPr>
        <w:jc w:val="both"/>
        <w:rPr>
          <w:rFonts w:cs="Calibri"/>
          <w:shd w:val="clear" w:color="auto" w:fill="FFFFFF"/>
          <w:lang w:val="mk-MK"/>
        </w:rPr>
      </w:pPr>
      <w:r w:rsidRPr="00E64489">
        <w:rPr>
          <w:rFonts w:cs="Calibri"/>
          <w:shd w:val="clear" w:color="auto" w:fill="FFFFFF"/>
          <w:lang w:val="mk-MK"/>
        </w:rPr>
        <w:t>Почитувајќи го начелото на транспарентност</w:t>
      </w:r>
      <w:r w:rsidRPr="00E64489">
        <w:rPr>
          <w:rFonts w:cs="Calibri"/>
          <w:shd w:val="clear" w:color="auto" w:fill="FFFFFF"/>
          <w:lang w:val="en-US"/>
        </w:rPr>
        <w:t xml:space="preserve"> </w:t>
      </w:r>
      <w:r w:rsidRPr="00E64489">
        <w:rPr>
          <w:rFonts w:cs="Calibri"/>
          <w:shd w:val="clear" w:color="auto" w:fill="FFFFFF"/>
          <w:lang w:val="mk-MK"/>
        </w:rPr>
        <w:t>и отчетност и применувајќи го пристапот за партиципативно креирање на политиките</w:t>
      </w:r>
      <w:r w:rsidR="00EF53D1">
        <w:rPr>
          <w:rFonts w:cs="Calibri"/>
          <w:shd w:val="clear" w:color="auto" w:fill="FFFFFF"/>
          <w:lang w:val="mk-MK"/>
        </w:rPr>
        <w:t>,</w:t>
      </w:r>
      <w:r w:rsidRPr="00E64489">
        <w:rPr>
          <w:rFonts w:cs="Calibri"/>
          <w:lang w:val="mk-MK"/>
        </w:rPr>
        <w:t xml:space="preserve"> Стратегијата за </w:t>
      </w:r>
      <w:r w:rsidR="002F03D2">
        <w:rPr>
          <w:rFonts w:cs="Calibri"/>
          <w:lang w:val="mk-MK"/>
        </w:rPr>
        <w:t xml:space="preserve">РЈА </w:t>
      </w:r>
      <w:r w:rsidRPr="00E64489">
        <w:rPr>
          <w:rFonts w:cs="Calibri"/>
          <w:lang w:val="mk-MK"/>
        </w:rPr>
        <w:t xml:space="preserve">е </w:t>
      </w:r>
      <w:r w:rsidR="00EF53D1">
        <w:rPr>
          <w:rFonts w:cs="Calibri"/>
          <w:lang w:val="mk-MK"/>
        </w:rPr>
        <w:t xml:space="preserve">подготвена со активно учество на засегнатите страни </w:t>
      </w:r>
      <w:r w:rsidRPr="00E64489">
        <w:rPr>
          <w:rFonts w:cs="Calibri"/>
          <w:lang w:val="mk-MK"/>
        </w:rPr>
        <w:t>врз</w:t>
      </w:r>
      <w:r w:rsidR="00EF53D1">
        <w:rPr>
          <w:rFonts w:cs="Calibri"/>
          <w:lang w:val="mk-MK"/>
        </w:rPr>
        <w:t xml:space="preserve"> основа на</w:t>
      </w:r>
      <w:r w:rsidRPr="00E64489">
        <w:rPr>
          <w:rFonts w:cs="Calibri"/>
          <w:lang w:val="mk-MK"/>
        </w:rPr>
        <w:t xml:space="preserve"> </w:t>
      </w:r>
      <w:r w:rsidRPr="00E64489">
        <w:rPr>
          <w:rFonts w:cs="Calibri"/>
          <w:shd w:val="clear" w:color="auto" w:fill="FFFFFF"/>
          <w:lang w:val="mk-MK"/>
        </w:rPr>
        <w:t>процесен план со временска рамка и план за консултации на засегнатите страни.</w:t>
      </w:r>
    </w:p>
    <w:p w14:paraId="6F0622E5" w14:textId="6D95592E" w:rsidR="00B45392" w:rsidRDefault="00EF53D1" w:rsidP="00E64489">
      <w:pPr>
        <w:spacing w:line="276" w:lineRule="auto"/>
        <w:jc w:val="both"/>
        <w:rPr>
          <w:rFonts w:cstheme="minorHAnsi"/>
          <w:lang w:val="mk-MK"/>
        </w:rPr>
      </w:pPr>
      <w:r w:rsidRPr="00185881">
        <w:rPr>
          <w:rFonts w:cstheme="minorHAnsi"/>
          <w:b/>
          <w:bCs/>
          <w:lang w:val="mk-MK"/>
        </w:rPr>
        <w:t>И</w:t>
      </w:r>
      <w:r w:rsidR="00E64489" w:rsidRPr="00185881">
        <w:rPr>
          <w:rFonts w:cstheme="minorHAnsi"/>
          <w:b/>
          <w:bCs/>
          <w:lang w:val="mk-MK"/>
        </w:rPr>
        <w:t>нституционална</w:t>
      </w:r>
      <w:r w:rsidRPr="00185881">
        <w:rPr>
          <w:rFonts w:cstheme="minorHAnsi"/>
          <w:b/>
          <w:bCs/>
          <w:lang w:val="mk-MK"/>
        </w:rPr>
        <w:t>та</w:t>
      </w:r>
      <w:r w:rsidR="00E64489" w:rsidRPr="00185881">
        <w:rPr>
          <w:rFonts w:cstheme="minorHAnsi"/>
          <w:b/>
          <w:bCs/>
          <w:lang w:val="mk-MK"/>
        </w:rPr>
        <w:t xml:space="preserve"> структура за координација, следење и управување</w:t>
      </w:r>
      <w:r w:rsidR="00E64489" w:rsidRPr="00E64489">
        <w:rPr>
          <w:rFonts w:cstheme="minorHAnsi"/>
          <w:lang w:val="mk-MK"/>
        </w:rPr>
        <w:t xml:space="preserve"> со процесот на реформата на јавната администрација</w:t>
      </w:r>
      <w:r>
        <w:rPr>
          <w:rFonts w:cstheme="minorHAnsi"/>
          <w:lang w:val="mk-MK"/>
        </w:rPr>
        <w:t xml:space="preserve"> се заснова </w:t>
      </w:r>
      <w:r w:rsidR="00E64489" w:rsidRPr="00E64489">
        <w:rPr>
          <w:rFonts w:cstheme="minorHAnsi"/>
          <w:lang w:val="mk-MK"/>
        </w:rPr>
        <w:t>на три нивоа на коорд</w:t>
      </w:r>
      <w:r w:rsidR="00071C93">
        <w:rPr>
          <w:rFonts w:cstheme="minorHAnsi"/>
          <w:lang w:val="mk-MK"/>
        </w:rPr>
        <w:t>и</w:t>
      </w:r>
      <w:r w:rsidR="00E64489" w:rsidRPr="00E64489">
        <w:rPr>
          <w:rFonts w:cstheme="minorHAnsi"/>
          <w:lang w:val="mk-MK"/>
        </w:rPr>
        <w:t xml:space="preserve">нација: </w:t>
      </w:r>
    </w:p>
    <w:p w14:paraId="3F44BE1C" w14:textId="7A8C7E71" w:rsidR="00B45392" w:rsidRDefault="00E64489" w:rsidP="00B45392">
      <w:pPr>
        <w:spacing w:line="276" w:lineRule="auto"/>
        <w:ind w:left="720"/>
        <w:jc w:val="both"/>
        <w:rPr>
          <w:rFonts w:cstheme="minorHAnsi"/>
          <w:lang w:val="mk-MK"/>
        </w:rPr>
      </w:pPr>
      <w:r w:rsidRPr="00E64489">
        <w:rPr>
          <w:rFonts w:cstheme="minorHAnsi"/>
          <w:lang w:val="mk-MK"/>
        </w:rPr>
        <w:t xml:space="preserve">(1) </w:t>
      </w:r>
      <w:r w:rsidRPr="00E64489">
        <w:rPr>
          <w:rFonts w:cstheme="minorHAnsi"/>
          <w:b/>
          <w:lang w:val="mk-MK"/>
        </w:rPr>
        <w:t xml:space="preserve">Политичко ниво, </w:t>
      </w:r>
      <w:r w:rsidRPr="00E64489">
        <w:rPr>
          <w:rFonts w:cstheme="minorHAnsi"/>
          <w:lang w:val="mk-MK"/>
        </w:rPr>
        <w:t xml:space="preserve">односно </w:t>
      </w:r>
      <w:r w:rsidRPr="00071C93">
        <w:rPr>
          <w:rFonts w:cstheme="minorHAnsi"/>
          <w:u w:val="single"/>
          <w:lang w:val="mk-MK"/>
        </w:rPr>
        <w:t xml:space="preserve">Совет за </w:t>
      </w:r>
      <w:r w:rsidR="00EF53D1" w:rsidRPr="00071C93">
        <w:rPr>
          <w:rFonts w:cstheme="minorHAnsi"/>
          <w:u w:val="single"/>
          <w:lang w:val="mk-MK"/>
        </w:rPr>
        <w:t>реформа на јавната администрација</w:t>
      </w:r>
      <w:r w:rsidRPr="00E64489">
        <w:rPr>
          <w:rFonts w:cstheme="minorHAnsi"/>
          <w:lang w:val="mk-MK"/>
        </w:rPr>
        <w:t xml:space="preserve"> кој претставува врвот во структурата за координација чија што задача е да управува со целовитоста на процесот на реформата и да обезбедува политички насоки во намалување на ризиците и утврдување на приоритетите во спроведувањето на Стратегијата за РЈА; </w:t>
      </w:r>
    </w:p>
    <w:p w14:paraId="18A55CAF" w14:textId="163FFBCF" w:rsidR="00B45392" w:rsidRDefault="00E64489" w:rsidP="00B45392">
      <w:pPr>
        <w:spacing w:line="276" w:lineRule="auto"/>
        <w:ind w:left="720"/>
        <w:jc w:val="both"/>
        <w:rPr>
          <w:rFonts w:cstheme="minorHAnsi"/>
          <w:lang w:val="mk-MK"/>
        </w:rPr>
      </w:pPr>
      <w:r w:rsidRPr="00E64489">
        <w:rPr>
          <w:rFonts w:cstheme="minorHAnsi"/>
          <w:lang w:val="mk-MK"/>
        </w:rPr>
        <w:t xml:space="preserve">(2) </w:t>
      </w:r>
      <w:r w:rsidRPr="00E64489">
        <w:rPr>
          <w:rFonts w:cstheme="minorHAnsi"/>
          <w:b/>
          <w:lang w:val="mk-MK"/>
        </w:rPr>
        <w:t xml:space="preserve">Стручно ниво, </w:t>
      </w:r>
      <w:r w:rsidRPr="00AC68FC">
        <w:rPr>
          <w:rFonts w:cstheme="minorHAnsi"/>
          <w:bCs/>
          <w:lang w:val="mk-MK"/>
        </w:rPr>
        <w:t>односно</w:t>
      </w:r>
      <w:r w:rsidRPr="00AC68FC">
        <w:rPr>
          <w:rFonts w:cstheme="minorHAnsi"/>
          <w:b/>
          <w:lang w:val="mk-MK"/>
        </w:rPr>
        <w:t xml:space="preserve"> </w:t>
      </w:r>
      <w:r w:rsidR="002F03D2" w:rsidRPr="00071C93">
        <w:rPr>
          <w:rFonts w:cstheme="minorHAnsi"/>
          <w:bCs/>
          <w:u w:val="single"/>
          <w:lang w:val="mk-MK"/>
        </w:rPr>
        <w:t xml:space="preserve">Секретаријат </w:t>
      </w:r>
      <w:r w:rsidRPr="00071C93">
        <w:rPr>
          <w:rFonts w:cstheme="minorHAnsi"/>
          <w:bCs/>
          <w:u w:val="single"/>
          <w:lang w:val="mk-MK"/>
        </w:rPr>
        <w:t xml:space="preserve">за </w:t>
      </w:r>
      <w:r w:rsidR="002F03D2" w:rsidRPr="00071C93">
        <w:rPr>
          <w:rFonts w:cstheme="minorHAnsi"/>
          <w:bCs/>
          <w:u w:val="single"/>
          <w:lang w:val="mk-MK"/>
        </w:rPr>
        <w:t>рефо</w:t>
      </w:r>
      <w:r w:rsidR="000D65A4" w:rsidRPr="00071C93">
        <w:rPr>
          <w:rFonts w:cstheme="minorHAnsi"/>
          <w:bCs/>
          <w:u w:val="single"/>
          <w:lang w:val="mk-MK"/>
        </w:rPr>
        <w:t>р</w:t>
      </w:r>
      <w:r w:rsidR="002F03D2" w:rsidRPr="00071C93">
        <w:rPr>
          <w:rFonts w:cstheme="minorHAnsi"/>
          <w:bCs/>
          <w:u w:val="single"/>
          <w:lang w:val="mk-MK"/>
        </w:rPr>
        <w:t>ма на јавната администрација</w:t>
      </w:r>
      <w:r w:rsidRPr="00E64489">
        <w:rPr>
          <w:rFonts w:cstheme="minorHAnsi"/>
          <w:lang w:val="mk-MK"/>
        </w:rPr>
        <w:t xml:space="preserve"> кој преку препораки и мислења на стручно и техничко ниво дава поддршка на Советот за </w:t>
      </w:r>
      <w:r w:rsidR="002F03D2">
        <w:rPr>
          <w:rFonts w:cstheme="minorHAnsi"/>
          <w:lang w:val="mk-MK"/>
        </w:rPr>
        <w:t>рефо</w:t>
      </w:r>
      <w:r w:rsidR="000D65A4">
        <w:rPr>
          <w:rFonts w:cstheme="minorHAnsi"/>
          <w:lang w:val="mk-MK"/>
        </w:rPr>
        <w:t>р</w:t>
      </w:r>
      <w:r w:rsidR="002F03D2">
        <w:rPr>
          <w:rFonts w:cstheme="minorHAnsi"/>
          <w:lang w:val="mk-MK"/>
        </w:rPr>
        <w:t>ма на јавната администрација</w:t>
      </w:r>
      <w:r w:rsidRPr="00E64489">
        <w:rPr>
          <w:rFonts w:cstheme="minorHAnsi"/>
          <w:lang w:val="mk-MK"/>
        </w:rPr>
        <w:t xml:space="preserve"> во спроведувањето и следењето на </w:t>
      </w:r>
      <w:r w:rsidR="002F03D2">
        <w:rPr>
          <w:rFonts w:cstheme="minorHAnsi"/>
          <w:lang w:val="mk-MK"/>
        </w:rPr>
        <w:t xml:space="preserve">Стратегијата </w:t>
      </w:r>
      <w:r w:rsidR="00794A7D">
        <w:rPr>
          <w:rFonts w:cstheme="minorHAnsi"/>
          <w:lang w:val="mk-MK"/>
        </w:rPr>
        <w:t xml:space="preserve">за РЈА </w:t>
      </w:r>
      <w:r w:rsidR="002F03D2">
        <w:rPr>
          <w:rFonts w:cstheme="minorHAnsi"/>
          <w:lang w:val="mk-MK"/>
        </w:rPr>
        <w:t xml:space="preserve">и </w:t>
      </w:r>
      <w:r w:rsidR="00794A7D">
        <w:rPr>
          <w:rFonts w:cstheme="minorHAnsi"/>
          <w:lang w:val="mk-MK"/>
        </w:rPr>
        <w:t>А</w:t>
      </w:r>
      <w:r w:rsidR="002F03D2">
        <w:rPr>
          <w:rFonts w:cstheme="minorHAnsi"/>
          <w:lang w:val="mk-MK"/>
        </w:rPr>
        <w:t xml:space="preserve">кцискиот план за </w:t>
      </w:r>
      <w:r w:rsidRPr="00E64489">
        <w:rPr>
          <w:rFonts w:cstheme="minorHAnsi"/>
          <w:lang w:val="mk-MK"/>
        </w:rPr>
        <w:t>РЈА</w:t>
      </w:r>
      <w:r w:rsidR="00B45392">
        <w:rPr>
          <w:rFonts w:cstheme="minorHAnsi"/>
          <w:lang w:val="mk-MK"/>
        </w:rPr>
        <w:t>;</w:t>
      </w:r>
      <w:r w:rsidRPr="00E64489">
        <w:rPr>
          <w:rFonts w:cstheme="minorHAnsi"/>
          <w:lang w:val="mk-MK"/>
        </w:rPr>
        <w:t xml:space="preserve"> и </w:t>
      </w:r>
    </w:p>
    <w:p w14:paraId="29A46F75" w14:textId="70B68654" w:rsidR="00B45392" w:rsidRDefault="00E64489" w:rsidP="00B45392">
      <w:pPr>
        <w:spacing w:line="276" w:lineRule="auto"/>
        <w:ind w:left="720"/>
        <w:jc w:val="both"/>
        <w:rPr>
          <w:rFonts w:cstheme="minorHAnsi"/>
          <w:lang w:val="mk-MK"/>
        </w:rPr>
      </w:pPr>
      <w:r w:rsidRPr="00E64489">
        <w:rPr>
          <w:rFonts w:cstheme="minorHAnsi"/>
          <w:lang w:val="mk-MK"/>
        </w:rPr>
        <w:lastRenderedPageBreak/>
        <w:t xml:space="preserve">(3) </w:t>
      </w:r>
      <w:r w:rsidRPr="00E64489">
        <w:rPr>
          <w:rFonts w:cstheme="minorHAnsi"/>
          <w:b/>
          <w:lang w:val="mk-MK"/>
        </w:rPr>
        <w:t>Оперативно ниво,</w:t>
      </w:r>
      <w:r w:rsidRPr="00E64489">
        <w:rPr>
          <w:rFonts w:cstheme="minorHAnsi"/>
          <w:lang w:val="mk-MK"/>
        </w:rPr>
        <w:t xml:space="preserve"> односно </w:t>
      </w:r>
      <w:r w:rsidRPr="00071C93">
        <w:rPr>
          <w:rFonts w:cstheme="minorHAnsi"/>
          <w:u w:val="single"/>
          <w:lang w:val="mk-MK"/>
        </w:rPr>
        <w:t xml:space="preserve">Организациона единица за координација на Стратегијата за РЈА </w:t>
      </w:r>
      <w:r w:rsidRPr="00E64489">
        <w:rPr>
          <w:rFonts w:cstheme="minorHAnsi"/>
          <w:lang w:val="mk-MK"/>
        </w:rPr>
        <w:t xml:space="preserve">во </w:t>
      </w:r>
      <w:r w:rsidR="00B45392">
        <w:rPr>
          <w:rFonts w:cstheme="minorHAnsi"/>
          <w:lang w:val="mk-MK"/>
        </w:rPr>
        <w:t>Министерството за информатичко општество и администрација (</w:t>
      </w:r>
      <w:r w:rsidR="002F03D2">
        <w:rPr>
          <w:rFonts w:cstheme="minorHAnsi"/>
          <w:lang w:val="mk-MK"/>
        </w:rPr>
        <w:t xml:space="preserve">во натамошниот текст: </w:t>
      </w:r>
      <w:r w:rsidRPr="00E64489">
        <w:rPr>
          <w:rFonts w:cstheme="minorHAnsi"/>
          <w:lang w:val="mk-MK"/>
        </w:rPr>
        <w:t>МИОА</w:t>
      </w:r>
      <w:r w:rsidR="00B45392">
        <w:rPr>
          <w:rFonts w:cstheme="minorHAnsi"/>
          <w:lang w:val="mk-MK"/>
        </w:rPr>
        <w:t>)</w:t>
      </w:r>
      <w:r w:rsidRPr="00E64489">
        <w:rPr>
          <w:rFonts w:cstheme="minorHAnsi"/>
          <w:lang w:val="mk-MK"/>
        </w:rPr>
        <w:t xml:space="preserve"> задолжена за следење и координација на </w:t>
      </w:r>
      <w:r w:rsidR="00B45392">
        <w:rPr>
          <w:rFonts w:cstheme="minorHAnsi"/>
          <w:lang w:val="mk-MK"/>
        </w:rPr>
        <w:t>Стратегијата за РЈА и А</w:t>
      </w:r>
      <w:r w:rsidRPr="00E64489">
        <w:rPr>
          <w:rFonts w:cstheme="minorHAnsi"/>
          <w:lang w:val="mk-MK"/>
        </w:rPr>
        <w:t xml:space="preserve">кцискиот план, подготвување на извештаи </w:t>
      </w:r>
      <w:r w:rsidR="0006026B">
        <w:rPr>
          <w:rFonts w:cstheme="minorHAnsi"/>
          <w:lang w:val="mk-MK"/>
        </w:rPr>
        <w:t>и давање поддршка на стручното</w:t>
      </w:r>
      <w:r w:rsidRPr="00E64489">
        <w:rPr>
          <w:rFonts w:cstheme="minorHAnsi"/>
          <w:lang w:val="mk-MK"/>
        </w:rPr>
        <w:t xml:space="preserve"> </w:t>
      </w:r>
      <w:r w:rsidR="00976C3C">
        <w:rPr>
          <w:rFonts w:cstheme="minorHAnsi"/>
          <w:lang w:val="mk-MK"/>
        </w:rPr>
        <w:t xml:space="preserve">и политичкото </w:t>
      </w:r>
      <w:r w:rsidRPr="00E64489">
        <w:rPr>
          <w:rFonts w:cstheme="minorHAnsi"/>
          <w:lang w:val="mk-MK"/>
        </w:rPr>
        <w:t xml:space="preserve">ниво на координација. </w:t>
      </w:r>
    </w:p>
    <w:p w14:paraId="379FE612" w14:textId="730B90B0" w:rsidR="00227E82" w:rsidRDefault="00E64489" w:rsidP="00B45392">
      <w:pPr>
        <w:spacing w:line="276" w:lineRule="auto"/>
        <w:jc w:val="both"/>
        <w:rPr>
          <w:lang w:val="mk-MK"/>
        </w:rPr>
      </w:pPr>
      <w:r w:rsidRPr="00E64489">
        <w:rPr>
          <w:rFonts w:cstheme="minorHAnsi"/>
          <w:lang w:val="mk-MK"/>
        </w:rPr>
        <w:t>Координацијата ќе се спроведува преку тесна соработка со лицата за</w:t>
      </w:r>
      <w:r w:rsidR="00976C3C">
        <w:rPr>
          <w:rFonts w:cstheme="minorHAnsi"/>
          <w:lang w:val="mk-MK"/>
        </w:rPr>
        <w:t>должени за координација во инс</w:t>
      </w:r>
      <w:r w:rsidR="00BD31E0">
        <w:rPr>
          <w:rFonts w:cstheme="minorHAnsi"/>
          <w:lang w:val="mk-MK"/>
        </w:rPr>
        <w:t>т</w:t>
      </w:r>
      <w:r w:rsidR="00976C3C">
        <w:rPr>
          <w:rFonts w:cstheme="minorHAnsi"/>
          <w:lang w:val="mk-MK"/>
        </w:rPr>
        <w:t>итуциите п</w:t>
      </w:r>
      <w:r w:rsidRPr="00E64489">
        <w:rPr>
          <w:rFonts w:cstheme="minorHAnsi"/>
          <w:lang w:val="mk-MK"/>
        </w:rPr>
        <w:t xml:space="preserve">реку кои ќе се прибираат информации за </w:t>
      </w:r>
      <w:r w:rsidR="00976C3C">
        <w:rPr>
          <w:rFonts w:cstheme="minorHAnsi"/>
          <w:lang w:val="mk-MK"/>
        </w:rPr>
        <w:t xml:space="preserve">степенот на </w:t>
      </w:r>
      <w:r w:rsidRPr="00E64489">
        <w:rPr>
          <w:rFonts w:cstheme="minorHAnsi"/>
          <w:lang w:val="mk-MK"/>
        </w:rPr>
        <w:t>спроведување на Стратегијата и Акцискиот план за РЈА</w:t>
      </w:r>
      <w:r w:rsidR="00A414A5">
        <w:rPr>
          <w:rFonts w:cstheme="minorHAnsi"/>
          <w:lang w:val="mk-MK"/>
        </w:rPr>
        <w:t xml:space="preserve">.      </w:t>
      </w:r>
    </w:p>
    <w:p w14:paraId="08FDA70D" w14:textId="2AB1591A" w:rsidR="00227E82" w:rsidRDefault="00227E82" w:rsidP="00B45392">
      <w:pPr>
        <w:spacing w:line="276" w:lineRule="auto"/>
        <w:jc w:val="both"/>
        <w:rPr>
          <w:lang w:val="mk-MK"/>
        </w:rPr>
      </w:pPr>
    </w:p>
    <w:p w14:paraId="70B3FF74" w14:textId="18C14EB5" w:rsidR="00227E82" w:rsidRDefault="00227E82" w:rsidP="00B45392">
      <w:pPr>
        <w:spacing w:line="276" w:lineRule="auto"/>
        <w:jc w:val="both"/>
        <w:rPr>
          <w:lang w:val="mk-MK"/>
        </w:rPr>
      </w:pPr>
    </w:p>
    <w:p w14:paraId="4AF52230" w14:textId="7CAF52A6" w:rsidR="00227E82" w:rsidRDefault="00227E82" w:rsidP="00B45392">
      <w:pPr>
        <w:spacing w:line="276" w:lineRule="auto"/>
        <w:jc w:val="both"/>
        <w:rPr>
          <w:lang w:val="mk-MK"/>
        </w:rPr>
      </w:pPr>
    </w:p>
    <w:p w14:paraId="6D0293F3" w14:textId="159ECAA9" w:rsidR="00227E82" w:rsidRDefault="00227E82" w:rsidP="00B45392">
      <w:pPr>
        <w:spacing w:line="276" w:lineRule="auto"/>
        <w:jc w:val="both"/>
        <w:rPr>
          <w:lang w:val="mk-MK"/>
        </w:rPr>
      </w:pPr>
    </w:p>
    <w:p w14:paraId="07D17E74" w14:textId="70DA3A98" w:rsidR="00227E82" w:rsidRDefault="00227E82" w:rsidP="00B45392">
      <w:pPr>
        <w:spacing w:line="276" w:lineRule="auto"/>
        <w:jc w:val="both"/>
        <w:rPr>
          <w:lang w:val="mk-MK"/>
        </w:rPr>
      </w:pPr>
    </w:p>
    <w:p w14:paraId="1CB25ECF" w14:textId="7E579EB8" w:rsidR="007E0A96" w:rsidRPr="00185881" w:rsidRDefault="007E0A96" w:rsidP="007E0A96">
      <w:pPr>
        <w:pStyle w:val="Heading1"/>
        <w:numPr>
          <w:ilvl w:val="0"/>
          <w:numId w:val="1"/>
        </w:numPr>
        <w:rPr>
          <w:b/>
          <w:bCs/>
          <w:lang w:val="mk-MK"/>
        </w:rPr>
      </w:pPr>
      <w:r w:rsidRPr="00185881">
        <w:rPr>
          <w:b/>
          <w:bCs/>
          <w:lang w:val="mk-MK"/>
        </w:rPr>
        <w:t>Вовед</w:t>
      </w:r>
    </w:p>
    <w:p w14:paraId="2FDA8471" w14:textId="1DBA97B7" w:rsidR="007E0A96" w:rsidRDefault="007E0A96" w:rsidP="004911AF">
      <w:pPr>
        <w:pStyle w:val="Heading2"/>
        <w:numPr>
          <w:ilvl w:val="1"/>
          <w:numId w:val="1"/>
        </w:numPr>
        <w:rPr>
          <w:lang w:val="mk-MK"/>
        </w:rPr>
      </w:pPr>
      <w:r>
        <w:rPr>
          <w:lang w:val="mk-MK"/>
        </w:rPr>
        <w:t xml:space="preserve">Основ за подготвување и предлагање на Стратегијата за реформа на јавната администрација </w:t>
      </w:r>
    </w:p>
    <w:p w14:paraId="0759D94A" w14:textId="644739DF" w:rsidR="007E0A96" w:rsidRDefault="007E0A96" w:rsidP="007E0A96">
      <w:pPr>
        <w:rPr>
          <w:lang w:val="mk-MK"/>
        </w:rPr>
      </w:pPr>
    </w:p>
    <w:p w14:paraId="599CB4BE" w14:textId="2985FD7D" w:rsidR="00227E82" w:rsidRDefault="007A5FC6" w:rsidP="00AC68FC">
      <w:pPr>
        <w:jc w:val="both"/>
        <w:rPr>
          <w:rFonts w:cs="Calibri"/>
          <w:shd w:val="clear" w:color="auto" w:fill="FFFFFF"/>
          <w:lang w:val="mk-MK"/>
        </w:rPr>
      </w:pPr>
      <w:r w:rsidRPr="00E402B0">
        <w:rPr>
          <w:rFonts w:cs="Calibri"/>
          <w:shd w:val="clear" w:color="auto" w:fill="FFFFFF"/>
          <w:lang w:val="mk-MK"/>
        </w:rPr>
        <w:t xml:space="preserve">На 54-тата седница на </w:t>
      </w:r>
      <w:r w:rsidR="001F11B5">
        <w:rPr>
          <w:rFonts w:cs="Calibri"/>
          <w:shd w:val="clear" w:color="auto" w:fill="FFFFFF"/>
          <w:lang w:val="mk-MK"/>
        </w:rPr>
        <w:t>ВРСМ</w:t>
      </w:r>
      <w:r w:rsidRPr="00E402B0">
        <w:rPr>
          <w:rFonts w:cs="Calibri"/>
          <w:shd w:val="clear" w:color="auto" w:fill="FFFFFF"/>
        </w:rPr>
        <w:t xml:space="preserve">, </w:t>
      </w:r>
      <w:r w:rsidRPr="00E402B0">
        <w:rPr>
          <w:rFonts w:cs="Calibri"/>
          <w:shd w:val="clear" w:color="auto" w:fill="FFFFFF"/>
          <w:lang w:val="mk-MK"/>
        </w:rPr>
        <w:t>одржана во јуни 2022</w:t>
      </w:r>
      <w:r w:rsidR="00976C3C">
        <w:rPr>
          <w:rFonts w:cs="Calibri"/>
          <w:shd w:val="clear" w:color="auto" w:fill="FFFFFF"/>
          <w:lang w:val="mk-MK"/>
        </w:rPr>
        <w:t xml:space="preserve"> </w:t>
      </w:r>
      <w:r w:rsidRPr="00E402B0">
        <w:rPr>
          <w:rFonts w:cs="Calibri"/>
          <w:shd w:val="clear" w:color="auto" w:fill="FFFFFF"/>
          <w:lang w:val="mk-MK"/>
        </w:rPr>
        <w:t>г</w:t>
      </w:r>
      <w:r w:rsidR="00976C3C">
        <w:rPr>
          <w:rFonts w:cs="Calibri"/>
          <w:shd w:val="clear" w:color="auto" w:fill="FFFFFF"/>
          <w:lang w:val="mk-MK"/>
        </w:rPr>
        <w:t>одина,</w:t>
      </w:r>
      <w:r w:rsidRPr="00E402B0">
        <w:rPr>
          <w:rFonts w:cs="Calibri"/>
          <w:shd w:val="clear" w:color="auto" w:fill="FFFFFF"/>
          <w:lang w:val="mk-MK"/>
        </w:rPr>
        <w:t xml:space="preserve"> беше усвоена Информација за подготовка на новата Стратегија </w:t>
      </w:r>
      <w:r w:rsidRPr="00E402B0">
        <w:rPr>
          <w:rFonts w:cs="Calibri"/>
          <w:lang w:val="mk-MK"/>
        </w:rPr>
        <w:t>за реформа на јавната администрација (2023-2030)</w:t>
      </w:r>
      <w:r w:rsidRPr="00E402B0">
        <w:rPr>
          <w:rFonts w:cs="Calibri"/>
          <w:shd w:val="clear" w:color="auto" w:fill="FFFFFF"/>
          <w:lang w:val="mk-MK"/>
        </w:rPr>
        <w:t xml:space="preserve">, на која </w:t>
      </w:r>
      <w:r w:rsidR="001F11B5">
        <w:rPr>
          <w:rFonts w:cs="Calibri"/>
          <w:shd w:val="clear" w:color="auto" w:fill="FFFFFF"/>
          <w:lang w:val="mk-MK"/>
        </w:rPr>
        <w:t>ВРСМ</w:t>
      </w:r>
      <w:r w:rsidR="001F11B5" w:rsidRPr="00E402B0">
        <w:rPr>
          <w:rFonts w:cs="Calibri"/>
          <w:shd w:val="clear" w:color="auto" w:fill="FFFFFF"/>
          <w:lang w:val="mk-MK"/>
        </w:rPr>
        <w:t xml:space="preserve"> </w:t>
      </w:r>
      <w:r>
        <w:rPr>
          <w:rFonts w:cs="Calibri"/>
          <w:shd w:val="clear" w:color="auto" w:fill="FFFFFF"/>
          <w:lang w:val="mk-MK"/>
        </w:rPr>
        <w:t xml:space="preserve">со заклучок </w:t>
      </w:r>
      <w:r w:rsidRPr="00E402B0">
        <w:rPr>
          <w:rFonts w:cs="Calibri"/>
          <w:shd w:val="clear" w:color="auto" w:fill="FFFFFF"/>
          <w:lang w:val="mk-MK"/>
        </w:rPr>
        <w:t>го задолжи М</w:t>
      </w:r>
      <w:r w:rsidR="00703B11">
        <w:rPr>
          <w:rFonts w:cs="Calibri"/>
          <w:shd w:val="clear" w:color="auto" w:fill="FFFFFF"/>
          <w:lang w:val="mk-MK"/>
        </w:rPr>
        <w:t>ИОА</w:t>
      </w:r>
      <w:r w:rsidRPr="00E402B0">
        <w:rPr>
          <w:rFonts w:cs="Calibri"/>
          <w:shd w:val="clear" w:color="auto" w:fill="FFFFFF"/>
          <w:lang w:val="mk-MK"/>
        </w:rPr>
        <w:t xml:space="preserve"> во отворен, транспарентен и консултативен процес со засегнатите страни да ги </w:t>
      </w:r>
      <w:r w:rsidR="00976C3C">
        <w:rPr>
          <w:rFonts w:cs="Calibri"/>
          <w:shd w:val="clear" w:color="auto" w:fill="FFFFFF"/>
          <w:lang w:val="mk-MK"/>
        </w:rPr>
        <w:t xml:space="preserve">спроведе </w:t>
      </w:r>
      <w:r w:rsidRPr="00E402B0">
        <w:rPr>
          <w:rFonts w:cs="Calibri"/>
          <w:shd w:val="clear" w:color="auto" w:fill="FFFFFF"/>
          <w:lang w:val="mk-MK"/>
        </w:rPr>
        <w:t xml:space="preserve">сите неопходни активности за навремено започнување и спроведување на процесот за подготовката на Стратегијата </w:t>
      </w:r>
      <w:r w:rsidRPr="00E402B0">
        <w:rPr>
          <w:rFonts w:cs="Calibri"/>
          <w:lang w:val="mk-MK"/>
        </w:rPr>
        <w:t>за реформа на јавната администрација</w:t>
      </w:r>
      <w:r w:rsidRPr="00E402B0">
        <w:rPr>
          <w:rFonts w:cs="Calibri"/>
          <w:shd w:val="clear" w:color="auto" w:fill="FFFFFF"/>
          <w:lang w:val="mk-MK"/>
        </w:rPr>
        <w:t>.</w:t>
      </w:r>
    </w:p>
    <w:p w14:paraId="0457B43F" w14:textId="52F1FB5C" w:rsidR="00A73B20" w:rsidRDefault="00794A7D" w:rsidP="00A73B20">
      <w:pPr>
        <w:spacing w:after="0"/>
        <w:jc w:val="both"/>
        <w:rPr>
          <w:rFonts w:cs="Calibri"/>
          <w:lang w:val="mk-MK"/>
        </w:rPr>
      </w:pPr>
      <w:r>
        <w:rPr>
          <w:rFonts w:cs="Calibri"/>
          <w:shd w:val="clear" w:color="auto" w:fill="FFFFFF"/>
          <w:lang w:val="mk-MK"/>
        </w:rPr>
        <w:t>Професионална, к</w:t>
      </w:r>
      <w:r w:rsidR="00745259">
        <w:rPr>
          <w:rFonts w:cs="Calibri"/>
          <w:shd w:val="clear" w:color="auto" w:fill="FFFFFF"/>
          <w:lang w:val="mk-MK"/>
        </w:rPr>
        <w:t xml:space="preserve">валитетната </w:t>
      </w:r>
      <w:r>
        <w:rPr>
          <w:rFonts w:cs="Calibri"/>
          <w:shd w:val="clear" w:color="auto" w:fill="FFFFFF"/>
          <w:lang w:val="mk-MK"/>
        </w:rPr>
        <w:t>и сервисно</w:t>
      </w:r>
      <w:r w:rsidR="00374A5A">
        <w:rPr>
          <w:rFonts w:cs="Calibri"/>
          <w:shd w:val="clear" w:color="auto" w:fill="FFFFFF"/>
          <w:lang w:val="mk-MK"/>
        </w:rPr>
        <w:t xml:space="preserve"> </w:t>
      </w:r>
      <w:r>
        <w:rPr>
          <w:rFonts w:cs="Calibri"/>
          <w:shd w:val="clear" w:color="auto" w:fill="FFFFFF"/>
          <w:lang w:val="mk-MK"/>
        </w:rPr>
        <w:t xml:space="preserve">ориентирана </w:t>
      </w:r>
      <w:r w:rsidR="00745259">
        <w:rPr>
          <w:rFonts w:cs="Calibri"/>
          <w:shd w:val="clear" w:color="auto" w:fill="FFFFFF"/>
          <w:lang w:val="mk-MK"/>
        </w:rPr>
        <w:t>јавна администрација е клучна за постигнување на економски раст, за зајакнување на конкурентноста, подобрување н</w:t>
      </w:r>
      <w:r w:rsidR="00071C93">
        <w:rPr>
          <w:rFonts w:cs="Calibri"/>
          <w:shd w:val="clear" w:color="auto" w:fill="FFFFFF"/>
          <w:lang w:val="mk-MK"/>
        </w:rPr>
        <w:t>а квалитетот на животот и справ</w:t>
      </w:r>
      <w:r w:rsidR="00745259">
        <w:rPr>
          <w:rFonts w:cs="Calibri"/>
          <w:shd w:val="clear" w:color="auto" w:fill="FFFFFF"/>
          <w:lang w:val="mk-MK"/>
        </w:rPr>
        <w:t xml:space="preserve">ување со сите предизвици во општеството. Тоа јасно се потврди за време на кризата предизвикана од пандемијата со Ковид-19 и со актуелната економска и енергетска криза. </w:t>
      </w:r>
      <w:r w:rsidR="00745259" w:rsidRPr="00E402B0">
        <w:rPr>
          <w:rFonts w:cs="Calibri"/>
          <w:lang w:val="mk-MK"/>
        </w:rPr>
        <w:t xml:space="preserve"> </w:t>
      </w:r>
      <w:r w:rsidR="00A73B20" w:rsidRPr="004C0BB6">
        <w:rPr>
          <w:rFonts w:cs="Calibri"/>
          <w:lang w:val="mk-MK"/>
        </w:rPr>
        <w:t>Во контекст на примената на новата Методологија за проширување</w:t>
      </w:r>
      <w:r w:rsidR="00A73B20" w:rsidRPr="004C0BB6">
        <w:rPr>
          <w:rStyle w:val="FootnoteReference"/>
          <w:rFonts w:cs="Calibri"/>
          <w:lang w:val="mk-MK"/>
        </w:rPr>
        <w:footnoteReference w:id="1"/>
      </w:r>
      <w:r w:rsidR="00A73B20" w:rsidRPr="004C0BB6">
        <w:rPr>
          <w:rFonts w:cs="Calibri"/>
          <w:lang w:val="en-US"/>
        </w:rPr>
        <w:t xml:space="preserve"> </w:t>
      </w:r>
      <w:r w:rsidR="00A73B20" w:rsidRPr="004C0BB6">
        <w:rPr>
          <w:rFonts w:cs="Calibri"/>
          <w:lang w:val="mk-MK"/>
        </w:rPr>
        <w:t>и отпочнување</w:t>
      </w:r>
      <w:r w:rsidR="00A73B20">
        <w:rPr>
          <w:rFonts w:cs="Calibri"/>
          <w:lang w:val="mk-MK"/>
        </w:rPr>
        <w:t>то</w:t>
      </w:r>
      <w:r w:rsidR="00A73B20" w:rsidRPr="004C0BB6">
        <w:rPr>
          <w:rFonts w:cs="Calibri"/>
          <w:lang w:val="mk-MK"/>
        </w:rPr>
        <w:t xml:space="preserve"> на процесот на скрининг, </w:t>
      </w:r>
      <w:r w:rsidR="00A73B20">
        <w:rPr>
          <w:rFonts w:cs="Calibri"/>
          <w:lang w:val="mk-MK"/>
        </w:rPr>
        <w:t>фокусот на р</w:t>
      </w:r>
      <w:r w:rsidR="00A73B20" w:rsidRPr="00E402B0">
        <w:rPr>
          <w:rFonts w:cs="Calibri"/>
          <w:lang w:val="mk-MK"/>
        </w:rPr>
        <w:t>еформата на јавната администрација</w:t>
      </w:r>
      <w:r w:rsidR="00A73B20">
        <w:rPr>
          <w:rFonts w:cs="Calibri"/>
          <w:lang w:val="mk-MK"/>
        </w:rPr>
        <w:t xml:space="preserve"> уште повеќе добива на важност бидејќи</w:t>
      </w:r>
      <w:r w:rsidR="00A73B20" w:rsidRPr="00E402B0">
        <w:rPr>
          <w:rFonts w:cs="Calibri"/>
          <w:lang w:val="mk-MK"/>
        </w:rPr>
        <w:t xml:space="preserve"> </w:t>
      </w:r>
      <w:r w:rsidR="00A73B20">
        <w:rPr>
          <w:rFonts w:cs="Calibri"/>
          <w:lang w:val="mk-MK"/>
        </w:rPr>
        <w:t>преставува</w:t>
      </w:r>
      <w:r w:rsidR="00A73B20" w:rsidRPr="00E402B0">
        <w:rPr>
          <w:rFonts w:cs="Calibri"/>
          <w:lang w:val="mk-MK"/>
        </w:rPr>
        <w:t xml:space="preserve"> </w:t>
      </w:r>
      <w:r w:rsidR="00A73B20">
        <w:rPr>
          <w:rFonts w:cs="Calibri"/>
          <w:lang w:val="mk-MK"/>
        </w:rPr>
        <w:t xml:space="preserve">централна </w:t>
      </w:r>
      <w:r w:rsidR="00A73B20" w:rsidRPr="00E402B0">
        <w:rPr>
          <w:rFonts w:cs="Calibri"/>
          <w:lang w:val="mk-MK"/>
        </w:rPr>
        <w:t xml:space="preserve">област од Кластерот </w:t>
      </w:r>
      <w:r w:rsidR="00A73B20">
        <w:rPr>
          <w:rFonts w:cs="Calibri"/>
          <w:lang w:val="mk-MK"/>
        </w:rPr>
        <w:t>„</w:t>
      </w:r>
      <w:r w:rsidR="00A73B20" w:rsidRPr="00E402B0">
        <w:rPr>
          <w:rFonts w:cs="Calibri"/>
          <w:lang w:val="mk-MK"/>
        </w:rPr>
        <w:t>Основи</w:t>
      </w:r>
      <w:r w:rsidR="00A73B20">
        <w:rPr>
          <w:rFonts w:cs="Calibri"/>
          <w:lang w:val="mk-MK"/>
        </w:rPr>
        <w:t xml:space="preserve">“ кој е клучен за напредокот во преговорите со </w:t>
      </w:r>
      <w:r w:rsidR="00B3082A">
        <w:rPr>
          <w:rFonts w:cs="Calibri"/>
          <w:lang w:val="mk-MK"/>
        </w:rPr>
        <w:t xml:space="preserve"> ЕУ.</w:t>
      </w:r>
      <w:r w:rsidR="00A73B20">
        <w:rPr>
          <w:rFonts w:cs="Calibri"/>
          <w:lang w:val="en-US"/>
        </w:rPr>
        <w:t xml:space="preserve"> </w:t>
      </w:r>
      <w:r w:rsidR="00A73B20">
        <w:rPr>
          <w:rFonts w:cs="Calibri"/>
          <w:lang w:val="mk-MK"/>
        </w:rPr>
        <w:t>Е</w:t>
      </w:r>
      <w:r w:rsidR="00B3082A">
        <w:rPr>
          <w:rFonts w:cs="Calibri"/>
          <w:lang w:val="mk-MK"/>
        </w:rPr>
        <w:t xml:space="preserve">вропската комисија </w:t>
      </w:r>
      <w:r w:rsidR="00A73B20">
        <w:rPr>
          <w:rFonts w:cs="Calibri"/>
          <w:lang w:val="mk-MK"/>
        </w:rPr>
        <w:t>во своето Комунике</w:t>
      </w:r>
      <w:r w:rsidR="00B3082A">
        <w:rPr>
          <w:rStyle w:val="FootnoteReference"/>
          <w:rFonts w:cs="Calibri"/>
          <w:lang w:val="mk-MK"/>
        </w:rPr>
        <w:footnoteReference w:id="2"/>
      </w:r>
      <w:r w:rsidR="00A73B20">
        <w:rPr>
          <w:rFonts w:cs="Calibri"/>
          <w:lang w:val="mk-MK"/>
        </w:rPr>
        <w:t xml:space="preserve"> за проширувањето нагласува:</w:t>
      </w:r>
      <w:r w:rsidR="00A73B20" w:rsidRPr="00E402B0">
        <w:rPr>
          <w:rFonts w:cs="Calibri"/>
          <w:lang w:val="mk-MK"/>
        </w:rPr>
        <w:t xml:space="preserve"> </w:t>
      </w:r>
    </w:p>
    <w:p w14:paraId="33AA84D8" w14:textId="77777777" w:rsidR="00A73B20" w:rsidRDefault="00A73B20" w:rsidP="00A73B20">
      <w:pPr>
        <w:spacing w:after="0"/>
        <w:jc w:val="both"/>
        <w:rPr>
          <w:rFonts w:cs="Calibri"/>
          <w:lang w:val="mk-MK"/>
        </w:rPr>
      </w:pPr>
    </w:p>
    <w:p w14:paraId="2FB70F89" w14:textId="1BCC8FFD" w:rsidR="00A73B20" w:rsidRPr="003F22BC" w:rsidRDefault="00A73B20" w:rsidP="00A73B20">
      <w:pPr>
        <w:spacing w:after="0"/>
        <w:ind w:left="720"/>
        <w:jc w:val="both"/>
        <w:rPr>
          <w:rFonts w:cs="Calibri"/>
          <w:i/>
          <w:iCs/>
          <w:lang w:val="mk-MK"/>
        </w:rPr>
      </w:pPr>
      <w:r w:rsidRPr="003F22BC">
        <w:rPr>
          <w:rFonts w:cs="Calibri"/>
          <w:i/>
          <w:iCs/>
          <w:lang w:val="mk-MK"/>
        </w:rPr>
        <w:t xml:space="preserve">“Клучните прашања, како што се владеење на правото, зајакнување на демократските институции, реформата на јавната администрација, како и развојот на економијата и </w:t>
      </w:r>
      <w:r w:rsidR="00A04146" w:rsidRPr="003F22BC">
        <w:rPr>
          <w:rFonts w:cs="Calibri"/>
          <w:i/>
          <w:iCs/>
          <w:lang w:val="mk-MK"/>
        </w:rPr>
        <w:t>конкурентноста</w:t>
      </w:r>
      <w:r w:rsidRPr="003F22BC">
        <w:rPr>
          <w:rFonts w:cs="Calibri"/>
          <w:i/>
          <w:iCs/>
          <w:lang w:val="mk-MK"/>
        </w:rPr>
        <w:t xml:space="preserve"> остануваат клучни </w:t>
      </w:r>
      <w:r w:rsidR="00A04146" w:rsidRPr="003F22BC">
        <w:rPr>
          <w:rFonts w:cs="Calibri"/>
          <w:i/>
          <w:iCs/>
          <w:lang w:val="mk-MK"/>
        </w:rPr>
        <w:t>приоритети</w:t>
      </w:r>
      <w:r w:rsidRPr="003F22BC">
        <w:rPr>
          <w:rFonts w:cs="Calibri"/>
          <w:i/>
          <w:iCs/>
          <w:lang w:val="mk-MK"/>
        </w:rPr>
        <w:t xml:space="preserve"> во процесот на проширување. Тие </w:t>
      </w:r>
      <w:r w:rsidRPr="003F22BC">
        <w:rPr>
          <w:rFonts w:cs="Calibri"/>
          <w:i/>
          <w:iCs/>
          <w:lang w:val="mk-MK"/>
        </w:rPr>
        <w:lastRenderedPageBreak/>
        <w:t>преставуваат основа за секоја земја кандидат за членка во обезбедувањето на неопходните капацитети на администрацијата и судството за да можат соодветно да ги применуваат прописите и стандардите на ЕУ, не само во законодавството туку и во пракса.“</w:t>
      </w:r>
    </w:p>
    <w:p w14:paraId="1CFE4053" w14:textId="77777777" w:rsidR="00A73B20" w:rsidRDefault="00A73B20" w:rsidP="007E0A96">
      <w:pPr>
        <w:spacing w:after="0"/>
        <w:jc w:val="both"/>
        <w:rPr>
          <w:rFonts w:cs="Calibri"/>
          <w:lang w:val="mk-MK"/>
        </w:rPr>
      </w:pPr>
    </w:p>
    <w:p w14:paraId="74A8500D" w14:textId="2FE96F82" w:rsidR="007E0A96" w:rsidRPr="00AC68FC" w:rsidRDefault="001F11B5" w:rsidP="007E0A96">
      <w:pPr>
        <w:spacing w:after="0"/>
        <w:jc w:val="both"/>
        <w:rPr>
          <w:rFonts w:cs="Calibri"/>
          <w:lang w:val="mk-MK"/>
        </w:rPr>
      </w:pPr>
      <w:r>
        <w:rPr>
          <w:rFonts w:cs="Calibri"/>
          <w:shd w:val="clear" w:color="auto" w:fill="FFFFFF"/>
          <w:lang w:val="mk-MK"/>
        </w:rPr>
        <w:t>ВРСМ</w:t>
      </w:r>
      <w:r w:rsidRPr="007E0A96">
        <w:rPr>
          <w:rFonts w:cs="Calibri"/>
          <w:shd w:val="clear" w:color="auto" w:fill="FFFFFF"/>
          <w:lang w:val="mk-MK"/>
        </w:rPr>
        <w:t xml:space="preserve"> </w:t>
      </w:r>
      <w:r w:rsidR="007E0A96" w:rsidRPr="007E0A96">
        <w:rPr>
          <w:rFonts w:cs="Calibri"/>
          <w:shd w:val="clear" w:color="auto" w:fill="FFFFFF"/>
          <w:lang w:val="mk-MK"/>
        </w:rPr>
        <w:t>е силно посветена на зацврстување на унитарноста, суверенитетот и стабилноста на државата. Таа ја демонстрира својата силна политичка волја за реформско работење, кое по остварената стр</w:t>
      </w:r>
      <w:r w:rsidR="00071C93">
        <w:rPr>
          <w:rFonts w:cs="Calibri"/>
          <w:shd w:val="clear" w:color="auto" w:fill="FFFFFF"/>
          <w:lang w:val="mk-MK"/>
        </w:rPr>
        <w:t xml:space="preserve">атешка цел за членство во НАТО </w:t>
      </w:r>
      <w:r w:rsidR="007E0A96" w:rsidRPr="007E0A96">
        <w:rPr>
          <w:rFonts w:cs="Calibri"/>
          <w:shd w:val="clear" w:color="auto" w:fill="FFFFFF"/>
          <w:lang w:val="mk-MK"/>
        </w:rPr>
        <w:t xml:space="preserve">е фокусирана на заедничкиот стратешки приоритет на </w:t>
      </w:r>
      <w:r w:rsidR="00335E39">
        <w:rPr>
          <w:rFonts w:cs="Calibri"/>
          <w:shd w:val="clear" w:color="auto" w:fill="FFFFFF"/>
          <w:lang w:val="mk-MK"/>
        </w:rPr>
        <w:t>РСМ</w:t>
      </w:r>
      <w:r w:rsidR="007E0A96" w:rsidRPr="007E0A96">
        <w:rPr>
          <w:rFonts w:cs="Calibri"/>
          <w:shd w:val="clear" w:color="auto" w:fill="FFFFFF"/>
          <w:lang w:val="mk-MK"/>
        </w:rPr>
        <w:t xml:space="preserve"> за членство во </w:t>
      </w:r>
      <w:r w:rsidR="00374A5A">
        <w:rPr>
          <w:rFonts w:cs="Calibri"/>
          <w:shd w:val="clear" w:color="auto" w:fill="FFFFFF"/>
          <w:lang w:val="mk-MK"/>
        </w:rPr>
        <w:t xml:space="preserve"> </w:t>
      </w:r>
      <w:r w:rsidR="00BB092B">
        <w:rPr>
          <w:rFonts w:cs="Calibri"/>
          <w:shd w:val="clear" w:color="auto" w:fill="FFFFFF"/>
          <w:lang w:val="mk-MK"/>
        </w:rPr>
        <w:t>ЕУ</w:t>
      </w:r>
      <w:r w:rsidR="007E0A96" w:rsidRPr="007E0A96">
        <w:rPr>
          <w:rFonts w:cs="Calibri"/>
          <w:shd w:val="clear" w:color="auto" w:fill="FFFFFF"/>
          <w:lang w:val="mk-MK"/>
        </w:rPr>
        <w:t xml:space="preserve">, обезбедување реална поделба на власта, функционирање на правната држава и градење на силни, професионални и отворени институции. </w:t>
      </w:r>
    </w:p>
    <w:p w14:paraId="36B5EFF8" w14:textId="28F68534" w:rsidR="00227E82" w:rsidRDefault="00227E82" w:rsidP="007E0A96">
      <w:pPr>
        <w:spacing w:after="0"/>
        <w:jc w:val="both"/>
        <w:rPr>
          <w:rFonts w:cs="Calibri"/>
          <w:shd w:val="clear" w:color="auto" w:fill="FFFFFF"/>
          <w:lang w:val="mk-MK"/>
        </w:rPr>
      </w:pPr>
    </w:p>
    <w:p w14:paraId="7CCB4F1D" w14:textId="6EF34DEF" w:rsidR="00B77F5A" w:rsidRDefault="00A73B20" w:rsidP="007E0A96">
      <w:pPr>
        <w:spacing w:after="0"/>
        <w:jc w:val="both"/>
        <w:rPr>
          <w:rFonts w:cs="Calibri"/>
          <w:lang w:val="mk-MK"/>
        </w:rPr>
      </w:pPr>
      <w:r w:rsidRPr="00927FE2">
        <w:rPr>
          <w:rFonts w:cs="Calibri"/>
          <w:noProof/>
          <w:shd w:val="clear" w:color="auto" w:fill="FFFFFF"/>
          <w:lang w:val="en-US"/>
        </w:rPr>
        <mc:AlternateContent>
          <mc:Choice Requires="wps">
            <w:drawing>
              <wp:anchor distT="228600" distB="228600" distL="228600" distR="228600" simplePos="0" relativeHeight="251682816" behindDoc="1" locked="0" layoutInCell="1" allowOverlap="1" wp14:anchorId="0094957B" wp14:editId="1A3DE349">
                <wp:simplePos x="0" y="0"/>
                <wp:positionH relativeFrom="margin">
                  <wp:align>right</wp:align>
                </wp:positionH>
                <wp:positionV relativeFrom="margin">
                  <wp:posOffset>10160</wp:posOffset>
                </wp:positionV>
                <wp:extent cx="3303905" cy="166433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3303905" cy="166433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875C90B" w14:textId="0EF38007" w:rsidR="00902252" w:rsidRPr="00AC68FC" w:rsidRDefault="00902252" w:rsidP="00AC68FC">
                            <w:pPr>
                              <w:jc w:val="both"/>
                              <w:rPr>
                                <w:b/>
                                <w:color w:val="323E4F" w:themeColor="text2" w:themeShade="BF"/>
                                <w:sz w:val="24"/>
                                <w:szCs w:val="24"/>
                              </w:rPr>
                            </w:pPr>
                            <w:r w:rsidRPr="00AC68FC">
                              <w:rPr>
                                <w:rFonts w:eastAsia="Times New Roman" w:cs="Calibri"/>
                                <w:b/>
                                <w:lang w:val="mk-MK"/>
                              </w:rPr>
                              <w:t>Модерна и ефикасна јавна администрација базирана на дигитализација која обезбедува квалитетни и брзи услуги за граѓаните и деловните субјекти</w:t>
                            </w:r>
                          </w:p>
                          <w:p w14:paraId="29AE5C13" w14:textId="45E709C1" w:rsidR="00902252" w:rsidRDefault="00902252">
                            <w:pPr>
                              <w:pStyle w:val="NoSpacing"/>
                              <w:jc w:val="right"/>
                              <w:rPr>
                                <w:color w:val="44546A" w:themeColor="text2"/>
                                <w:sz w:val="18"/>
                                <w:szCs w:val="18"/>
                              </w:rPr>
                            </w:pPr>
                            <w:r>
                              <w:rPr>
                                <w:color w:val="44546A" w:themeColor="text2"/>
                                <w:sz w:val="18"/>
                                <w:szCs w:val="18"/>
                                <w:lang w:val="mk-MK"/>
                              </w:rPr>
                              <w:t>Програма за работа ВРСМ 2022-2024</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957B" id="_x0000_t202" coordsize="21600,21600" o:spt="202" path="m,l,21600r21600,l21600,xe">
                <v:stroke joinstyle="miter"/>
                <v:path gradientshapeok="t" o:connecttype="rect"/>
              </v:shapetype>
              <v:shape id="Text Box 36" o:spid="_x0000_s1027" type="#_x0000_t202" style="position:absolute;left:0;text-align:left;margin-left:208.95pt;margin-top:.8pt;width:260.15pt;height:131.05pt;z-index:-25163366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" fillcolor="#e9e8e8 [2899]" stroked="f" strokeweight=".5pt">
                <v:fill color2="#e1e0e0 [3139]" rotate="t" focusposition=".5,.5" focussize="-.5,-.5" focus="100%" type="gradientRadial"/>
                <v:textbox inset="14.4pt,14.4pt,14.4pt,14.4pt">
                  <w:txbxContent>
                    <w:p w14:paraId="0875C90B" w14:textId="0EF38007" w:rsidR="00902252" w:rsidRPr="00AC68FC" w:rsidRDefault="00902252" w:rsidP="00AC68FC">
                      <w:pPr>
                        <w:jc w:val="both"/>
                        <w:rPr>
                          <w:b/>
                          <w:color w:val="323E4F" w:themeColor="text2" w:themeShade="BF"/>
                          <w:sz w:val="24"/>
                          <w:szCs w:val="24"/>
                        </w:rPr>
                      </w:pPr>
                      <w:r w:rsidRPr="00AC68FC">
                        <w:rPr>
                          <w:rFonts w:eastAsia="Times New Roman" w:cs="Calibri"/>
                          <w:b/>
                          <w:lang w:val="mk-MK"/>
                        </w:rPr>
                        <w:t>Модерна и ефикасна јавна администрација базирана на дигитализација која обезбедува квалитетни и брзи услуги за граѓаните и деловните субјекти</w:t>
                      </w:r>
                    </w:p>
                    <w:p w14:paraId="29AE5C13" w14:textId="45E709C1" w:rsidR="00902252" w:rsidRDefault="00902252">
                      <w:pPr>
                        <w:pStyle w:val="NoSpacing"/>
                        <w:jc w:val="right"/>
                        <w:rPr>
                          <w:color w:val="44546A" w:themeColor="text2"/>
                          <w:sz w:val="18"/>
                          <w:szCs w:val="18"/>
                        </w:rPr>
                      </w:pPr>
                      <w:r>
                        <w:rPr>
                          <w:color w:val="44546A" w:themeColor="text2"/>
                          <w:sz w:val="18"/>
                          <w:szCs w:val="18"/>
                          <w:lang w:val="mk-MK"/>
                        </w:rPr>
                        <w:t>Програма за работа ВРСМ 2022-2024</w:t>
                      </w:r>
                    </w:p>
                  </w:txbxContent>
                </v:textbox>
                <w10:wrap type="square" anchorx="margin" anchory="margin"/>
              </v:shape>
            </w:pict>
          </mc:Fallback>
        </mc:AlternateContent>
      </w:r>
      <w:r w:rsidR="00927FE2" w:rsidRPr="00AC68FC">
        <w:rPr>
          <w:rFonts w:eastAsia="Times New Roman" w:cs="Calibri"/>
          <w:bCs/>
          <w:lang w:val="mk-MK"/>
        </w:rPr>
        <w:t xml:space="preserve">Еден од стратешките приоритети на </w:t>
      </w:r>
      <w:r w:rsidR="001F11B5">
        <w:rPr>
          <w:rFonts w:eastAsia="Times New Roman" w:cs="Calibri"/>
          <w:bCs/>
          <w:lang w:val="mk-MK"/>
        </w:rPr>
        <w:t>ВРСМ</w:t>
      </w:r>
      <w:r w:rsidR="001F11B5" w:rsidRPr="00AC68FC">
        <w:rPr>
          <w:rFonts w:cs="Calibri"/>
          <w:shd w:val="clear" w:color="auto" w:fill="FFFFFF"/>
          <w:lang w:val="mk-MK"/>
        </w:rPr>
        <w:t xml:space="preserve"> </w:t>
      </w:r>
      <w:r w:rsidR="00927FE2" w:rsidRPr="00AC68FC">
        <w:rPr>
          <w:rFonts w:cs="Calibri"/>
          <w:shd w:val="clear" w:color="auto" w:fill="FFFFFF"/>
          <w:lang w:val="mk-MK"/>
        </w:rPr>
        <w:t xml:space="preserve">утврден во Програмата за работа на </w:t>
      </w:r>
      <w:r w:rsidR="00E368F5">
        <w:rPr>
          <w:rFonts w:cs="Calibri"/>
          <w:shd w:val="clear" w:color="auto" w:fill="FFFFFF"/>
          <w:lang w:val="mk-MK"/>
        </w:rPr>
        <w:t>ВРСМ</w:t>
      </w:r>
      <w:r w:rsidR="00927FE2" w:rsidRPr="00AC68FC">
        <w:rPr>
          <w:rFonts w:cs="Calibri"/>
          <w:shd w:val="clear" w:color="auto" w:fill="FFFFFF"/>
          <w:lang w:val="mk-MK"/>
        </w:rPr>
        <w:t xml:space="preserve"> (2022-2024)</w:t>
      </w:r>
      <w:r w:rsidR="00927FE2" w:rsidRPr="00927FE2">
        <w:rPr>
          <w:rFonts w:cs="Calibri"/>
          <w:shd w:val="clear" w:color="auto" w:fill="FFFFFF"/>
          <w:lang w:val="mk-MK"/>
        </w:rPr>
        <w:t xml:space="preserve"> е развивање на </w:t>
      </w:r>
      <w:r w:rsidR="00927FE2" w:rsidRPr="00AC68FC">
        <w:rPr>
          <w:rFonts w:eastAsia="Times New Roman" w:cs="Calibri"/>
          <w:bCs/>
          <w:lang w:val="mk-MK"/>
        </w:rPr>
        <w:t>м</w:t>
      </w:r>
      <w:r w:rsidR="007E0A96" w:rsidRPr="00927FE2">
        <w:rPr>
          <w:rFonts w:eastAsia="Times New Roman" w:cs="Calibri"/>
          <w:bCs/>
          <w:lang w:val="mk-MK"/>
        </w:rPr>
        <w:t>одерна и ефикасна јавна администрација базирана на дигитализација која обезбедува квалитетни и брзи услуги за граѓаните и деловните субјекти</w:t>
      </w:r>
      <w:r w:rsidR="00927FE2" w:rsidRPr="00AC68FC">
        <w:rPr>
          <w:rFonts w:eastAsia="Times New Roman" w:cs="Calibri"/>
          <w:bCs/>
          <w:lang w:val="mk-MK"/>
        </w:rPr>
        <w:t xml:space="preserve">. </w:t>
      </w:r>
      <w:r w:rsidR="00E77D30" w:rsidRPr="007E0A96">
        <w:rPr>
          <w:rFonts w:cs="Calibri"/>
          <w:lang w:val="mk-MK"/>
        </w:rPr>
        <w:t xml:space="preserve">Целта на политиките на </w:t>
      </w:r>
      <w:r w:rsidR="001F11B5">
        <w:rPr>
          <w:rFonts w:cs="Calibri"/>
          <w:lang w:val="mk-MK"/>
        </w:rPr>
        <w:t>ВРСМ</w:t>
      </w:r>
      <w:r w:rsidR="001F11B5" w:rsidRPr="007E0A96">
        <w:rPr>
          <w:rFonts w:cs="Calibri"/>
          <w:lang w:val="mk-MK"/>
        </w:rPr>
        <w:t xml:space="preserve"> </w:t>
      </w:r>
      <w:r w:rsidR="00976C3C">
        <w:rPr>
          <w:rFonts w:cs="Calibri"/>
          <w:lang w:val="mk-MK"/>
        </w:rPr>
        <w:t xml:space="preserve">во оваа област </w:t>
      </w:r>
      <w:r w:rsidR="00E77D30" w:rsidRPr="007E0A96">
        <w:rPr>
          <w:rFonts w:cs="Calibri"/>
          <w:lang w:val="mk-MK"/>
        </w:rPr>
        <w:t>е</w:t>
      </w:r>
      <w:r w:rsidR="00E77D30">
        <w:rPr>
          <w:rFonts w:cs="Calibri"/>
          <w:lang w:val="mk-MK"/>
        </w:rPr>
        <w:t xml:space="preserve"> градење на ефикасна и професионална јавната администрација во согласност со европските стандарди и начелата на добро владеење за да се обезбедат квалитетни и лесно достапни услуги за граѓаните и деловните субјекти. </w:t>
      </w:r>
      <w:r w:rsidR="00E77D30" w:rsidRPr="007E0A96">
        <w:rPr>
          <w:rFonts w:cs="Calibri"/>
          <w:lang w:val="mk-MK"/>
        </w:rPr>
        <w:t>Напредокот кој е остварен и констатиран изминативе пет години се рефлектира во започнатите преговори со</w:t>
      </w:r>
      <w:r w:rsidR="00335E39">
        <w:rPr>
          <w:rFonts w:cs="Calibri"/>
          <w:lang w:val="mk-MK"/>
        </w:rPr>
        <w:t xml:space="preserve"> </w:t>
      </w:r>
      <w:r w:rsidR="00374A5A">
        <w:rPr>
          <w:rFonts w:cs="Calibri"/>
          <w:lang w:val="mk-MK"/>
        </w:rPr>
        <w:t>ЕУ</w:t>
      </w:r>
      <w:r w:rsidR="00E77D30" w:rsidRPr="007E0A96">
        <w:rPr>
          <w:rFonts w:cs="Calibri"/>
          <w:lang w:val="mk-MK"/>
        </w:rPr>
        <w:t>, во можностите за повеќе отворен</w:t>
      </w:r>
      <w:r w:rsidR="00D11100">
        <w:rPr>
          <w:rFonts w:cs="Calibri"/>
          <w:lang w:val="mk-MK"/>
        </w:rPr>
        <w:t xml:space="preserve">и европски фондови за државата </w:t>
      </w:r>
      <w:r w:rsidR="00E77D30" w:rsidRPr="007E0A96">
        <w:rPr>
          <w:rFonts w:cs="Calibri"/>
          <w:lang w:val="mk-MK"/>
        </w:rPr>
        <w:t>преку кои се поддржува солидарноста, се овозможува еднакво општество за сите, квалитетна инфраструктура, п</w:t>
      </w:r>
      <w:r w:rsidR="00D11100">
        <w:rPr>
          <w:rFonts w:cs="Calibri"/>
          <w:lang w:val="mk-MK"/>
        </w:rPr>
        <w:t>родуктивно и одржливо земјоделство</w:t>
      </w:r>
      <w:r w:rsidR="00E77D30" w:rsidRPr="007E0A96">
        <w:rPr>
          <w:rFonts w:cs="Calibri"/>
          <w:lang w:val="mk-MK"/>
        </w:rPr>
        <w:t xml:space="preserve">, како и здрава животна средина. </w:t>
      </w:r>
      <w:r w:rsidR="00AC1FF2">
        <w:rPr>
          <w:rFonts w:cs="Calibri"/>
          <w:lang w:val="mk-MK"/>
        </w:rPr>
        <w:t>Реформите</w:t>
      </w:r>
      <w:r w:rsidR="00E77D30" w:rsidRPr="007E0A96">
        <w:rPr>
          <w:rFonts w:cs="Calibri"/>
          <w:lang w:val="mk-MK"/>
        </w:rPr>
        <w:t xml:space="preserve"> кои ги прави </w:t>
      </w:r>
      <w:r w:rsidR="001F11B5">
        <w:rPr>
          <w:rFonts w:cs="Calibri"/>
          <w:lang w:val="mk-MK"/>
        </w:rPr>
        <w:t>ВРСМ</w:t>
      </w:r>
      <w:r w:rsidR="001F11B5" w:rsidRPr="007E0A96">
        <w:rPr>
          <w:rFonts w:cs="Calibri"/>
          <w:lang w:val="mk-MK"/>
        </w:rPr>
        <w:t xml:space="preserve"> </w:t>
      </w:r>
      <w:r w:rsidR="00E77D30" w:rsidRPr="007E0A96">
        <w:rPr>
          <w:rFonts w:cs="Calibri"/>
          <w:lang w:val="mk-MK"/>
        </w:rPr>
        <w:t xml:space="preserve">со цел полноправно членство во </w:t>
      </w:r>
      <w:r w:rsidR="00AC1FF2">
        <w:rPr>
          <w:rFonts w:cs="Calibri"/>
          <w:lang w:val="mk-MK"/>
        </w:rPr>
        <w:t xml:space="preserve">ЕУ </w:t>
      </w:r>
      <w:r w:rsidR="00E77D30" w:rsidRPr="007E0A96">
        <w:rPr>
          <w:rFonts w:cs="Calibri"/>
          <w:lang w:val="mk-MK"/>
        </w:rPr>
        <w:t>се државен интерес и</w:t>
      </w:r>
      <w:r w:rsidR="00D11100">
        <w:rPr>
          <w:rFonts w:cs="Calibri"/>
          <w:lang w:val="mk-MK"/>
        </w:rPr>
        <w:t xml:space="preserve"> нивното доследно спроведување </w:t>
      </w:r>
      <w:r w:rsidR="00E77D30" w:rsidRPr="007E0A96">
        <w:rPr>
          <w:rFonts w:cs="Calibri"/>
          <w:lang w:val="mk-MK"/>
        </w:rPr>
        <w:t xml:space="preserve">е со цел </w:t>
      </w:r>
      <w:r w:rsidR="00AC68FC">
        <w:rPr>
          <w:rFonts w:cs="Calibri"/>
          <w:lang w:val="mk-MK"/>
        </w:rPr>
        <w:t xml:space="preserve">да се постигнат стандардите на ЕУ во нашата земја. </w:t>
      </w:r>
    </w:p>
    <w:p w14:paraId="4ECDAB24" w14:textId="77777777" w:rsidR="00B77F5A" w:rsidRDefault="00B77F5A" w:rsidP="007E0A96">
      <w:pPr>
        <w:spacing w:after="0"/>
        <w:jc w:val="both"/>
        <w:rPr>
          <w:rFonts w:cs="Calibri"/>
          <w:lang w:val="mk-MK"/>
        </w:rPr>
      </w:pPr>
    </w:p>
    <w:p w14:paraId="2FE13C7E" w14:textId="247FA3E5" w:rsidR="007E0A96" w:rsidRPr="00AC68FC" w:rsidRDefault="007E0A96" w:rsidP="007E0A96">
      <w:pPr>
        <w:spacing w:after="0"/>
        <w:jc w:val="both"/>
        <w:rPr>
          <w:rFonts w:cs="Calibri"/>
          <w:shd w:val="clear" w:color="auto" w:fill="FFFFFF"/>
          <w:lang w:val="mk-MK"/>
        </w:rPr>
      </w:pPr>
      <w:r w:rsidRPr="007E0A96">
        <w:rPr>
          <w:rFonts w:cs="Calibri"/>
          <w:shd w:val="clear" w:color="auto" w:fill="FFFFFF"/>
          <w:lang w:val="mk-MK"/>
        </w:rPr>
        <w:t xml:space="preserve">За </w:t>
      </w:r>
      <w:r w:rsidR="001F11B5">
        <w:rPr>
          <w:rFonts w:cs="Calibri"/>
          <w:shd w:val="clear" w:color="auto" w:fill="FFFFFF"/>
          <w:lang w:val="mk-MK"/>
        </w:rPr>
        <w:t>ВРСМ</w:t>
      </w:r>
      <w:r w:rsidR="001F11B5" w:rsidRPr="007E0A96">
        <w:rPr>
          <w:rFonts w:cs="Calibri"/>
          <w:shd w:val="clear" w:color="auto" w:fill="FFFFFF"/>
          <w:lang w:val="mk-MK"/>
        </w:rPr>
        <w:t xml:space="preserve"> </w:t>
      </w:r>
      <w:r w:rsidRPr="007E0A96">
        <w:rPr>
          <w:rFonts w:cs="Calibri"/>
          <w:shd w:val="clear" w:color="auto" w:fill="FFFFFF"/>
          <w:lang w:val="mk-MK"/>
        </w:rPr>
        <w:t xml:space="preserve">од </w:t>
      </w:r>
      <w:r w:rsidRPr="007E0A96">
        <w:rPr>
          <w:rFonts w:cs="Calibri"/>
          <w:lang w:val="mk-MK"/>
        </w:rPr>
        <w:t>највисок приоритет и примарен фокус</w:t>
      </w:r>
      <w:r w:rsidR="00B77F5A">
        <w:rPr>
          <w:rFonts w:cs="Calibri"/>
          <w:lang w:val="mk-MK"/>
        </w:rPr>
        <w:t xml:space="preserve"> во Стратегијата за РЈА</w:t>
      </w:r>
      <w:r w:rsidRPr="007E0A96">
        <w:rPr>
          <w:rFonts w:cs="Calibri"/>
          <w:lang w:val="mk-MK"/>
        </w:rPr>
        <w:t xml:space="preserve">, со обврска за видливи резултати, е реорганизација, реконфигурација и воведување дополнителни форми за поефикасно работење на државната и јавна администрација на сите нивоа. Таа цели кон </w:t>
      </w:r>
      <w:r w:rsidR="00B77F5A">
        <w:rPr>
          <w:rFonts w:cs="Calibri"/>
          <w:lang w:val="mk-MK"/>
        </w:rPr>
        <w:t xml:space="preserve">понатамошно градење на системот за креирање на квалитетни и инклузивни политики, </w:t>
      </w:r>
      <w:r w:rsidRPr="007E0A96">
        <w:rPr>
          <w:rFonts w:cs="Calibri"/>
          <w:lang w:val="mk-MK"/>
        </w:rPr>
        <w:t xml:space="preserve">обезбедување професионална јавна администрација, поддржана од интензивна дигитализација, </w:t>
      </w:r>
      <w:r w:rsidR="00E3706D" w:rsidRPr="007E0A96">
        <w:rPr>
          <w:rFonts w:cs="Calibri"/>
          <w:lang w:val="mk-MK"/>
        </w:rPr>
        <w:t>оптимална структура и иновативни процеси и техники</w:t>
      </w:r>
      <w:r w:rsidR="00E3706D">
        <w:rPr>
          <w:rFonts w:cs="Calibri"/>
          <w:lang w:val="mk-MK"/>
        </w:rPr>
        <w:t>,</w:t>
      </w:r>
      <w:r w:rsidR="00E3706D" w:rsidRPr="007E0A96">
        <w:rPr>
          <w:rFonts w:cs="Calibri"/>
          <w:lang w:val="mk-MK"/>
        </w:rPr>
        <w:t xml:space="preserve"> </w:t>
      </w:r>
      <w:r w:rsidRPr="007E0A96">
        <w:rPr>
          <w:rFonts w:cs="Calibri"/>
          <w:lang w:val="mk-MK"/>
        </w:rPr>
        <w:t xml:space="preserve">односно дигитална трансформација со цел обезбедување на квалитетни и лесно достапни услуги за граѓаните. </w:t>
      </w:r>
      <w:r w:rsidR="001F11B5">
        <w:rPr>
          <w:rFonts w:cs="Calibri"/>
          <w:lang w:val="mk-MK"/>
        </w:rPr>
        <w:t>ВРСМ</w:t>
      </w:r>
      <w:r w:rsidR="001F11B5" w:rsidRPr="007E0A96">
        <w:rPr>
          <w:rFonts w:cs="Calibri"/>
          <w:lang w:val="mk-MK"/>
        </w:rPr>
        <w:t xml:space="preserve"> </w:t>
      </w:r>
      <w:r w:rsidRPr="007E0A96">
        <w:rPr>
          <w:rFonts w:cs="Calibri"/>
          <w:lang w:val="mk-MK"/>
        </w:rPr>
        <w:t>е насочена да постигне побрза услуга, подобар квалитет и еднаквост во пристапот за сите граѓани и деловни субјекти.</w:t>
      </w:r>
    </w:p>
    <w:p w14:paraId="6EDA79F9" w14:textId="77777777" w:rsidR="007E0A96" w:rsidRPr="007E0A96" w:rsidRDefault="007E0A96" w:rsidP="007E0A96">
      <w:pPr>
        <w:spacing w:after="0"/>
        <w:jc w:val="both"/>
        <w:rPr>
          <w:rFonts w:cs="Calibri"/>
          <w:shd w:val="clear" w:color="auto" w:fill="FFFFFF"/>
          <w:lang w:val="mk-MK"/>
        </w:rPr>
      </w:pPr>
    </w:p>
    <w:p w14:paraId="1B131641" w14:textId="5B66BADC" w:rsidR="007A5FC6" w:rsidRDefault="007E0A96" w:rsidP="007E0A96">
      <w:pPr>
        <w:spacing w:after="0"/>
        <w:jc w:val="both"/>
        <w:rPr>
          <w:rFonts w:cs="Calibri"/>
          <w:shd w:val="clear" w:color="auto" w:fill="FFFFFF"/>
          <w:lang w:val="mk-MK"/>
        </w:rPr>
      </w:pPr>
      <w:r w:rsidRPr="007E0A96">
        <w:rPr>
          <w:rFonts w:cs="Calibri"/>
          <w:shd w:val="clear" w:color="auto" w:fill="FFFFFF"/>
          <w:lang w:val="mk-MK"/>
        </w:rPr>
        <w:t xml:space="preserve">Посветеноста на процесот на реформата на јавната администрација, на политичко и административно ниво, се потврдува преку </w:t>
      </w:r>
      <w:r w:rsidR="00BB092B">
        <w:rPr>
          <w:rFonts w:cs="Calibri"/>
          <w:shd w:val="clear" w:color="auto" w:fill="FFFFFF"/>
          <w:lang w:val="mk-MK"/>
        </w:rPr>
        <w:t xml:space="preserve">приоритетите </w:t>
      </w:r>
      <w:r w:rsidRPr="007E0A96">
        <w:rPr>
          <w:rFonts w:cs="Calibri"/>
          <w:shd w:val="clear" w:color="auto" w:fill="FFFFFF"/>
          <w:lang w:val="mk-MK"/>
        </w:rPr>
        <w:t>во Програмата за работа на Владата</w:t>
      </w:r>
      <w:r w:rsidR="00BB092B">
        <w:rPr>
          <w:rFonts w:cs="Calibri"/>
          <w:shd w:val="clear" w:color="auto" w:fill="FFFFFF"/>
          <w:lang w:val="mk-MK"/>
        </w:rPr>
        <w:t xml:space="preserve"> на Република Северна Македонија </w:t>
      </w:r>
      <w:r w:rsidRPr="007E0A96">
        <w:rPr>
          <w:rFonts w:cs="Calibri"/>
          <w:shd w:val="clear" w:color="auto" w:fill="FFFFFF"/>
          <w:lang w:val="mk-MK"/>
        </w:rPr>
        <w:t>(2022-2024), но и преку континуитет</w:t>
      </w:r>
      <w:r w:rsidR="000207A6">
        <w:rPr>
          <w:rFonts w:cs="Calibri"/>
          <w:shd w:val="clear" w:color="auto" w:fill="FFFFFF"/>
          <w:lang w:val="mk-MK"/>
        </w:rPr>
        <w:t>от</w:t>
      </w:r>
      <w:r w:rsidRPr="007E0A96">
        <w:rPr>
          <w:rFonts w:cs="Calibri"/>
          <w:shd w:val="clear" w:color="auto" w:fill="FFFFFF"/>
          <w:lang w:val="mk-MK"/>
        </w:rPr>
        <w:t xml:space="preserve"> во имплементација на мерките и активностите кои беа дефинирани во Стратегијата за </w:t>
      </w:r>
      <w:r w:rsidR="00335E39">
        <w:rPr>
          <w:rFonts w:cs="Calibri"/>
          <w:shd w:val="clear" w:color="auto" w:fill="FFFFFF"/>
          <w:lang w:val="mk-MK"/>
        </w:rPr>
        <w:t>РЈА</w:t>
      </w:r>
      <w:r w:rsidRPr="007E0A96">
        <w:rPr>
          <w:rFonts w:cs="Calibri"/>
          <w:shd w:val="clear" w:color="auto" w:fill="FFFFFF"/>
          <w:lang w:val="mk-MK"/>
        </w:rPr>
        <w:t xml:space="preserve"> </w:t>
      </w:r>
      <w:r w:rsidR="000207A6">
        <w:rPr>
          <w:rFonts w:cs="Calibri"/>
          <w:shd w:val="clear" w:color="auto" w:fill="FFFFFF"/>
          <w:lang w:val="mk-MK"/>
        </w:rPr>
        <w:t>со Акцискиот план</w:t>
      </w:r>
      <w:r w:rsidR="000207A6" w:rsidRPr="007E0A96">
        <w:rPr>
          <w:rFonts w:cs="Calibri"/>
          <w:shd w:val="clear" w:color="auto" w:fill="FFFFFF"/>
          <w:lang w:val="mk-MK"/>
        </w:rPr>
        <w:t xml:space="preserve"> </w:t>
      </w:r>
      <w:r w:rsidRPr="007E0A96">
        <w:rPr>
          <w:rFonts w:cs="Calibri"/>
          <w:shd w:val="clear" w:color="auto" w:fill="FFFFFF"/>
          <w:lang w:val="mk-MK"/>
        </w:rPr>
        <w:t xml:space="preserve">(2018-2022). </w:t>
      </w:r>
      <w:r w:rsidR="00BB092B">
        <w:rPr>
          <w:rFonts w:cs="Calibri"/>
          <w:shd w:val="clear" w:color="auto" w:fill="FFFFFF"/>
          <w:lang w:val="mk-MK"/>
        </w:rPr>
        <w:lastRenderedPageBreak/>
        <w:t xml:space="preserve">Напредокот во постигнување на целите </w:t>
      </w:r>
      <w:r w:rsidR="00354814">
        <w:rPr>
          <w:rFonts w:cs="Calibri"/>
          <w:shd w:val="clear" w:color="auto" w:fill="FFFFFF"/>
          <w:lang w:val="mk-MK"/>
        </w:rPr>
        <w:t xml:space="preserve">на Стратегијата </w:t>
      </w:r>
      <w:r w:rsidR="00BB092B">
        <w:rPr>
          <w:rFonts w:cs="Calibri"/>
          <w:shd w:val="clear" w:color="auto" w:fill="FFFFFF"/>
          <w:lang w:val="mk-MK"/>
        </w:rPr>
        <w:t xml:space="preserve">се констатирани во </w:t>
      </w:r>
      <w:r w:rsidRPr="007E0A96">
        <w:rPr>
          <w:rFonts w:cs="Calibri"/>
          <w:shd w:val="clear" w:color="auto" w:fill="FFFFFF"/>
          <w:lang w:val="mk-MK"/>
        </w:rPr>
        <w:t xml:space="preserve">Извештајот на Европската Комисија за </w:t>
      </w:r>
      <w:r w:rsidR="00E368F5">
        <w:rPr>
          <w:rFonts w:cs="Calibri"/>
          <w:shd w:val="clear" w:color="auto" w:fill="FFFFFF"/>
          <w:lang w:val="mk-MK"/>
        </w:rPr>
        <w:t>МКД</w:t>
      </w:r>
      <w:r w:rsidRPr="007E0A96">
        <w:rPr>
          <w:rFonts w:cs="Calibri"/>
          <w:shd w:val="clear" w:color="auto" w:fill="FFFFFF"/>
          <w:lang w:val="mk-MK"/>
        </w:rPr>
        <w:t xml:space="preserve"> за 2021</w:t>
      </w:r>
      <w:r>
        <w:rPr>
          <w:rFonts w:cs="Calibri"/>
          <w:shd w:val="clear" w:color="auto" w:fill="FFFFFF"/>
          <w:lang w:val="mk-MK"/>
        </w:rPr>
        <w:t xml:space="preserve"> </w:t>
      </w:r>
      <w:r w:rsidRPr="007E0A96">
        <w:rPr>
          <w:rFonts w:cs="Calibri"/>
          <w:shd w:val="clear" w:color="auto" w:fill="FFFFFF"/>
          <w:lang w:val="mk-MK"/>
        </w:rPr>
        <w:t>г</w:t>
      </w:r>
      <w:r w:rsidR="000207A6">
        <w:rPr>
          <w:rFonts w:cs="Calibri"/>
          <w:shd w:val="clear" w:color="auto" w:fill="FFFFFF"/>
          <w:lang w:val="mk-MK"/>
        </w:rPr>
        <w:t>одина</w:t>
      </w:r>
      <w:r w:rsidRPr="007E0A96">
        <w:rPr>
          <w:rFonts w:cs="Calibri"/>
          <w:shd w:val="clear" w:color="auto" w:fill="FFFFFF"/>
          <w:lang w:val="mk-MK"/>
        </w:rPr>
        <w:t xml:space="preserve"> и </w:t>
      </w:r>
      <w:r w:rsidR="00374A5A">
        <w:rPr>
          <w:rFonts w:cs="Calibri"/>
          <w:shd w:val="clear" w:color="auto" w:fill="FFFFFF"/>
          <w:lang w:val="mk-MK"/>
        </w:rPr>
        <w:t xml:space="preserve">во </w:t>
      </w:r>
      <w:r w:rsidR="00374A5A" w:rsidRPr="007E0A96">
        <w:rPr>
          <w:rFonts w:cs="Calibri"/>
          <w:shd w:val="clear" w:color="auto" w:fill="FFFFFF"/>
          <w:lang w:val="mk-MK"/>
        </w:rPr>
        <w:t xml:space="preserve">Извештајот на Европската Комисија за </w:t>
      </w:r>
      <w:r w:rsidR="00E368F5">
        <w:rPr>
          <w:rFonts w:cs="Calibri"/>
          <w:shd w:val="clear" w:color="auto" w:fill="FFFFFF"/>
          <w:lang w:val="mk-MK"/>
        </w:rPr>
        <w:t>МКД</w:t>
      </w:r>
      <w:r w:rsidR="00374A5A" w:rsidRPr="007E0A96">
        <w:rPr>
          <w:rFonts w:cs="Calibri"/>
          <w:shd w:val="clear" w:color="auto" w:fill="FFFFFF"/>
          <w:lang w:val="mk-MK"/>
        </w:rPr>
        <w:t xml:space="preserve"> за </w:t>
      </w:r>
      <w:r w:rsidRPr="007E0A96">
        <w:rPr>
          <w:rFonts w:cs="Calibri"/>
          <w:shd w:val="clear" w:color="auto" w:fill="FFFFFF"/>
          <w:lang w:val="mk-MK"/>
        </w:rPr>
        <w:t>2022</w:t>
      </w:r>
      <w:r>
        <w:rPr>
          <w:rFonts w:cs="Calibri"/>
          <w:shd w:val="clear" w:color="auto" w:fill="FFFFFF"/>
          <w:lang w:val="mk-MK"/>
        </w:rPr>
        <w:t xml:space="preserve"> </w:t>
      </w:r>
      <w:r w:rsidRPr="007E0A96">
        <w:rPr>
          <w:rFonts w:cs="Calibri"/>
          <w:shd w:val="clear" w:color="auto" w:fill="FFFFFF"/>
          <w:lang w:val="mk-MK"/>
        </w:rPr>
        <w:t>г</w:t>
      </w:r>
      <w:r w:rsidR="000207A6">
        <w:rPr>
          <w:rFonts w:cs="Calibri"/>
          <w:shd w:val="clear" w:color="auto" w:fill="FFFFFF"/>
          <w:lang w:val="mk-MK"/>
        </w:rPr>
        <w:t>одина</w:t>
      </w:r>
      <w:r w:rsidRPr="007E0A96">
        <w:rPr>
          <w:rFonts w:cs="Calibri"/>
          <w:shd w:val="clear" w:color="auto" w:fill="FFFFFF"/>
          <w:lang w:val="mk-MK"/>
        </w:rPr>
        <w:t>, Извештајот од спроведениот мониторинг од страна на СИГМА за 2021</w:t>
      </w:r>
      <w:r>
        <w:rPr>
          <w:rFonts w:cs="Calibri"/>
          <w:shd w:val="clear" w:color="auto" w:fill="FFFFFF"/>
          <w:lang w:val="mk-MK"/>
        </w:rPr>
        <w:t xml:space="preserve"> </w:t>
      </w:r>
      <w:r w:rsidRPr="007E0A96">
        <w:rPr>
          <w:rFonts w:cs="Calibri"/>
          <w:shd w:val="clear" w:color="auto" w:fill="FFFFFF"/>
          <w:lang w:val="mk-MK"/>
        </w:rPr>
        <w:t>г</w:t>
      </w:r>
      <w:r w:rsidR="000207A6">
        <w:rPr>
          <w:rFonts w:cs="Calibri"/>
          <w:shd w:val="clear" w:color="auto" w:fill="FFFFFF"/>
          <w:lang w:val="mk-MK"/>
        </w:rPr>
        <w:t xml:space="preserve">одина, </w:t>
      </w:r>
      <w:r w:rsidRPr="007E0A96">
        <w:rPr>
          <w:rFonts w:cs="Calibri"/>
          <w:shd w:val="clear" w:color="auto" w:fill="FFFFFF"/>
          <w:lang w:val="mk-MK"/>
        </w:rPr>
        <w:t>Заклучоците</w:t>
      </w:r>
      <w:r w:rsidRPr="007E0A96">
        <w:rPr>
          <w:rFonts w:cs="Calibri"/>
          <w:shd w:val="clear" w:color="auto" w:fill="FFFFFF"/>
          <w:vertAlign w:val="superscript"/>
          <w:lang w:val="mk-MK"/>
        </w:rPr>
        <w:footnoteReference w:id="3"/>
      </w:r>
      <w:r w:rsidRPr="007E0A96">
        <w:rPr>
          <w:rFonts w:cs="Calibri"/>
          <w:shd w:val="clear" w:color="auto" w:fill="FFFFFF"/>
          <w:lang w:val="mk-MK"/>
        </w:rPr>
        <w:t xml:space="preserve"> на Специјалната група за реформа на јавната администрација </w:t>
      </w:r>
      <w:r w:rsidR="00AC1FF2">
        <w:rPr>
          <w:rFonts w:cs="Calibri"/>
          <w:shd w:val="clear" w:color="auto" w:fill="FFFFFF"/>
          <w:lang w:val="mk-MK"/>
        </w:rPr>
        <w:t>од состано</w:t>
      </w:r>
      <w:r w:rsidR="00374A5A">
        <w:rPr>
          <w:rFonts w:cs="Calibri"/>
          <w:shd w:val="clear" w:color="auto" w:fill="FFFFFF"/>
          <w:lang w:val="mk-MK"/>
        </w:rPr>
        <w:t>ците</w:t>
      </w:r>
      <w:r w:rsidR="00AC1FF2">
        <w:rPr>
          <w:rFonts w:cs="Calibri"/>
          <w:shd w:val="clear" w:color="auto" w:fill="FFFFFF"/>
          <w:lang w:val="mk-MK"/>
        </w:rPr>
        <w:t xml:space="preserve"> </w:t>
      </w:r>
      <w:r w:rsidRPr="007E0A96">
        <w:rPr>
          <w:rFonts w:cs="Calibri"/>
          <w:shd w:val="clear" w:color="auto" w:fill="FFFFFF"/>
          <w:lang w:val="mk-MK"/>
        </w:rPr>
        <w:t>одржан</w:t>
      </w:r>
      <w:r w:rsidR="00374A5A">
        <w:rPr>
          <w:rFonts w:cs="Calibri"/>
          <w:shd w:val="clear" w:color="auto" w:fill="FFFFFF"/>
          <w:lang w:val="mk-MK"/>
        </w:rPr>
        <w:t>и</w:t>
      </w:r>
      <w:r w:rsidRPr="007E0A96">
        <w:rPr>
          <w:rFonts w:cs="Calibri"/>
          <w:shd w:val="clear" w:color="auto" w:fill="FFFFFF"/>
          <w:lang w:val="mk-MK"/>
        </w:rPr>
        <w:t xml:space="preserve"> во </w:t>
      </w:r>
      <w:r w:rsidRPr="00142DD3">
        <w:rPr>
          <w:rFonts w:cs="Calibri"/>
          <w:shd w:val="clear" w:color="auto" w:fill="FFFFFF"/>
          <w:lang w:val="mk-MK"/>
        </w:rPr>
        <w:t>2021</w:t>
      </w:r>
      <w:r w:rsidR="00AC68FC" w:rsidRPr="00142DD3">
        <w:rPr>
          <w:rFonts w:cs="Calibri"/>
          <w:shd w:val="clear" w:color="auto" w:fill="FFFFFF"/>
          <w:lang w:val="mk-MK"/>
        </w:rPr>
        <w:t xml:space="preserve"> и 2023</w:t>
      </w:r>
      <w:r w:rsidRPr="00142DD3">
        <w:rPr>
          <w:rFonts w:cs="Calibri"/>
          <w:shd w:val="clear" w:color="auto" w:fill="FFFFFF"/>
          <w:lang w:val="mk-MK"/>
        </w:rPr>
        <w:t xml:space="preserve"> г</w:t>
      </w:r>
      <w:r w:rsidR="00BB092B" w:rsidRPr="00142DD3">
        <w:rPr>
          <w:rFonts w:cs="Calibri"/>
          <w:shd w:val="clear" w:color="auto" w:fill="FFFFFF"/>
          <w:lang w:val="mk-MK"/>
        </w:rPr>
        <w:t>одина</w:t>
      </w:r>
      <w:r w:rsidR="000207A6" w:rsidRPr="00142DD3">
        <w:rPr>
          <w:rFonts w:cs="Calibri"/>
          <w:shd w:val="clear" w:color="auto" w:fill="FFFFFF"/>
          <w:lang w:val="mk-MK"/>
        </w:rPr>
        <w:t>, како</w:t>
      </w:r>
      <w:r w:rsidR="000207A6">
        <w:rPr>
          <w:rFonts w:cs="Calibri"/>
          <w:shd w:val="clear" w:color="auto" w:fill="FFFFFF"/>
          <w:lang w:val="mk-MK"/>
        </w:rPr>
        <w:t xml:space="preserve"> и во Извештајот од независната евалуација на спроведувањето на Стратегијата за реформа на јавната администрација со Акциски план 2018 -2022 година</w:t>
      </w:r>
      <w:r w:rsidR="000207A6">
        <w:rPr>
          <w:rStyle w:val="FootnoteReference"/>
          <w:rFonts w:cs="Calibri"/>
          <w:shd w:val="clear" w:color="auto" w:fill="FFFFFF"/>
          <w:lang w:val="mk-MK"/>
        </w:rPr>
        <w:footnoteReference w:id="4"/>
      </w:r>
      <w:r w:rsidR="00BB092B">
        <w:rPr>
          <w:rFonts w:cs="Calibri"/>
          <w:shd w:val="clear" w:color="auto" w:fill="FFFFFF"/>
          <w:lang w:val="mk-MK"/>
        </w:rPr>
        <w:t xml:space="preserve">. </w:t>
      </w:r>
    </w:p>
    <w:p w14:paraId="4A50B782" w14:textId="77777777" w:rsidR="007A5FC6" w:rsidRDefault="007A5FC6" w:rsidP="007E0A96">
      <w:pPr>
        <w:spacing w:after="0"/>
        <w:jc w:val="both"/>
        <w:rPr>
          <w:rFonts w:cs="Calibri"/>
          <w:shd w:val="clear" w:color="auto" w:fill="FFFFFF"/>
          <w:lang w:val="mk-MK"/>
        </w:rPr>
      </w:pPr>
    </w:p>
    <w:p w14:paraId="18E36ECC" w14:textId="2DF26771" w:rsidR="0081616E" w:rsidRDefault="000207A6" w:rsidP="007E0A96">
      <w:pPr>
        <w:spacing w:after="0"/>
        <w:jc w:val="both"/>
        <w:rPr>
          <w:rFonts w:cs="Calibri"/>
          <w:bCs/>
          <w:color w:val="000000"/>
          <w:lang w:val="mk-MK"/>
        </w:rPr>
      </w:pPr>
      <w:r>
        <w:rPr>
          <w:rFonts w:cs="Calibri"/>
          <w:shd w:val="clear" w:color="auto" w:fill="FFFFFF"/>
          <w:lang w:val="mk-MK"/>
        </w:rPr>
        <w:t>Во р</w:t>
      </w:r>
      <w:r>
        <w:rPr>
          <w:rFonts w:cs="Calibri"/>
          <w:bCs/>
          <w:color w:val="000000"/>
          <w:lang w:val="mk-MK"/>
        </w:rPr>
        <w:t>едовните г</w:t>
      </w:r>
      <w:r w:rsidRPr="007E0A96">
        <w:rPr>
          <w:rFonts w:cs="Calibri"/>
          <w:bCs/>
          <w:color w:val="000000"/>
          <w:lang w:val="mk-MK"/>
        </w:rPr>
        <w:t xml:space="preserve">одишни извештаи </w:t>
      </w:r>
      <w:r>
        <w:rPr>
          <w:rFonts w:cs="Calibri"/>
          <w:bCs/>
          <w:color w:val="000000"/>
          <w:lang w:val="mk-MK"/>
        </w:rPr>
        <w:t xml:space="preserve">за следење на </w:t>
      </w:r>
      <w:r w:rsidRPr="007E0A96">
        <w:rPr>
          <w:rFonts w:cs="Calibri"/>
          <w:bCs/>
          <w:color w:val="000000"/>
          <w:lang w:val="mk-MK"/>
        </w:rPr>
        <w:t xml:space="preserve">Стратегија за </w:t>
      </w:r>
      <w:r w:rsidR="00AC1FF2">
        <w:rPr>
          <w:rFonts w:cs="Calibri"/>
          <w:bCs/>
          <w:color w:val="000000"/>
          <w:lang w:val="mk-MK"/>
        </w:rPr>
        <w:t xml:space="preserve">РЈА </w:t>
      </w:r>
      <w:r>
        <w:rPr>
          <w:rFonts w:cs="Calibri"/>
          <w:bCs/>
          <w:color w:val="000000"/>
          <w:lang w:val="mk-MK"/>
        </w:rPr>
        <w:t xml:space="preserve">и Акцискиот план (2018-2022) подготвени од страна на </w:t>
      </w:r>
      <w:r w:rsidR="003E6B1D">
        <w:rPr>
          <w:rFonts w:cs="Calibri"/>
          <w:bCs/>
          <w:color w:val="000000"/>
          <w:lang w:val="mk-MK"/>
        </w:rPr>
        <w:t xml:space="preserve">МИОА </w:t>
      </w:r>
      <w:r>
        <w:rPr>
          <w:rFonts w:cs="Calibri"/>
          <w:bCs/>
          <w:color w:val="000000"/>
          <w:lang w:val="mk-MK"/>
        </w:rPr>
        <w:t xml:space="preserve">се констатира напредокот во спроведувањето на мерките и активностите, </w:t>
      </w:r>
      <w:r w:rsidR="007E0A96" w:rsidRPr="007E0A96">
        <w:rPr>
          <w:rFonts w:cs="Calibri"/>
          <w:bCs/>
          <w:color w:val="000000"/>
          <w:lang w:val="mk-MK"/>
        </w:rPr>
        <w:t xml:space="preserve">но реално се </w:t>
      </w:r>
      <w:r w:rsidR="00AC1FF2">
        <w:rPr>
          <w:rFonts w:cs="Calibri"/>
          <w:bCs/>
          <w:color w:val="000000"/>
          <w:lang w:val="mk-MK"/>
        </w:rPr>
        <w:t xml:space="preserve">утврдуваат и </w:t>
      </w:r>
      <w:r w:rsidR="007E0A96" w:rsidRPr="007E0A96">
        <w:rPr>
          <w:rFonts w:cs="Calibri"/>
          <w:bCs/>
          <w:color w:val="000000"/>
          <w:lang w:val="mk-MK"/>
        </w:rPr>
        <w:t>слабостите, односно нереализираните активности за што е потребен дополнителен напор</w:t>
      </w:r>
      <w:r w:rsidR="00E3706D">
        <w:rPr>
          <w:rFonts w:cs="Calibri"/>
          <w:bCs/>
          <w:color w:val="000000"/>
          <w:lang w:val="mk-MK"/>
        </w:rPr>
        <w:t xml:space="preserve">. </w:t>
      </w:r>
      <w:r w:rsidR="007E0A96" w:rsidRPr="007E0A96">
        <w:rPr>
          <w:rFonts w:cs="Calibri"/>
          <w:bCs/>
          <w:color w:val="000000"/>
          <w:lang w:val="mk-MK"/>
        </w:rPr>
        <w:t>Имено, во периодот 2018 -</w:t>
      </w:r>
      <w:r w:rsidR="007E0A96" w:rsidRPr="00E63249">
        <w:rPr>
          <w:rFonts w:cs="Calibri"/>
          <w:bCs/>
          <w:color w:val="000000"/>
          <w:lang w:val="mk-MK"/>
        </w:rPr>
        <w:t>202</w:t>
      </w:r>
      <w:r w:rsidR="00E63249" w:rsidRPr="00E63249">
        <w:rPr>
          <w:rFonts w:cs="Calibri"/>
          <w:bCs/>
          <w:color w:val="000000"/>
          <w:lang w:val="mk-MK"/>
        </w:rPr>
        <w:t>2</w:t>
      </w:r>
      <w:r w:rsidR="007E0A96" w:rsidRPr="007E0A96">
        <w:rPr>
          <w:rFonts w:cs="Calibri"/>
          <w:bCs/>
          <w:color w:val="000000"/>
          <w:lang w:val="mk-MK"/>
        </w:rPr>
        <w:t xml:space="preserve"> </w:t>
      </w:r>
      <w:r w:rsidR="0081616E">
        <w:rPr>
          <w:rFonts w:cs="Calibri"/>
          <w:bCs/>
          <w:color w:val="000000"/>
          <w:lang w:val="mk-MK"/>
        </w:rPr>
        <w:t xml:space="preserve">година, </w:t>
      </w:r>
      <w:r w:rsidR="007E0A96" w:rsidRPr="007E0A96">
        <w:rPr>
          <w:rFonts w:cs="Calibri"/>
          <w:bCs/>
          <w:color w:val="000000"/>
          <w:lang w:val="mk-MK"/>
        </w:rPr>
        <w:t xml:space="preserve">процентот на </w:t>
      </w:r>
      <w:r w:rsidR="0081616E">
        <w:rPr>
          <w:rFonts w:cs="Calibri"/>
          <w:bCs/>
          <w:color w:val="000000"/>
          <w:lang w:val="mk-MK"/>
        </w:rPr>
        <w:t xml:space="preserve">вкупната </w:t>
      </w:r>
      <w:r w:rsidR="007E0A96" w:rsidRPr="007E0A96">
        <w:rPr>
          <w:rFonts w:cs="Calibri"/>
          <w:bCs/>
          <w:color w:val="000000"/>
          <w:lang w:val="mk-MK"/>
        </w:rPr>
        <w:t xml:space="preserve">реализација на Стратегијата </w:t>
      </w:r>
      <w:r w:rsidR="003E6B1D">
        <w:rPr>
          <w:rFonts w:cs="Calibri"/>
          <w:bCs/>
          <w:color w:val="000000"/>
          <w:lang w:val="mk-MK"/>
        </w:rPr>
        <w:t xml:space="preserve">за РЈА </w:t>
      </w:r>
      <w:r w:rsidR="00AC68FC" w:rsidRPr="00142DD3">
        <w:rPr>
          <w:rFonts w:cs="Calibri"/>
          <w:bCs/>
          <w:color w:val="000000"/>
          <w:lang w:val="mk-MK"/>
        </w:rPr>
        <w:t>е 63</w:t>
      </w:r>
      <w:r w:rsidR="007E0A96" w:rsidRPr="00142DD3">
        <w:rPr>
          <w:rFonts w:cs="Calibri"/>
          <w:bCs/>
          <w:color w:val="000000"/>
          <w:lang w:val="mk-MK"/>
        </w:rPr>
        <w:t>%. Одделно</w:t>
      </w:r>
      <w:r w:rsidR="007E0A96" w:rsidRPr="007E0A96">
        <w:rPr>
          <w:rFonts w:cs="Calibri"/>
          <w:bCs/>
          <w:color w:val="000000"/>
          <w:lang w:val="mk-MK"/>
        </w:rPr>
        <w:t xml:space="preserve"> по години степенот на реализација е 2018 – 65%,  2019 – 97% , 2020 - 38,8 %, </w:t>
      </w:r>
      <w:r w:rsidR="00E63249">
        <w:rPr>
          <w:rFonts w:cs="Calibri"/>
          <w:bCs/>
          <w:color w:val="000000"/>
          <w:lang w:val="mk-MK"/>
        </w:rPr>
        <w:t>з</w:t>
      </w:r>
      <w:r w:rsidR="008D4948">
        <w:rPr>
          <w:rFonts w:cs="Calibri"/>
          <w:bCs/>
          <w:color w:val="000000"/>
          <w:lang w:val="mk-MK"/>
        </w:rPr>
        <w:t>а  2021 е 47</w:t>
      </w:r>
      <w:r w:rsidR="007E0A96" w:rsidRPr="007E0A96">
        <w:rPr>
          <w:rFonts w:cs="Calibri"/>
          <w:bCs/>
          <w:color w:val="000000"/>
          <w:lang w:val="mk-MK"/>
        </w:rPr>
        <w:t>,</w:t>
      </w:r>
      <w:r w:rsidR="008D4948">
        <w:rPr>
          <w:rFonts w:cs="Calibri"/>
          <w:bCs/>
          <w:color w:val="000000"/>
          <w:lang w:val="mk-MK"/>
        </w:rPr>
        <w:t>27</w:t>
      </w:r>
      <w:r w:rsidR="007E0A96" w:rsidRPr="007E0A96">
        <w:rPr>
          <w:rFonts w:cs="Calibri"/>
          <w:bCs/>
          <w:color w:val="000000"/>
          <w:lang w:val="mk-MK"/>
        </w:rPr>
        <w:t>%</w:t>
      </w:r>
      <w:r w:rsidR="00E63249">
        <w:rPr>
          <w:rFonts w:cs="Calibri"/>
          <w:bCs/>
          <w:color w:val="000000"/>
          <w:lang w:val="mk-MK"/>
        </w:rPr>
        <w:t>, а за 2022</w:t>
      </w:r>
      <w:r w:rsidR="00E63249">
        <w:rPr>
          <w:rStyle w:val="FootnoteReference"/>
          <w:rFonts w:cs="Calibri"/>
          <w:bCs/>
          <w:color w:val="000000"/>
          <w:lang w:val="mk-MK"/>
        </w:rPr>
        <w:footnoteReference w:id="5"/>
      </w:r>
      <w:r w:rsidR="00E63249">
        <w:rPr>
          <w:rFonts w:cs="Calibri"/>
          <w:bCs/>
          <w:color w:val="000000"/>
          <w:lang w:val="mk-MK"/>
        </w:rPr>
        <w:t xml:space="preserve"> е 48%.</w:t>
      </w:r>
    </w:p>
    <w:p w14:paraId="738A66C9" w14:textId="77777777" w:rsidR="00E63249" w:rsidRDefault="00E63249" w:rsidP="007E0A96">
      <w:pPr>
        <w:spacing w:after="0"/>
        <w:jc w:val="both"/>
        <w:rPr>
          <w:rFonts w:cs="Calibri"/>
          <w:b/>
          <w:color w:val="000000"/>
          <w:lang w:val="mk-MK"/>
        </w:rPr>
      </w:pPr>
    </w:p>
    <w:p w14:paraId="4B3169EE" w14:textId="14910710" w:rsidR="00025879" w:rsidRDefault="00025879" w:rsidP="007E0A96">
      <w:pPr>
        <w:spacing w:after="0"/>
        <w:jc w:val="both"/>
        <w:rPr>
          <w:rFonts w:cs="Calibri"/>
          <w:b/>
          <w:color w:val="000000"/>
          <w:lang w:val="mk-MK"/>
        </w:rPr>
      </w:pPr>
      <w:r w:rsidRPr="00AC68FC">
        <w:rPr>
          <w:rFonts w:cs="Calibri"/>
          <w:b/>
          <w:color w:val="000000"/>
          <w:lang w:val="mk-MK"/>
        </w:rPr>
        <w:t>График</w:t>
      </w:r>
      <w:r w:rsidR="00A73B20">
        <w:rPr>
          <w:rFonts w:cs="Calibri"/>
          <w:b/>
          <w:color w:val="000000"/>
          <w:lang w:val="mk-MK"/>
        </w:rPr>
        <w:t>он</w:t>
      </w:r>
      <w:r w:rsidRPr="00AC68FC">
        <w:rPr>
          <w:rFonts w:cs="Calibri"/>
          <w:b/>
          <w:color w:val="000000"/>
          <w:lang w:val="mk-MK"/>
        </w:rPr>
        <w:t xml:space="preserve"> 1 – Степен на реализација на Стратегијата за реформа на јавната администрација</w:t>
      </w:r>
      <w:r w:rsidR="00E63249">
        <w:rPr>
          <w:rFonts w:cs="Calibri"/>
          <w:b/>
          <w:color w:val="000000"/>
          <w:lang w:val="mk-MK"/>
        </w:rPr>
        <w:t xml:space="preserve"> 2018-2022</w:t>
      </w:r>
      <w:r w:rsidRPr="00AC68FC">
        <w:rPr>
          <w:rFonts w:cs="Calibri"/>
          <w:b/>
          <w:color w:val="000000"/>
          <w:lang w:val="mk-MK"/>
        </w:rPr>
        <w:t xml:space="preserve"> изразена по години</w:t>
      </w:r>
    </w:p>
    <w:p w14:paraId="1AC8B753" w14:textId="77777777" w:rsidR="00A73B20" w:rsidRPr="00AC68FC" w:rsidRDefault="00A73B20" w:rsidP="007E0A96">
      <w:pPr>
        <w:spacing w:after="0"/>
        <w:jc w:val="both"/>
        <w:rPr>
          <w:rFonts w:cs="Calibri"/>
          <w:b/>
          <w:color w:val="000000"/>
          <w:lang w:val="mk-MK"/>
        </w:rPr>
      </w:pPr>
    </w:p>
    <w:p w14:paraId="4B97B53B" w14:textId="70BE62A8" w:rsidR="0081616E" w:rsidRDefault="00E3706D" w:rsidP="007E0A96">
      <w:pPr>
        <w:spacing w:after="0"/>
        <w:jc w:val="both"/>
        <w:rPr>
          <w:rFonts w:cs="Calibri"/>
          <w:bCs/>
          <w:color w:val="000000"/>
          <w:lang w:val="mk-MK"/>
        </w:rPr>
      </w:pPr>
      <w:r>
        <w:rPr>
          <w:rFonts w:cs="Calibri"/>
          <w:bCs/>
          <w:color w:val="000000"/>
          <w:lang w:val="mk-MK"/>
        </w:rPr>
        <w:t xml:space="preserve">                     </w:t>
      </w:r>
      <w:r w:rsidR="00927FE2">
        <w:rPr>
          <w:rFonts w:cs="Calibri"/>
          <w:bCs/>
          <w:color w:val="000000"/>
          <w:lang w:val="mk-MK"/>
        </w:rPr>
        <w:t xml:space="preserve">     </w:t>
      </w:r>
      <w:r>
        <w:rPr>
          <w:rFonts w:cs="Calibri"/>
          <w:bCs/>
          <w:color w:val="000000"/>
          <w:lang w:val="mk-MK"/>
        </w:rPr>
        <w:t xml:space="preserve">      </w:t>
      </w:r>
      <w:r w:rsidR="00E63249">
        <w:rPr>
          <w:noProof/>
          <w:lang w:val="en-US"/>
        </w:rPr>
        <w:drawing>
          <wp:inline distT="0" distB="0" distL="0" distR="0" wp14:anchorId="766EC7B9" wp14:editId="2A3CD6B0">
            <wp:extent cx="3872721" cy="2104390"/>
            <wp:effectExtent l="0" t="0" r="13970" b="10160"/>
            <wp:docPr id="15" name="Chart 15">
              <a:extLst xmlns:a="http://schemas.openxmlformats.org/drawingml/2006/main">
                <a:ext uri="{FF2B5EF4-FFF2-40B4-BE49-F238E27FC236}">
                  <a16:creationId xmlns:a16="http://schemas.microsoft.com/office/drawing/2014/main" id="{054BE16D-FA1F-6D9D-39D0-AA1D4344EE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cs="Calibri"/>
          <w:bCs/>
          <w:color w:val="000000"/>
          <w:lang w:val="mk-MK"/>
        </w:rPr>
        <w:t xml:space="preserve"> </w:t>
      </w:r>
    </w:p>
    <w:p w14:paraId="3EF784D3" w14:textId="77777777" w:rsidR="0081616E" w:rsidRDefault="0081616E" w:rsidP="007E0A96">
      <w:pPr>
        <w:spacing w:after="0"/>
        <w:jc w:val="both"/>
        <w:rPr>
          <w:rFonts w:cs="Calibri"/>
          <w:bCs/>
          <w:color w:val="000000"/>
          <w:lang w:val="mk-MK"/>
        </w:rPr>
      </w:pPr>
    </w:p>
    <w:p w14:paraId="1EA6DABB" w14:textId="77777777" w:rsidR="00E63249" w:rsidRDefault="00E63249" w:rsidP="007E0A96">
      <w:pPr>
        <w:spacing w:after="0"/>
        <w:jc w:val="both"/>
        <w:rPr>
          <w:rFonts w:cs="Calibri"/>
          <w:bCs/>
          <w:color w:val="000000"/>
          <w:lang w:val="mk-MK"/>
        </w:rPr>
      </w:pPr>
    </w:p>
    <w:p w14:paraId="048A84C4" w14:textId="4997354F" w:rsidR="007E0A96" w:rsidRPr="007E0A96" w:rsidRDefault="0081616E" w:rsidP="007E0A96">
      <w:pPr>
        <w:spacing w:after="0"/>
        <w:jc w:val="both"/>
        <w:rPr>
          <w:rFonts w:cs="Calibri"/>
          <w:lang w:val="mk-MK"/>
        </w:rPr>
      </w:pPr>
      <w:r>
        <w:rPr>
          <w:rFonts w:cs="Calibri"/>
          <w:bCs/>
          <w:color w:val="000000"/>
          <w:lang w:val="mk-MK"/>
        </w:rPr>
        <w:t>Степенот на реализација ја</w:t>
      </w:r>
      <w:r w:rsidR="007E0A96" w:rsidRPr="007E0A96">
        <w:rPr>
          <w:rFonts w:cs="Calibri"/>
          <w:bCs/>
          <w:color w:val="000000"/>
          <w:lang w:val="mk-MK"/>
        </w:rPr>
        <w:t xml:space="preserve"> рефлектира реалноста која влијаеше на </w:t>
      </w:r>
      <w:r w:rsidR="007E0A96" w:rsidRPr="007E0A96">
        <w:rPr>
          <w:rFonts w:cs="Calibri"/>
          <w:lang w:val="mk-MK"/>
        </w:rPr>
        <w:t xml:space="preserve">спроведувањето на предвидените мерки и активности од Стратегијата за </w:t>
      </w:r>
      <w:r w:rsidR="00335E39">
        <w:rPr>
          <w:rFonts w:cs="Calibri"/>
          <w:lang w:val="mk-MK"/>
        </w:rPr>
        <w:t>РЈА</w:t>
      </w:r>
      <w:r w:rsidR="007E0A96" w:rsidRPr="007E0A96">
        <w:rPr>
          <w:rFonts w:cs="Calibri"/>
          <w:lang w:val="mk-MK"/>
        </w:rPr>
        <w:t xml:space="preserve"> (2018 – 2022) со Акциски план.</w:t>
      </w:r>
      <w:r w:rsidR="007E0A96" w:rsidRPr="007E0A96">
        <w:rPr>
          <w:rFonts w:cs="Calibri"/>
        </w:rPr>
        <w:t xml:space="preserve"> </w:t>
      </w:r>
      <w:r w:rsidR="00D57B90">
        <w:rPr>
          <w:rFonts w:cs="Calibri"/>
          <w:lang w:val="mk-MK"/>
        </w:rPr>
        <w:t xml:space="preserve">Во тој период </w:t>
      </w:r>
      <w:r w:rsidR="007E0A96" w:rsidRPr="007E0A96">
        <w:rPr>
          <w:rFonts w:cs="Calibri"/>
          <w:lang w:val="mk-MK"/>
        </w:rPr>
        <w:t xml:space="preserve">државата се соочи со политички предизвици и глобалната пандемија предизвикана од Ковид-19, која неминовно предизвика вонредна состојба во земјата и ги насочи сите капацитети на администрацијата кон спроведување на мерките на </w:t>
      </w:r>
      <w:r w:rsidR="001F11B5">
        <w:rPr>
          <w:rFonts w:cs="Calibri"/>
          <w:lang w:val="mk-MK"/>
        </w:rPr>
        <w:t>ВРСМ</w:t>
      </w:r>
      <w:r w:rsidR="001F11B5" w:rsidRPr="007E0A96">
        <w:rPr>
          <w:rFonts w:cs="Calibri"/>
          <w:lang w:val="mk-MK"/>
        </w:rPr>
        <w:t xml:space="preserve"> </w:t>
      </w:r>
      <w:r w:rsidR="007E0A96" w:rsidRPr="007E0A96">
        <w:rPr>
          <w:rFonts w:cs="Calibri"/>
          <w:lang w:val="mk-MK"/>
        </w:rPr>
        <w:t xml:space="preserve">за борба против Ковид-19. </w:t>
      </w:r>
      <w:r w:rsidR="003447AE">
        <w:rPr>
          <w:rFonts w:cs="Calibri"/>
          <w:lang w:val="mk-MK"/>
        </w:rPr>
        <w:t>Сепак, в</w:t>
      </w:r>
      <w:r w:rsidR="007E0A96" w:rsidRPr="007E0A96">
        <w:rPr>
          <w:rFonts w:cs="Calibri"/>
          <w:lang w:val="mk-MK"/>
        </w:rPr>
        <w:t>ажно</w:t>
      </w:r>
      <w:r w:rsidR="00D57B90">
        <w:rPr>
          <w:rFonts w:cs="Calibri"/>
          <w:lang w:val="mk-MK"/>
        </w:rPr>
        <w:t xml:space="preserve"> е да се истакне дека </w:t>
      </w:r>
      <w:r w:rsidR="007E0A96" w:rsidRPr="007E0A96">
        <w:rPr>
          <w:rFonts w:cs="Calibri"/>
          <w:lang w:val="mk-MK"/>
        </w:rPr>
        <w:t xml:space="preserve">процесот на </w:t>
      </w:r>
      <w:r w:rsidR="00D57B90">
        <w:rPr>
          <w:rFonts w:cs="Calibri"/>
          <w:lang w:val="mk-MK"/>
        </w:rPr>
        <w:t xml:space="preserve">РЈА </w:t>
      </w:r>
      <w:r w:rsidR="007E0A96" w:rsidRPr="007E0A96">
        <w:rPr>
          <w:rFonts w:cs="Calibri"/>
          <w:lang w:val="mk-MK"/>
        </w:rPr>
        <w:t>континуирано се спроведува</w:t>
      </w:r>
      <w:r w:rsidR="00D57B90">
        <w:rPr>
          <w:rFonts w:cs="Calibri"/>
          <w:lang w:val="mk-MK"/>
        </w:rPr>
        <w:t>ше</w:t>
      </w:r>
      <w:r w:rsidR="007E0A96" w:rsidRPr="007E0A96">
        <w:rPr>
          <w:rFonts w:cs="Calibri"/>
          <w:lang w:val="mk-MK"/>
        </w:rPr>
        <w:t xml:space="preserve"> со темпо на кое неминовно влиј</w:t>
      </w:r>
      <w:r w:rsidR="00D57B90">
        <w:rPr>
          <w:rFonts w:cs="Calibri"/>
          <w:lang w:val="mk-MK"/>
        </w:rPr>
        <w:t xml:space="preserve">аеа здравствените и економските </w:t>
      </w:r>
      <w:r w:rsidR="007E0A96" w:rsidRPr="007E0A96">
        <w:rPr>
          <w:rFonts w:cs="Calibri"/>
          <w:lang w:val="mk-MK"/>
        </w:rPr>
        <w:t xml:space="preserve">околности и предизвици. </w:t>
      </w:r>
      <w:r w:rsidR="007E0A96" w:rsidRPr="007E0A96">
        <w:rPr>
          <w:rFonts w:cs="Calibri"/>
          <w:color w:val="000000"/>
          <w:lang w:val="mk-MK"/>
        </w:rPr>
        <w:t>Континуираното одржување на седниците на Советот за реформа на јавната администрација</w:t>
      </w:r>
      <w:r w:rsidR="008D4948">
        <w:rPr>
          <w:rFonts w:cs="Calibri"/>
          <w:color w:val="000000"/>
          <w:lang w:val="mk-MK"/>
        </w:rPr>
        <w:t xml:space="preserve"> со кој</w:t>
      </w:r>
      <w:r w:rsidR="007E0A96" w:rsidRPr="007E0A96">
        <w:rPr>
          <w:rFonts w:cs="Calibri"/>
          <w:color w:val="000000"/>
          <w:lang w:val="mk-MK"/>
        </w:rPr>
        <w:t xml:space="preserve"> претседава </w:t>
      </w:r>
      <w:r w:rsidR="00335E39">
        <w:rPr>
          <w:rFonts w:cs="Calibri"/>
          <w:color w:val="000000"/>
          <w:lang w:val="mk-MK"/>
        </w:rPr>
        <w:t>п</w:t>
      </w:r>
      <w:r w:rsidR="00335E39" w:rsidRPr="007E0A96">
        <w:rPr>
          <w:rFonts w:cs="Calibri"/>
          <w:color w:val="000000"/>
          <w:lang w:val="mk-MK"/>
        </w:rPr>
        <w:t xml:space="preserve">ретседателот </w:t>
      </w:r>
      <w:r w:rsidR="007E0A96" w:rsidRPr="007E0A96">
        <w:rPr>
          <w:rFonts w:cs="Calibri"/>
          <w:color w:val="000000"/>
          <w:lang w:val="mk-MK"/>
        </w:rPr>
        <w:t xml:space="preserve">на </w:t>
      </w:r>
      <w:r w:rsidR="001F11B5">
        <w:rPr>
          <w:rFonts w:cs="Calibri"/>
          <w:color w:val="000000"/>
          <w:lang w:val="mk-MK"/>
        </w:rPr>
        <w:t>ВРСМ</w:t>
      </w:r>
      <w:r w:rsidR="007E0A96" w:rsidRPr="007E0A96">
        <w:rPr>
          <w:rFonts w:cs="Calibri"/>
          <w:color w:val="000000"/>
          <w:lang w:val="mk-MK"/>
        </w:rPr>
        <w:t xml:space="preserve">,  ја потврдува силната политичка посветеност на процесот на </w:t>
      </w:r>
      <w:r w:rsidR="00D57B90">
        <w:rPr>
          <w:rFonts w:cs="Calibri"/>
          <w:color w:val="000000"/>
          <w:lang w:val="mk-MK"/>
        </w:rPr>
        <w:t>РЈА</w:t>
      </w:r>
      <w:r w:rsidR="007E0A96" w:rsidRPr="007E0A96">
        <w:rPr>
          <w:rFonts w:cs="Calibri"/>
          <w:color w:val="000000"/>
          <w:lang w:val="mk-MK"/>
        </w:rPr>
        <w:t xml:space="preserve">, а воедно и на </w:t>
      </w:r>
      <w:r w:rsidR="007E0A96" w:rsidRPr="007E0A96">
        <w:rPr>
          <w:rFonts w:cs="Calibri"/>
          <w:lang w:val="mk-MK"/>
        </w:rPr>
        <w:lastRenderedPageBreak/>
        <w:t>имплементацијата на мерките и активностите предвидени во четирите приоритетни области од Стратегијата</w:t>
      </w:r>
      <w:r w:rsidR="00D57B90">
        <w:rPr>
          <w:rFonts w:cs="Calibri"/>
          <w:lang w:val="mk-MK"/>
        </w:rPr>
        <w:t xml:space="preserve"> за РЈА и Акцискиот план (20</w:t>
      </w:r>
      <w:r w:rsidR="00025879">
        <w:rPr>
          <w:rFonts w:cs="Calibri"/>
          <w:lang w:val="mk-MK"/>
        </w:rPr>
        <w:t>1</w:t>
      </w:r>
      <w:r w:rsidR="00D57B90">
        <w:rPr>
          <w:rFonts w:cs="Calibri"/>
          <w:lang w:val="mk-MK"/>
        </w:rPr>
        <w:t>8-2022)</w:t>
      </w:r>
      <w:r w:rsidR="007E0A96" w:rsidRPr="007E0A96">
        <w:rPr>
          <w:rFonts w:cs="Calibri"/>
          <w:lang w:val="mk-MK"/>
        </w:rPr>
        <w:t xml:space="preserve">. </w:t>
      </w:r>
    </w:p>
    <w:p w14:paraId="7C9C4AD9" w14:textId="6712E438" w:rsidR="00A73B20" w:rsidRDefault="00A73B20" w:rsidP="007E0A96">
      <w:pPr>
        <w:spacing w:after="0"/>
        <w:jc w:val="both"/>
        <w:rPr>
          <w:rFonts w:cs="Calibri"/>
          <w:lang w:val="mk-MK"/>
        </w:rPr>
      </w:pPr>
    </w:p>
    <w:p w14:paraId="5ACA38C5" w14:textId="17262569" w:rsidR="00A73B20" w:rsidRDefault="00A73B20" w:rsidP="007E0A96">
      <w:pPr>
        <w:spacing w:after="0"/>
        <w:jc w:val="both"/>
        <w:rPr>
          <w:rFonts w:cs="Calibri"/>
          <w:lang w:val="mk-MK"/>
        </w:rPr>
      </w:pPr>
    </w:p>
    <w:p w14:paraId="2D75F54D" w14:textId="465779B3" w:rsidR="00A73B20" w:rsidRDefault="00A73B20" w:rsidP="007E0A96">
      <w:pPr>
        <w:spacing w:after="0"/>
        <w:jc w:val="both"/>
        <w:rPr>
          <w:rFonts w:cs="Calibri"/>
          <w:lang w:val="mk-MK"/>
        </w:rPr>
      </w:pPr>
    </w:p>
    <w:p w14:paraId="24E49E92" w14:textId="77777777" w:rsidR="00A73B20" w:rsidRPr="007E0A96" w:rsidRDefault="00A73B20" w:rsidP="007E0A96">
      <w:pPr>
        <w:spacing w:after="0"/>
        <w:jc w:val="both"/>
        <w:rPr>
          <w:rFonts w:cs="Calibri"/>
          <w:lang w:val="mk-MK"/>
        </w:rPr>
      </w:pPr>
    </w:p>
    <w:p w14:paraId="57108C3E" w14:textId="77777777" w:rsidR="00E77D30" w:rsidRDefault="00E77D30" w:rsidP="007E0A96">
      <w:pPr>
        <w:spacing w:after="0"/>
        <w:jc w:val="both"/>
        <w:rPr>
          <w:rFonts w:cs="Calibri"/>
          <w:lang w:val="mk-MK"/>
        </w:rPr>
      </w:pPr>
    </w:p>
    <w:p w14:paraId="66C68F6E" w14:textId="27E979F6" w:rsidR="007E0A96" w:rsidRDefault="007E0A96" w:rsidP="007E0A96">
      <w:pPr>
        <w:pStyle w:val="Heading2"/>
        <w:numPr>
          <w:ilvl w:val="1"/>
          <w:numId w:val="1"/>
        </w:numPr>
        <w:rPr>
          <w:lang w:val="mk-MK"/>
        </w:rPr>
      </w:pPr>
      <w:r>
        <w:rPr>
          <w:lang w:val="mk-MK"/>
        </w:rPr>
        <w:t xml:space="preserve">Поврзаност со други стратегии во областа и сродни области </w:t>
      </w:r>
    </w:p>
    <w:p w14:paraId="42F893DB" w14:textId="03C6429E" w:rsidR="007E0A96" w:rsidRDefault="007E0A96" w:rsidP="007E0A96">
      <w:pPr>
        <w:rPr>
          <w:lang w:val="mk-MK"/>
        </w:rPr>
      </w:pPr>
    </w:p>
    <w:p w14:paraId="129AC263" w14:textId="6C1F7CF1" w:rsidR="00594315" w:rsidRPr="00AC68FC" w:rsidRDefault="00F93124" w:rsidP="007E0A96">
      <w:pPr>
        <w:spacing w:after="0"/>
        <w:jc w:val="both"/>
        <w:rPr>
          <w:rFonts w:cs="Calibri"/>
          <w:lang w:val="en-US"/>
        </w:rPr>
      </w:pPr>
      <w:r>
        <w:rPr>
          <w:rFonts w:cs="Calibri"/>
          <w:lang w:val="mk-MK"/>
        </w:rPr>
        <w:t>По својата природа, Стратегијата</w:t>
      </w:r>
      <w:r w:rsidR="00335E39">
        <w:rPr>
          <w:rFonts w:cs="Calibri"/>
          <w:lang w:val="mk-MK"/>
        </w:rPr>
        <w:t xml:space="preserve"> за РЈА</w:t>
      </w:r>
      <w:r>
        <w:rPr>
          <w:rFonts w:cs="Calibri"/>
          <w:lang w:val="mk-MK"/>
        </w:rPr>
        <w:t xml:space="preserve"> е хоризонтален стратешки документ кој се поврзува </w:t>
      </w:r>
      <w:r w:rsidR="00374A5A">
        <w:rPr>
          <w:rFonts w:cs="Calibri"/>
          <w:lang w:val="mk-MK"/>
        </w:rPr>
        <w:t xml:space="preserve">со повеќе секторски стратегии и програми </w:t>
      </w:r>
      <w:r>
        <w:rPr>
          <w:rFonts w:cs="Calibri"/>
          <w:lang w:val="mk-MK"/>
        </w:rPr>
        <w:t xml:space="preserve">и е усогласен со неколку клучни реформи </w:t>
      </w:r>
      <w:r w:rsidR="00695C52">
        <w:rPr>
          <w:rFonts w:cs="Calibri"/>
          <w:lang w:val="mk-MK"/>
        </w:rPr>
        <w:t xml:space="preserve">кои ги </w:t>
      </w:r>
      <w:r w:rsidR="008D4948">
        <w:rPr>
          <w:rFonts w:cs="Calibri"/>
          <w:lang w:val="mk-MK"/>
        </w:rPr>
        <w:t xml:space="preserve">презема </w:t>
      </w:r>
      <w:r w:rsidR="001F11B5">
        <w:rPr>
          <w:rFonts w:cs="Calibri"/>
          <w:lang w:val="mk-MK"/>
        </w:rPr>
        <w:t>ВРСМ</w:t>
      </w:r>
      <w:r w:rsidR="007B563D">
        <w:rPr>
          <w:rFonts w:cs="Calibri"/>
          <w:lang w:val="mk-MK"/>
        </w:rPr>
        <w:t>, а</w:t>
      </w:r>
      <w:r w:rsidR="00695C52">
        <w:rPr>
          <w:rFonts w:cs="Calibri"/>
          <w:lang w:val="mk-MK"/>
        </w:rPr>
        <w:t xml:space="preserve"> </w:t>
      </w:r>
      <w:r>
        <w:rPr>
          <w:rFonts w:cs="Calibri"/>
          <w:lang w:val="mk-MK"/>
        </w:rPr>
        <w:t xml:space="preserve">кои придонесуваат кон остварување на неопходните стандарди и подобрување на квалитетот на јавната администрација. Воедно, согласно начелото на усогласеност, се обезбедува развој во областите кои се </w:t>
      </w:r>
      <w:r w:rsidR="00F21EA5">
        <w:rPr>
          <w:rFonts w:cs="Calibri"/>
          <w:lang w:val="mk-MK"/>
        </w:rPr>
        <w:t xml:space="preserve">опфатени </w:t>
      </w:r>
      <w:r>
        <w:rPr>
          <w:rFonts w:cs="Calibri"/>
          <w:lang w:val="mk-MK"/>
        </w:rPr>
        <w:t xml:space="preserve">со </w:t>
      </w:r>
      <w:r w:rsidR="00594315">
        <w:rPr>
          <w:rFonts w:cs="Calibri"/>
          <w:lang w:val="mk-MK"/>
        </w:rPr>
        <w:t xml:space="preserve">Принципите </w:t>
      </w:r>
      <w:r>
        <w:rPr>
          <w:rFonts w:cs="Calibri"/>
          <w:lang w:val="mk-MK"/>
        </w:rPr>
        <w:t>на јавна администрација утврдени од страна на Европската Комисија и СИГМА</w:t>
      </w:r>
      <w:r>
        <w:rPr>
          <w:rStyle w:val="FootnoteReference"/>
          <w:rFonts w:cs="Calibri"/>
          <w:lang w:val="mk-MK"/>
        </w:rPr>
        <w:footnoteReference w:id="6"/>
      </w:r>
      <w:r>
        <w:rPr>
          <w:rFonts w:cs="Calibri"/>
          <w:lang w:val="mk-MK"/>
        </w:rPr>
        <w:t>, со начелата на добро владеење утврдени од Советот на Европа</w:t>
      </w:r>
      <w:r>
        <w:rPr>
          <w:rStyle w:val="FootnoteReference"/>
          <w:rFonts w:cs="Calibri"/>
          <w:lang w:val="mk-MK"/>
        </w:rPr>
        <w:footnoteReference w:id="7"/>
      </w:r>
      <w:r w:rsidR="008D4948">
        <w:rPr>
          <w:rFonts w:cs="Calibri"/>
          <w:lang w:val="mk-MK"/>
        </w:rPr>
        <w:t xml:space="preserve">, како и </w:t>
      </w:r>
      <w:r w:rsidR="00F21EA5">
        <w:rPr>
          <w:rFonts w:cs="Calibri"/>
          <w:lang w:val="mk-MK"/>
        </w:rPr>
        <w:t>пошироко, со Целите за одржлив развој на ОН</w:t>
      </w:r>
      <w:r w:rsidR="00F21EA5">
        <w:rPr>
          <w:rStyle w:val="FootnoteReference"/>
          <w:rFonts w:cs="Calibri"/>
          <w:lang w:val="mk-MK"/>
        </w:rPr>
        <w:footnoteReference w:id="8"/>
      </w:r>
      <w:r w:rsidR="00F21EA5">
        <w:rPr>
          <w:rFonts w:cs="Calibri"/>
          <w:lang w:val="mk-MK"/>
        </w:rPr>
        <w:t>.</w:t>
      </w:r>
    </w:p>
    <w:p w14:paraId="38095E3C" w14:textId="28B77CCF" w:rsidR="00594315" w:rsidRDefault="00594315" w:rsidP="007E0A96">
      <w:pPr>
        <w:spacing w:after="0"/>
        <w:jc w:val="both"/>
        <w:rPr>
          <w:rFonts w:cs="Calibri"/>
          <w:lang w:val="mk-MK"/>
        </w:rPr>
      </w:pPr>
    </w:p>
    <w:p w14:paraId="7A07AE0E" w14:textId="0F092962" w:rsidR="00360D29" w:rsidRDefault="00360D29" w:rsidP="007E0A96">
      <w:pPr>
        <w:spacing w:after="0"/>
        <w:jc w:val="both"/>
        <w:rPr>
          <w:rFonts w:cs="Calibri"/>
          <w:lang w:val="mk-MK"/>
        </w:rPr>
      </w:pPr>
      <w:r>
        <w:rPr>
          <w:rFonts w:cs="Calibri"/>
          <w:lang w:val="mk-MK"/>
        </w:rPr>
        <w:t xml:space="preserve">Целите и мерките утврдени во Стратегијата за РЈА </w:t>
      </w:r>
      <w:r w:rsidR="008D4948">
        <w:rPr>
          <w:rFonts w:cs="Calibri"/>
          <w:lang w:val="mk-MK"/>
        </w:rPr>
        <w:t>се усогласени со следниве план</w:t>
      </w:r>
      <w:r>
        <w:rPr>
          <w:rFonts w:cs="Calibri"/>
          <w:lang w:val="mk-MK"/>
        </w:rPr>
        <w:t>ски документи</w:t>
      </w:r>
      <w:r w:rsidR="00A73B20">
        <w:rPr>
          <w:rFonts w:cs="Calibri"/>
          <w:lang w:val="en-US"/>
        </w:rPr>
        <w:t xml:space="preserve"> </w:t>
      </w:r>
      <w:r w:rsidR="00A73B20">
        <w:rPr>
          <w:rFonts w:cs="Calibri"/>
          <w:lang w:val="mk-MK"/>
        </w:rPr>
        <w:t xml:space="preserve">усвоени од страна на </w:t>
      </w:r>
      <w:r w:rsidR="001F11B5">
        <w:rPr>
          <w:rFonts w:cs="Calibri"/>
          <w:lang w:val="mk-MK"/>
        </w:rPr>
        <w:t>ВРСМ</w:t>
      </w:r>
      <w:r>
        <w:rPr>
          <w:rFonts w:cs="Calibri"/>
          <w:lang w:val="mk-MK"/>
        </w:rPr>
        <w:t>:</w:t>
      </w:r>
    </w:p>
    <w:p w14:paraId="5E0A8561" w14:textId="1B8092FC" w:rsidR="003E6B1D" w:rsidRDefault="003E6B1D" w:rsidP="007E0A96">
      <w:pPr>
        <w:spacing w:after="0"/>
        <w:jc w:val="both"/>
        <w:rPr>
          <w:rFonts w:cs="Calibri"/>
          <w:lang w:val="mk-MK"/>
        </w:rPr>
      </w:pPr>
    </w:p>
    <w:p w14:paraId="56EE348F" w14:textId="073FEF8F" w:rsidR="007248EC" w:rsidRPr="00AC68FC" w:rsidRDefault="007248EC" w:rsidP="00AC68FC">
      <w:pPr>
        <w:spacing w:after="0"/>
        <w:jc w:val="both"/>
        <w:rPr>
          <w:rFonts w:cs="Calibri"/>
          <w:b/>
          <w:bCs/>
          <w:lang w:val="mk-MK"/>
        </w:rPr>
      </w:pPr>
      <w:r w:rsidRPr="00AC68FC">
        <w:rPr>
          <w:rFonts w:cs="Calibri"/>
          <w:b/>
          <w:bCs/>
          <w:lang w:val="mk-MK"/>
        </w:rPr>
        <w:t>Програма за</w:t>
      </w:r>
      <w:r w:rsidR="001C1059">
        <w:rPr>
          <w:rFonts w:cs="Calibri"/>
          <w:b/>
          <w:bCs/>
          <w:lang w:val="mk-MK"/>
        </w:rPr>
        <w:t xml:space="preserve"> реформа</w:t>
      </w:r>
      <w:r w:rsidR="00686D76">
        <w:rPr>
          <w:rFonts w:cs="Calibri"/>
          <w:b/>
          <w:bCs/>
          <w:lang w:val="mk-MK"/>
        </w:rPr>
        <w:t xml:space="preserve"> на</w:t>
      </w:r>
      <w:r w:rsidRPr="00AC68FC">
        <w:rPr>
          <w:rFonts w:cs="Calibri"/>
          <w:b/>
          <w:bCs/>
          <w:lang w:val="mk-MK"/>
        </w:rPr>
        <w:t xml:space="preserve"> управување</w:t>
      </w:r>
      <w:r w:rsidR="00686D76">
        <w:rPr>
          <w:rFonts w:cs="Calibri"/>
          <w:b/>
          <w:bCs/>
          <w:lang w:val="mk-MK"/>
        </w:rPr>
        <w:t>то</w:t>
      </w:r>
      <w:r w:rsidRPr="00AC68FC">
        <w:rPr>
          <w:rFonts w:cs="Calibri"/>
          <w:b/>
          <w:bCs/>
          <w:lang w:val="mk-MK"/>
        </w:rPr>
        <w:t xml:space="preserve"> со </w:t>
      </w:r>
      <w:r w:rsidR="00D35148" w:rsidRPr="00AC68FC">
        <w:rPr>
          <w:rFonts w:cs="Calibri"/>
          <w:b/>
          <w:bCs/>
          <w:lang w:val="mk-MK"/>
        </w:rPr>
        <w:t xml:space="preserve">јавните финансии </w:t>
      </w:r>
      <w:r w:rsidR="009A7F69">
        <w:rPr>
          <w:rFonts w:cs="Calibri"/>
          <w:b/>
          <w:bCs/>
          <w:lang w:val="mk-MK"/>
        </w:rPr>
        <w:t>„Смарт јавни финансии“ (</w:t>
      </w:r>
      <w:r w:rsidR="00D35148" w:rsidRPr="00AC68FC">
        <w:rPr>
          <w:rFonts w:cs="Calibri"/>
          <w:b/>
          <w:bCs/>
          <w:lang w:val="mk-MK"/>
        </w:rPr>
        <w:t>2022 – 2025</w:t>
      </w:r>
      <w:r w:rsidR="009A7F69">
        <w:rPr>
          <w:rFonts w:cs="Calibri"/>
          <w:b/>
          <w:bCs/>
          <w:lang w:val="mk-MK"/>
        </w:rPr>
        <w:t>)</w:t>
      </w:r>
      <w:r w:rsidR="00D35148" w:rsidRPr="00AC68FC">
        <w:rPr>
          <w:rFonts w:cs="Calibri"/>
          <w:b/>
          <w:bCs/>
          <w:lang w:val="mk-MK"/>
        </w:rPr>
        <w:t xml:space="preserve"> </w:t>
      </w:r>
    </w:p>
    <w:p w14:paraId="070112DF" w14:textId="5171AF67" w:rsidR="00D35148" w:rsidRDefault="00D35148" w:rsidP="00D35148">
      <w:pPr>
        <w:spacing w:after="0"/>
        <w:jc w:val="both"/>
        <w:rPr>
          <w:rFonts w:cs="Calibri"/>
          <w:lang w:val="mk-MK"/>
        </w:rPr>
      </w:pPr>
    </w:p>
    <w:p w14:paraId="328C2553" w14:textId="209529A0" w:rsidR="00306093" w:rsidRDefault="00D35148" w:rsidP="00D35148">
      <w:pPr>
        <w:spacing w:after="0"/>
        <w:jc w:val="both"/>
        <w:rPr>
          <w:color w:val="1F2023"/>
          <w:lang w:val="mk-MK"/>
        </w:rPr>
      </w:pPr>
      <w:r>
        <w:rPr>
          <w:color w:val="1F2023"/>
        </w:rPr>
        <w:t>Програмата за реформ</w:t>
      </w:r>
      <w:r w:rsidR="00586AE9">
        <w:rPr>
          <w:color w:val="1F2023"/>
          <w:lang w:val="mk-MK"/>
        </w:rPr>
        <w:t>а</w:t>
      </w:r>
      <w:r>
        <w:rPr>
          <w:color w:val="1F2023"/>
        </w:rPr>
        <w:t xml:space="preserve"> </w:t>
      </w:r>
      <w:r w:rsidR="00586AE9">
        <w:rPr>
          <w:color w:val="1F2023"/>
          <w:lang w:val="mk-MK"/>
        </w:rPr>
        <w:t>на</w:t>
      </w:r>
      <w:r>
        <w:rPr>
          <w:color w:val="1F2023"/>
        </w:rPr>
        <w:t xml:space="preserve"> управувањето со јавните финансии 2022-2025</w:t>
      </w:r>
      <w:r w:rsidR="009705BD">
        <w:rPr>
          <w:rStyle w:val="FootnoteReference"/>
          <w:color w:val="1F2023"/>
        </w:rPr>
        <w:footnoteReference w:id="9"/>
      </w:r>
      <w:r>
        <w:rPr>
          <w:color w:val="1F2023"/>
        </w:rPr>
        <w:t xml:space="preserve"> година е стратешки документ за развој на системот за управување со јавните финансии со кој се продолжуваат започнатите реф</w:t>
      </w:r>
      <w:r w:rsidR="008D4948">
        <w:rPr>
          <w:color w:val="1F2023"/>
        </w:rPr>
        <w:t>орми од претходниот четири</w:t>
      </w:r>
      <w:r>
        <w:rPr>
          <w:color w:val="1F2023"/>
        </w:rPr>
        <w:t>годишен период.</w:t>
      </w:r>
      <w:r>
        <w:rPr>
          <w:color w:val="1F2023"/>
          <w:lang w:val="mk-MK"/>
        </w:rPr>
        <w:t xml:space="preserve"> </w:t>
      </w:r>
      <w:r w:rsidR="00306093" w:rsidRPr="00E402B0">
        <w:rPr>
          <w:rFonts w:cs="Calibri"/>
          <w:lang w:val="mk-MK"/>
        </w:rPr>
        <w:t xml:space="preserve">Во Програмата за реформа на управувањето со јавните финансии (2022-2025) се утврдува дека подобрување на управувањето со јавните финансии е неопходно не само како поддршка за мерките за фискална консолидација и структурните реформи, туку и како процес кој го подига квалитетот на јавната администрација и обезбедува амбиент кој е атрактивен и посакуван терен за инвеститорите. Во неа стратешки се пристапува и предвидува одржување стабилен буџет на долг рок, притоа продолжувајќи со обезбедувањето квалитетни и брзи услуги за граѓаните и деловните субјекти, преку модерна и ефикасна јавна администрација, базирана на дигитализација. </w:t>
      </w:r>
    </w:p>
    <w:p w14:paraId="08A1C854" w14:textId="794CA36C" w:rsidR="00306093" w:rsidRDefault="00306093" w:rsidP="00D35148">
      <w:pPr>
        <w:spacing w:after="0"/>
        <w:jc w:val="both"/>
        <w:rPr>
          <w:color w:val="1F2023"/>
          <w:lang w:val="mk-MK"/>
        </w:rPr>
      </w:pPr>
    </w:p>
    <w:p w14:paraId="4FF6D1A3" w14:textId="6D854394" w:rsidR="00D35148" w:rsidRDefault="009705BD" w:rsidP="00D35148">
      <w:pPr>
        <w:spacing w:after="0"/>
        <w:jc w:val="both"/>
        <w:rPr>
          <w:color w:val="1F2023"/>
          <w:lang w:val="mk-MK"/>
        </w:rPr>
      </w:pPr>
      <w:r>
        <w:rPr>
          <w:color w:val="1F2023"/>
          <w:lang w:val="mk-MK"/>
        </w:rPr>
        <w:t>Управувањето со јавни финансии претставува една од областите опфатени со Принципите на јавна администрација на СИГМА за кои се врши редовно следење на напредокот во оваа област</w:t>
      </w:r>
      <w:r w:rsidRPr="00306093">
        <w:rPr>
          <w:color w:val="1F2023"/>
          <w:lang w:val="mk-MK"/>
        </w:rPr>
        <w:t xml:space="preserve"> </w:t>
      </w:r>
      <w:r>
        <w:rPr>
          <w:color w:val="1F2023"/>
          <w:lang w:val="mk-MK"/>
        </w:rPr>
        <w:t>и затоа пре</w:t>
      </w:r>
      <w:r w:rsidR="008D4948">
        <w:rPr>
          <w:color w:val="1F2023"/>
          <w:lang w:val="mk-MK"/>
        </w:rPr>
        <w:t>т</w:t>
      </w:r>
      <w:r>
        <w:rPr>
          <w:color w:val="1F2023"/>
          <w:lang w:val="mk-MK"/>
        </w:rPr>
        <w:t xml:space="preserve">ставува составен дел од приоритетните области опфатени со реформата на јавната </w:t>
      </w:r>
      <w:r>
        <w:rPr>
          <w:color w:val="1F2023"/>
          <w:lang w:val="mk-MK"/>
        </w:rPr>
        <w:lastRenderedPageBreak/>
        <w:t xml:space="preserve">администрација. </w:t>
      </w:r>
      <w:r w:rsidR="00D35148">
        <w:rPr>
          <w:color w:val="1F2023"/>
          <w:lang w:val="mk-MK"/>
        </w:rPr>
        <w:t xml:space="preserve">Согласно досегашната пракса, </w:t>
      </w:r>
      <w:r w:rsidR="00475216">
        <w:rPr>
          <w:color w:val="1F2023"/>
          <w:lang w:val="mk-MK"/>
        </w:rPr>
        <w:t>МФ</w:t>
      </w:r>
      <w:r w:rsidR="00D35148">
        <w:rPr>
          <w:color w:val="1F2023"/>
          <w:lang w:val="mk-MK"/>
        </w:rPr>
        <w:t xml:space="preserve"> е надлежно за подготвување и следење на целите и мерките предвидени во Програмата за </w:t>
      </w:r>
      <w:r w:rsidR="00586AE9">
        <w:rPr>
          <w:color w:val="1F2023"/>
          <w:lang w:val="mk-MK"/>
        </w:rPr>
        <w:t xml:space="preserve">реформа  </w:t>
      </w:r>
      <w:r w:rsidR="007B563D">
        <w:rPr>
          <w:color w:val="1F2023"/>
          <w:lang w:val="mk-MK"/>
        </w:rPr>
        <w:t xml:space="preserve">на </w:t>
      </w:r>
      <w:r w:rsidR="00D35148">
        <w:rPr>
          <w:color w:val="1F2023"/>
          <w:lang w:val="mk-MK"/>
        </w:rPr>
        <w:t>управување</w:t>
      </w:r>
      <w:r w:rsidR="00586AE9">
        <w:rPr>
          <w:color w:val="1F2023"/>
          <w:lang w:val="mk-MK"/>
        </w:rPr>
        <w:t>то</w:t>
      </w:r>
      <w:r w:rsidR="00D35148">
        <w:rPr>
          <w:color w:val="1F2023"/>
          <w:lang w:val="mk-MK"/>
        </w:rPr>
        <w:t xml:space="preserve"> со јавни финансии, а при подготвувањето на Стратегијата за РЈА </w:t>
      </w:r>
      <w:r w:rsidR="00B92097">
        <w:rPr>
          <w:color w:val="1F2023"/>
          <w:lang w:val="mk-MK"/>
        </w:rPr>
        <w:t xml:space="preserve">е </w:t>
      </w:r>
      <w:r w:rsidR="00D35148">
        <w:rPr>
          <w:color w:val="1F2023"/>
          <w:lang w:val="mk-MK"/>
        </w:rPr>
        <w:t>обезбедена комплементарност</w:t>
      </w:r>
      <w:r w:rsidR="00306093">
        <w:rPr>
          <w:color w:val="1F2023"/>
          <w:lang w:val="mk-MK"/>
        </w:rPr>
        <w:t xml:space="preserve"> и усогласеност</w:t>
      </w:r>
      <w:r>
        <w:rPr>
          <w:color w:val="1F2023"/>
          <w:lang w:val="mk-MK"/>
        </w:rPr>
        <w:t>.</w:t>
      </w:r>
      <w:r w:rsidR="00306093">
        <w:rPr>
          <w:color w:val="1F2023"/>
          <w:lang w:val="mk-MK"/>
        </w:rPr>
        <w:t xml:space="preserve"> </w:t>
      </w:r>
      <w:r w:rsidR="00E3706D">
        <w:rPr>
          <w:color w:val="1F2023"/>
          <w:lang w:val="mk-MK"/>
        </w:rPr>
        <w:t>За</w:t>
      </w:r>
      <w:r w:rsidR="007C78C5">
        <w:rPr>
          <w:color w:val="1F2023"/>
          <w:lang w:val="mk-MK"/>
        </w:rPr>
        <w:t>е</w:t>
      </w:r>
      <w:r w:rsidR="00E3706D">
        <w:rPr>
          <w:color w:val="1F2023"/>
          <w:lang w:val="mk-MK"/>
        </w:rPr>
        <w:t xml:space="preserve">дно, овие два стратешки документи </w:t>
      </w:r>
      <w:r>
        <w:rPr>
          <w:color w:val="1F2023"/>
          <w:lang w:val="mk-MK"/>
        </w:rPr>
        <w:t xml:space="preserve">ја сочинуваат </w:t>
      </w:r>
      <w:r w:rsidR="007C78C5">
        <w:rPr>
          <w:color w:val="1F2023"/>
          <w:lang w:val="mk-MK"/>
        </w:rPr>
        <w:t>рамка</w:t>
      </w:r>
      <w:r>
        <w:rPr>
          <w:color w:val="1F2023"/>
          <w:lang w:val="mk-MK"/>
        </w:rPr>
        <w:t>та</w:t>
      </w:r>
      <w:r w:rsidR="007C78C5">
        <w:rPr>
          <w:color w:val="1F2023"/>
          <w:lang w:val="mk-MK"/>
        </w:rPr>
        <w:t xml:space="preserve"> за реформа на јавната админ</w:t>
      </w:r>
      <w:r>
        <w:rPr>
          <w:color w:val="1F2023"/>
          <w:lang w:val="mk-MK"/>
        </w:rPr>
        <w:t>и</w:t>
      </w:r>
      <w:r w:rsidR="007C78C5">
        <w:rPr>
          <w:color w:val="1F2023"/>
          <w:lang w:val="mk-MK"/>
        </w:rPr>
        <w:t>страција</w:t>
      </w:r>
      <w:r>
        <w:rPr>
          <w:color w:val="1F2023"/>
          <w:lang w:val="mk-MK"/>
        </w:rPr>
        <w:t xml:space="preserve">. </w:t>
      </w:r>
    </w:p>
    <w:p w14:paraId="52C8F9C7" w14:textId="79D10A0E" w:rsidR="00A73B20" w:rsidRDefault="00A73B20" w:rsidP="00D35148">
      <w:pPr>
        <w:spacing w:after="0"/>
        <w:jc w:val="both"/>
        <w:rPr>
          <w:color w:val="1F2023"/>
          <w:lang w:val="mk-MK"/>
        </w:rPr>
      </w:pPr>
    </w:p>
    <w:p w14:paraId="637BADF3" w14:textId="77777777" w:rsidR="009A7F69" w:rsidRDefault="009A7F69" w:rsidP="00D35148">
      <w:pPr>
        <w:spacing w:after="0"/>
        <w:jc w:val="both"/>
        <w:rPr>
          <w:color w:val="1F2023"/>
          <w:lang w:val="mk-MK"/>
        </w:rPr>
      </w:pPr>
    </w:p>
    <w:p w14:paraId="0E0EBE03" w14:textId="3D5B0047" w:rsidR="00A73B20" w:rsidRDefault="00A73B20" w:rsidP="00D35148">
      <w:pPr>
        <w:spacing w:after="0"/>
        <w:jc w:val="both"/>
        <w:rPr>
          <w:color w:val="1F2023"/>
          <w:lang w:val="mk-MK"/>
        </w:rPr>
      </w:pPr>
    </w:p>
    <w:p w14:paraId="46012AC4" w14:textId="64310FE1" w:rsidR="00834A4A" w:rsidRPr="00AC68FC" w:rsidRDefault="00185881" w:rsidP="00D35148">
      <w:pPr>
        <w:spacing w:after="0"/>
        <w:jc w:val="both"/>
        <w:rPr>
          <w:b/>
          <w:bCs/>
          <w:color w:val="1F2023"/>
          <w:lang w:val="mk-MK"/>
        </w:rPr>
      </w:pPr>
      <w:r w:rsidRPr="00B5617C">
        <w:rPr>
          <w:b/>
          <w:bCs/>
          <w:color w:val="1F2023"/>
          <w:lang w:val="mk-MK"/>
        </w:rPr>
        <w:t xml:space="preserve">Графикон 2 – </w:t>
      </w:r>
      <w:r w:rsidR="000C559E" w:rsidRPr="00B5617C">
        <w:rPr>
          <w:b/>
          <w:bCs/>
          <w:color w:val="1F2023"/>
          <w:lang w:val="mk-MK"/>
        </w:rPr>
        <w:t xml:space="preserve">Комплементарност на целите во Стратегијата за РЈА (2023-2030) и Програмата </w:t>
      </w:r>
      <w:r w:rsidR="000C559E" w:rsidRPr="000A18D1">
        <w:rPr>
          <w:b/>
          <w:lang w:val="mk-MK"/>
        </w:rPr>
        <w:t>за реформа на управувањето</w:t>
      </w:r>
      <w:r w:rsidR="000C559E" w:rsidRPr="000A18D1">
        <w:rPr>
          <w:b/>
          <w:bCs/>
          <w:lang w:val="mk-MK"/>
        </w:rPr>
        <w:t xml:space="preserve"> со јавните финансии (УЈФ) (2022-2025) </w:t>
      </w:r>
    </w:p>
    <w:p w14:paraId="77D6D02F" w14:textId="17C4F508" w:rsidR="00A73B20" w:rsidRPr="00AC68FC" w:rsidRDefault="00A73B20" w:rsidP="00D35148">
      <w:pPr>
        <w:spacing w:after="0"/>
        <w:jc w:val="both"/>
        <w:rPr>
          <w:rFonts w:cs="Calibri"/>
          <w:lang w:val="mk-MK"/>
        </w:rPr>
      </w:pPr>
      <w:r>
        <w:rPr>
          <w:rFonts w:cs="Calibri"/>
          <w:noProof/>
          <w:lang w:val="en-US"/>
        </w:rPr>
        <w:drawing>
          <wp:inline distT="0" distB="0" distL="0" distR="0" wp14:anchorId="79F8E9DA" wp14:editId="28B60D71">
            <wp:extent cx="5486400" cy="3200400"/>
            <wp:effectExtent l="38100" t="57150" r="3810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5D5B3FF" w14:textId="77777777" w:rsidR="00D35148" w:rsidRDefault="00D35148" w:rsidP="007E0A96">
      <w:pPr>
        <w:spacing w:after="0"/>
        <w:jc w:val="both"/>
        <w:rPr>
          <w:rFonts w:cs="Calibri"/>
          <w:lang w:val="mk-MK"/>
        </w:rPr>
      </w:pPr>
    </w:p>
    <w:p w14:paraId="7CE01161" w14:textId="10F4216F" w:rsidR="007E0A96" w:rsidRPr="00AC68FC" w:rsidRDefault="00306093" w:rsidP="00633686">
      <w:r w:rsidRPr="00633686">
        <w:rPr>
          <w:b/>
          <w:bCs/>
        </w:rPr>
        <w:t>Програма на економски реформи (2022-2025)</w:t>
      </w:r>
    </w:p>
    <w:p w14:paraId="5319B709" w14:textId="2C7E80B3" w:rsidR="00306093" w:rsidRDefault="00306093" w:rsidP="00306093">
      <w:pPr>
        <w:jc w:val="both"/>
        <w:rPr>
          <w:lang w:val="mk-MK"/>
        </w:rPr>
      </w:pPr>
      <w:r>
        <w:t>Програмата на економски реформи за 2023-2025</w:t>
      </w:r>
      <w:r w:rsidR="009705BD">
        <w:rPr>
          <w:rStyle w:val="FootnoteReference"/>
          <w:b/>
          <w:bCs/>
          <w:lang w:val="mk-MK"/>
        </w:rPr>
        <w:footnoteReference w:id="10"/>
      </w:r>
      <w:r>
        <w:t xml:space="preserve"> година ја прикажува среднорочната макроекономска и фискална рамка, како и реформски мерки согласно приоритетите на </w:t>
      </w:r>
      <w:r w:rsidR="001F11B5">
        <w:rPr>
          <w:lang w:val="mk-MK"/>
        </w:rPr>
        <w:t>ВРСМ</w:t>
      </w:r>
      <w:r w:rsidR="001F11B5">
        <w:t xml:space="preserve"> </w:t>
      </w:r>
      <w:r>
        <w:t>и е подготвена врз основа на Фискалната стратегија 2023-2027, среднорочната буџетска рамка за периодот 2023-2027, националните секторски стратегии, регионални стратегии и документи, зелената и дигитална агенда на ЕУ, како и Економско-инвестицискиот план на ЕУ за Западен Балкан</w:t>
      </w:r>
      <w:r w:rsidR="005911BA">
        <w:rPr>
          <w:lang w:val="mk-MK"/>
        </w:rPr>
        <w:t>.</w:t>
      </w:r>
    </w:p>
    <w:p w14:paraId="7A93B79D" w14:textId="646CAD7E" w:rsidR="005911BA" w:rsidRDefault="005911BA">
      <w:pPr>
        <w:jc w:val="both"/>
        <w:rPr>
          <w:lang w:val="mk-MK"/>
        </w:rPr>
      </w:pPr>
      <w:r>
        <w:rPr>
          <w:lang w:val="mk-MK"/>
        </w:rPr>
        <w:t>Меѓу другите, Програмата предвидува мерки за проширување на опсегот на дигитални услуги достапни на Националниот портал за е-услуги</w:t>
      </w:r>
      <w:r w:rsidRPr="005911BA">
        <w:t xml:space="preserve"> </w:t>
      </w:r>
      <w:r>
        <w:rPr>
          <w:lang w:val="mk-MK"/>
        </w:rPr>
        <w:t xml:space="preserve">што ќе придонесе кон </w:t>
      </w:r>
      <w:r>
        <w:t>намал</w:t>
      </w:r>
      <w:r>
        <w:rPr>
          <w:lang w:val="mk-MK"/>
        </w:rPr>
        <w:t xml:space="preserve">ување на </w:t>
      </w:r>
      <w:r>
        <w:t xml:space="preserve">административниот и финансискиот товар не само за граѓаните, туку и за деловните субјекти, </w:t>
      </w:r>
      <w:r>
        <w:rPr>
          <w:lang w:val="mk-MK"/>
        </w:rPr>
        <w:t xml:space="preserve">а тоа ќе влијае на </w:t>
      </w:r>
      <w:r>
        <w:t>зголем</w:t>
      </w:r>
      <w:r>
        <w:rPr>
          <w:lang w:val="mk-MK"/>
        </w:rPr>
        <w:t xml:space="preserve">ување на </w:t>
      </w:r>
      <w:r>
        <w:t>нивната ефикасност. Намалувањето на времето и надоместоците за добивање на услугите повлекува намалување на трошоците за дело</w:t>
      </w:r>
      <w:r w:rsidR="008D4948">
        <w:t>вните субјекти</w:t>
      </w:r>
      <w:r>
        <w:t xml:space="preserve"> што доведува до нивна зголемена конкурентност.</w:t>
      </w:r>
      <w:r>
        <w:rPr>
          <w:lang w:val="mk-MK"/>
        </w:rPr>
        <w:t xml:space="preserve"> Целите и мерките пр</w:t>
      </w:r>
      <w:r w:rsidR="008D4948">
        <w:rPr>
          <w:lang w:val="mk-MK"/>
        </w:rPr>
        <w:t>е</w:t>
      </w:r>
      <w:r>
        <w:rPr>
          <w:lang w:val="mk-MK"/>
        </w:rPr>
        <w:t xml:space="preserve">двидени во Стратегијата за РЈА  се целосно усогласени со оние утврдени во Програмата за економски реформи. </w:t>
      </w:r>
    </w:p>
    <w:p w14:paraId="4FCF58E2" w14:textId="1D8AB1FD" w:rsidR="00A32AB2" w:rsidRPr="00633686" w:rsidRDefault="00603582" w:rsidP="00633686">
      <w:pPr>
        <w:jc w:val="both"/>
        <w:rPr>
          <w:b/>
          <w:bCs/>
          <w:lang w:val="mk-MK"/>
        </w:rPr>
      </w:pPr>
      <w:r w:rsidRPr="00633686">
        <w:rPr>
          <w:b/>
          <w:bCs/>
          <w:lang w:val="mk-MK"/>
        </w:rPr>
        <w:lastRenderedPageBreak/>
        <w:t xml:space="preserve">Програма за </w:t>
      </w:r>
      <w:r w:rsidRPr="00633686">
        <w:rPr>
          <w:rFonts w:cs="Calibri"/>
          <w:b/>
          <w:bCs/>
          <w:lang w:val="mk-MK"/>
        </w:rPr>
        <w:t xml:space="preserve">одржлив локален развој и децентрализација во </w:t>
      </w:r>
      <w:r w:rsidR="00E368F5">
        <w:rPr>
          <w:rFonts w:cs="Calibri"/>
          <w:b/>
          <w:bCs/>
          <w:lang w:val="mk-MK"/>
        </w:rPr>
        <w:t>МКД</w:t>
      </w:r>
      <w:r w:rsidRPr="00633686">
        <w:rPr>
          <w:rFonts w:cs="Calibri"/>
          <w:b/>
          <w:bCs/>
          <w:lang w:val="mk-MK"/>
        </w:rPr>
        <w:t xml:space="preserve"> (2021-2026)</w:t>
      </w:r>
      <w:r w:rsidRPr="00AC68FC">
        <w:rPr>
          <w:rStyle w:val="FootnoteReference"/>
          <w:rFonts w:cs="Calibri"/>
          <w:b/>
          <w:bCs/>
          <w:lang w:val="mk-MK"/>
        </w:rPr>
        <w:footnoteReference w:id="11"/>
      </w:r>
      <w:r w:rsidRPr="00633686">
        <w:rPr>
          <w:rFonts w:cs="Calibri"/>
          <w:b/>
          <w:bCs/>
          <w:lang w:val="mk-MK"/>
        </w:rPr>
        <w:t>.</w:t>
      </w:r>
    </w:p>
    <w:p w14:paraId="42FD96EA" w14:textId="7C49EDE3" w:rsidR="00603582" w:rsidRPr="00D07815" w:rsidRDefault="00603582" w:rsidP="00603582">
      <w:pPr>
        <w:jc w:val="both"/>
        <w:rPr>
          <w:rFonts w:ascii="Calibri" w:eastAsia="SimSun" w:hAnsi="Calibri" w:cs="Calibri"/>
        </w:rPr>
      </w:pPr>
      <w:r w:rsidRPr="00E402B0">
        <w:rPr>
          <w:rFonts w:cs="Calibri"/>
          <w:lang w:val="mk-MK"/>
        </w:rPr>
        <w:t xml:space="preserve">Програмата за одржлив локален развој и децентрализација во </w:t>
      </w:r>
      <w:r w:rsidR="00E368F5">
        <w:rPr>
          <w:rFonts w:cs="Calibri"/>
          <w:lang w:val="mk-MK"/>
        </w:rPr>
        <w:t>МКД</w:t>
      </w:r>
      <w:r w:rsidRPr="00E402B0">
        <w:rPr>
          <w:rFonts w:cs="Calibri"/>
          <w:lang w:val="mk-MK"/>
        </w:rPr>
        <w:t xml:space="preserve"> (2021-2026)</w:t>
      </w:r>
      <w:r>
        <w:rPr>
          <w:rFonts w:cs="Calibri"/>
          <w:lang w:val="mk-MK"/>
        </w:rPr>
        <w:t xml:space="preserve"> </w:t>
      </w:r>
      <w:r w:rsidRPr="00D07815">
        <w:rPr>
          <w:rFonts w:ascii="Calibri" w:eastAsia="SimSun" w:hAnsi="Calibri" w:cs="Calibri"/>
        </w:rPr>
        <w:t xml:space="preserve">е седми по ред плански документ посветен на натамошниот развој на локалната самоуправа во </w:t>
      </w:r>
      <w:r w:rsidR="00475216">
        <w:rPr>
          <w:rFonts w:ascii="Calibri" w:eastAsia="SimSun" w:hAnsi="Calibri" w:cs="Calibri"/>
          <w:lang w:val="mk-MK"/>
        </w:rPr>
        <w:t>РСМ</w:t>
      </w:r>
      <w:r w:rsidRPr="00D07815">
        <w:rPr>
          <w:rFonts w:ascii="Calibri" w:eastAsia="SimSun" w:hAnsi="Calibri" w:cs="Calibri"/>
        </w:rPr>
        <w:t>. Програмата го одразува континуираниот интерес на сите чинители за постојан развој на локалната самоуправа, како ниво на власт кое е најблиско до граѓаните. Истата е подготвена во момент кога се одбележуваат 15 години од фактичкиот трансфер на надлежности и ресурси на единиците на локалната самоуправа.</w:t>
      </w:r>
      <w:r>
        <w:rPr>
          <w:rFonts w:ascii="Calibri" w:eastAsia="SimSun" w:hAnsi="Calibri" w:cs="Calibri"/>
          <w:lang w:val="mk-MK"/>
        </w:rPr>
        <w:t xml:space="preserve"> </w:t>
      </w:r>
      <w:r w:rsidRPr="00D07815">
        <w:rPr>
          <w:rFonts w:ascii="Calibri" w:eastAsia="SimSun" w:hAnsi="Calibri" w:cs="Calibri"/>
        </w:rPr>
        <w:t xml:space="preserve"> </w:t>
      </w:r>
      <w:r>
        <w:rPr>
          <w:rFonts w:ascii="Calibri" w:eastAsia="SimSun" w:hAnsi="Calibri" w:cs="Calibri"/>
          <w:lang w:val="mk-MK"/>
        </w:rPr>
        <w:t>С</w:t>
      </w:r>
      <w:r w:rsidRPr="00D07815">
        <w:rPr>
          <w:rFonts w:ascii="Calibri" w:eastAsia="SimSun" w:hAnsi="Calibri" w:cs="Calibri"/>
        </w:rPr>
        <w:t xml:space="preserve">о Програмата се опфатени </w:t>
      </w:r>
      <w:r w:rsidRPr="00D07815">
        <w:rPr>
          <w:rFonts w:ascii="Calibri" w:eastAsia="SimSun" w:hAnsi="Calibri" w:cs="Calibri"/>
          <w:lang w:val="mk-MK"/>
        </w:rPr>
        <w:t>сите сегменти од</w:t>
      </w:r>
      <w:r w:rsidRPr="00D07815">
        <w:rPr>
          <w:rFonts w:ascii="Calibri" w:eastAsia="SimSun" w:hAnsi="Calibri" w:cs="Calibri"/>
        </w:rPr>
        <w:t xml:space="preserve"> процесот на децентрализација кои придонесуваат за усогласување на системот за локална самоуправа со нормативните, институционалните</w:t>
      </w:r>
      <w:r>
        <w:rPr>
          <w:rFonts w:ascii="Calibri" w:eastAsia="SimSun" w:hAnsi="Calibri" w:cs="Calibri"/>
          <w:lang w:val="mk-MK"/>
        </w:rPr>
        <w:t>,</w:t>
      </w:r>
      <w:r w:rsidRPr="00D07815">
        <w:rPr>
          <w:rFonts w:ascii="Calibri" w:eastAsia="SimSun" w:hAnsi="Calibri" w:cs="Calibri"/>
        </w:rPr>
        <w:t xml:space="preserve"> политичките и административните критериуми и стандарди на ЕУ и остварување на целите за одржлив развој на ООН.</w:t>
      </w:r>
    </w:p>
    <w:p w14:paraId="54D66B3C" w14:textId="38489B6F" w:rsidR="00603582" w:rsidRDefault="00603582" w:rsidP="00603582">
      <w:pPr>
        <w:jc w:val="both"/>
        <w:rPr>
          <w:rFonts w:eastAsia="SimSun" w:cs="Calibri"/>
        </w:rPr>
      </w:pPr>
      <w:r w:rsidRPr="00D07815">
        <w:rPr>
          <w:rFonts w:ascii="Calibri" w:eastAsia="SimSun" w:hAnsi="Calibri" w:cs="Calibri"/>
        </w:rPr>
        <w:t>Програма</w:t>
      </w:r>
      <w:r w:rsidRPr="00D07815">
        <w:rPr>
          <w:rFonts w:ascii="Calibri" w:eastAsia="SimSun" w:hAnsi="Calibri" w:cs="Calibri"/>
          <w:lang w:val="mk-MK"/>
        </w:rPr>
        <w:t xml:space="preserve">та ги дава насоките </w:t>
      </w:r>
      <w:r w:rsidRPr="00D07815">
        <w:rPr>
          <w:rFonts w:ascii="Calibri" w:eastAsia="SimSun" w:hAnsi="Calibri" w:cs="Calibri"/>
        </w:rPr>
        <w:t xml:space="preserve">за континуирано подобрување на функционалноста на локалната самоуправа од сите аспекти и со долгорочна цел да се создадат отпорни единици на локалната самоуправа кои одржливо се развиваат и се оспособени да </w:t>
      </w:r>
      <w:r>
        <w:rPr>
          <w:rFonts w:ascii="Calibri" w:eastAsia="SimSun" w:hAnsi="Calibri" w:cs="Calibri"/>
          <w:lang w:val="mk-MK"/>
        </w:rPr>
        <w:t xml:space="preserve">даваат </w:t>
      </w:r>
      <w:r w:rsidRPr="00D07815">
        <w:rPr>
          <w:rFonts w:ascii="Calibri" w:eastAsia="SimSun" w:hAnsi="Calibri" w:cs="Calibri"/>
        </w:rPr>
        <w:t xml:space="preserve">квалитетни услуги со целосен опфат на населението. </w:t>
      </w:r>
      <w:r>
        <w:rPr>
          <w:rFonts w:ascii="Calibri" w:eastAsia="SimSun" w:hAnsi="Calibri" w:cs="Calibri"/>
          <w:lang w:val="mk-MK"/>
        </w:rPr>
        <w:t>Г</w:t>
      </w:r>
      <w:r w:rsidRPr="00D07815">
        <w:rPr>
          <w:rFonts w:ascii="Calibri" w:eastAsia="SimSun" w:hAnsi="Calibri" w:cs="Calibri"/>
        </w:rPr>
        <w:t>енерална цел на Програмата за наредниот шестгодишен период е да се овозможи ефикасно опоравување на општините, зголемување на нивната отпорност, финансиска стабилност и одржливост на локалните услуги, создавајќи предуслови за подинамичен и зелен локален раст и развој.</w:t>
      </w:r>
      <w:r w:rsidRPr="00D07815">
        <w:rPr>
          <w:rFonts w:ascii="Calibri" w:eastAsia="SimSun" w:hAnsi="Calibri" w:cs="Calibri"/>
          <w:lang w:val="mk-MK"/>
        </w:rPr>
        <w:t xml:space="preserve"> </w:t>
      </w:r>
      <w:r w:rsidR="005260AE">
        <w:rPr>
          <w:rFonts w:ascii="Calibri" w:eastAsia="SimSun" w:hAnsi="Calibri" w:cs="Calibri"/>
          <w:lang w:val="mk-MK"/>
        </w:rPr>
        <w:t xml:space="preserve">Стратегијата за РЈА  предвидува мерки во неколку области кои ќе придонесат кон постигнување на целите на Програмата. </w:t>
      </w:r>
    </w:p>
    <w:p w14:paraId="4CB85569" w14:textId="19217776" w:rsidR="00306093" w:rsidRPr="00AC68FC" w:rsidRDefault="001F783D" w:rsidP="00633686">
      <w:pPr>
        <w:spacing w:after="0"/>
        <w:jc w:val="both"/>
        <w:rPr>
          <w:rFonts w:cs="Calibri"/>
          <w:b/>
          <w:bCs/>
          <w:lang w:val="mk-MK"/>
        </w:rPr>
      </w:pPr>
      <w:r w:rsidRPr="00AC68FC">
        <w:rPr>
          <w:rFonts w:cs="Calibri"/>
          <w:b/>
          <w:bCs/>
          <w:lang w:val="mk-MK"/>
        </w:rPr>
        <w:t>Националната стратегија за спречување на корупцијата и судирот на интереси со Акционен план (2021-2025)</w:t>
      </w:r>
    </w:p>
    <w:p w14:paraId="729E62AA" w14:textId="77777777" w:rsidR="00306093" w:rsidRDefault="00306093" w:rsidP="007E0A96">
      <w:pPr>
        <w:spacing w:after="0"/>
        <w:jc w:val="both"/>
        <w:rPr>
          <w:rFonts w:cs="Calibri"/>
          <w:lang w:val="mk-MK"/>
        </w:rPr>
      </w:pPr>
    </w:p>
    <w:p w14:paraId="3475888D" w14:textId="6918943B" w:rsidR="00306093" w:rsidRPr="001F783D" w:rsidRDefault="001F783D" w:rsidP="007E0A96">
      <w:pPr>
        <w:spacing w:after="0"/>
        <w:jc w:val="both"/>
        <w:rPr>
          <w:rFonts w:cs="Calibri"/>
          <w:lang w:val="mk-MK"/>
        </w:rPr>
      </w:pPr>
      <w:r>
        <w:t>Националната стратегија за спречување на корупцијата и судирот на интереси со акционен план за нејзино спроведување</w:t>
      </w:r>
      <w:r w:rsidRPr="00712980">
        <w:rPr>
          <w:rStyle w:val="FootnoteReference"/>
          <w:rFonts w:cs="Calibri"/>
          <w:b/>
          <w:bCs/>
          <w:lang w:val="mk-MK"/>
        </w:rPr>
        <w:footnoteReference w:id="12"/>
      </w:r>
      <w:r>
        <w:t xml:space="preserve"> е документ кој го усвојува </w:t>
      </w:r>
      <w:r w:rsidR="00E368F5">
        <w:rPr>
          <w:lang w:val="mk-MK"/>
        </w:rPr>
        <w:t>СРСМ</w:t>
      </w:r>
      <w:r>
        <w:rPr>
          <w:lang w:val="mk-MK"/>
        </w:rPr>
        <w:t>, а н</w:t>
      </w:r>
      <w:r>
        <w:t xml:space="preserve">осител на процесот на подготовка на </w:t>
      </w:r>
      <w:r w:rsidR="007B563D">
        <w:rPr>
          <w:lang w:val="mk-MK"/>
        </w:rPr>
        <w:t>Националната с</w:t>
      </w:r>
      <w:r>
        <w:t xml:space="preserve">тратегија е </w:t>
      </w:r>
      <w:r>
        <w:rPr>
          <w:lang w:val="mk-MK"/>
        </w:rPr>
        <w:t xml:space="preserve"> </w:t>
      </w:r>
      <w:r>
        <w:t>ДКС</w:t>
      </w:r>
      <w:r>
        <w:rPr>
          <w:lang w:val="mk-MK"/>
        </w:rPr>
        <w:t>К. Стратегијата се стреми кон остварување на в</w:t>
      </w:r>
      <w:r>
        <w:t>изијата за општество засновано на највисоки етички вредности и интегритет што на сите граѓани им овозможува еднаков пристап до одговорни и транспарентни институции и почитување на човековите права и слободи. Со реализацијата на целите и мерките од стратегијата треба да се обезбеди подигнување на довербата во институциите на системот, ефикасно користење на јавните ресурси и јакнење на демократијата, општествените вредности и остварување на човековите права.</w:t>
      </w:r>
    </w:p>
    <w:p w14:paraId="6FB80A37" w14:textId="77777777" w:rsidR="00306093" w:rsidRDefault="00306093" w:rsidP="007E0A96">
      <w:pPr>
        <w:spacing w:after="0"/>
        <w:jc w:val="both"/>
        <w:rPr>
          <w:rFonts w:cs="Calibri"/>
          <w:lang w:val="mk-MK"/>
        </w:rPr>
      </w:pPr>
    </w:p>
    <w:p w14:paraId="7C4CAF89" w14:textId="4ED44A1F" w:rsidR="001F783D" w:rsidRDefault="00F81CB4" w:rsidP="007E0A96">
      <w:pPr>
        <w:spacing w:after="0"/>
        <w:jc w:val="both"/>
        <w:rPr>
          <w:lang w:val="mk-MK"/>
        </w:rPr>
      </w:pPr>
      <w:r>
        <w:rPr>
          <w:rFonts w:cs="Calibri"/>
          <w:lang w:val="mk-MK"/>
        </w:rPr>
        <w:t xml:space="preserve">Целите утврдени во </w:t>
      </w:r>
      <w:r>
        <w:t xml:space="preserve">Националната стратегија за спречување на корупцијата и судирот на интереси </w:t>
      </w:r>
      <w:r>
        <w:rPr>
          <w:lang w:val="mk-MK"/>
        </w:rPr>
        <w:t xml:space="preserve">преку кои се обезбедува комплементарност со </w:t>
      </w:r>
      <w:r>
        <w:rPr>
          <w:rFonts w:cs="Calibri"/>
          <w:lang w:val="mk-MK"/>
        </w:rPr>
        <w:t xml:space="preserve">Стратегијата за РЈА се: </w:t>
      </w:r>
      <w:r w:rsidR="00475216">
        <w:rPr>
          <w:rFonts w:cs="Calibri"/>
          <w:lang w:val="en-US"/>
        </w:rPr>
        <w:t>j</w:t>
      </w:r>
      <w:r>
        <w:t>акнење на интегритетот и отчетноста во јавниот сектор</w:t>
      </w:r>
      <w:r>
        <w:rPr>
          <w:lang w:val="mk-MK"/>
        </w:rPr>
        <w:t xml:space="preserve">; </w:t>
      </w:r>
      <w:r w:rsidR="00475216">
        <w:rPr>
          <w:lang w:val="mk-MK"/>
        </w:rPr>
        <w:t>с</w:t>
      </w:r>
      <w:r w:rsidR="00475216">
        <w:t xml:space="preserve">проведување </w:t>
      </w:r>
      <w:r>
        <w:t>на надлежностите во јавниот сектор на законит, транспарентен, етички, економичен, одговорен и ефективен начин</w:t>
      </w:r>
      <w:r>
        <w:rPr>
          <w:lang w:val="mk-MK"/>
        </w:rPr>
        <w:t xml:space="preserve">; </w:t>
      </w:r>
      <w:r w:rsidRPr="00F81CB4">
        <w:t xml:space="preserve"> </w:t>
      </w:r>
      <w:r w:rsidR="00475216">
        <w:t xml:space="preserve">oбезбедување </w:t>
      </w:r>
      <w:r>
        <w:t>на интегритет и транспарентност при вработувањето и политиките за човечки ресурси во јавниот сектор, базирано на систем на вредности и критериуми за квалитет</w:t>
      </w:r>
      <w:r>
        <w:rPr>
          <w:lang w:val="mk-MK"/>
        </w:rPr>
        <w:t>;</w:t>
      </w:r>
      <w:r w:rsidRPr="00F81CB4">
        <w:t xml:space="preserve"> </w:t>
      </w:r>
      <w:r w:rsidR="00475216">
        <w:t xml:space="preserve">jакнење </w:t>
      </w:r>
      <w:r>
        <w:t>на надзорните и контролните механизми</w:t>
      </w:r>
      <w:r>
        <w:rPr>
          <w:lang w:val="mk-MK"/>
        </w:rPr>
        <w:t xml:space="preserve"> и </w:t>
      </w:r>
      <w:r w:rsidR="00475216">
        <w:rPr>
          <w:lang w:val="mk-MK"/>
        </w:rPr>
        <w:t>д</w:t>
      </w:r>
      <w:r w:rsidR="00475216">
        <w:t xml:space="preserve">игитализација </w:t>
      </w:r>
      <w:r>
        <w:t>на јавните служби</w:t>
      </w:r>
      <w:r>
        <w:rPr>
          <w:lang w:val="mk-MK"/>
        </w:rPr>
        <w:t xml:space="preserve">. </w:t>
      </w:r>
      <w:r w:rsidR="00B07DE4">
        <w:rPr>
          <w:lang w:val="mk-MK"/>
        </w:rPr>
        <w:t>Мерките и активностите за постигнување на овие цели се соодветно вградени во Стратегијата за РЈА и Акцискиот план.</w:t>
      </w:r>
    </w:p>
    <w:p w14:paraId="18924E55" w14:textId="77777777" w:rsidR="00B07DE4" w:rsidRDefault="00B07DE4" w:rsidP="007E0A96">
      <w:pPr>
        <w:spacing w:after="0"/>
        <w:jc w:val="both"/>
        <w:rPr>
          <w:lang w:val="mk-MK"/>
        </w:rPr>
      </w:pPr>
    </w:p>
    <w:p w14:paraId="3A1A067B" w14:textId="77777777" w:rsidR="00B07DE4" w:rsidRDefault="00B07DE4" w:rsidP="007E0A96">
      <w:pPr>
        <w:spacing w:after="0"/>
        <w:jc w:val="both"/>
        <w:rPr>
          <w:lang w:val="mk-MK"/>
        </w:rPr>
      </w:pPr>
    </w:p>
    <w:p w14:paraId="69A31D7F" w14:textId="77777777" w:rsidR="00B07DE4" w:rsidRPr="00F81CB4" w:rsidRDefault="00B07DE4" w:rsidP="007E0A96">
      <w:pPr>
        <w:spacing w:after="0"/>
        <w:jc w:val="both"/>
        <w:rPr>
          <w:rFonts w:cs="Calibri"/>
          <w:lang w:val="mk-MK"/>
        </w:rPr>
      </w:pPr>
    </w:p>
    <w:p w14:paraId="14445430" w14:textId="77777777" w:rsidR="001F783D" w:rsidRDefault="001F783D" w:rsidP="007E0A96">
      <w:pPr>
        <w:spacing w:after="0"/>
        <w:jc w:val="both"/>
        <w:rPr>
          <w:rFonts w:cs="Calibri"/>
          <w:lang w:val="mk-MK"/>
        </w:rPr>
      </w:pPr>
    </w:p>
    <w:p w14:paraId="67B9BB8F" w14:textId="3FF4A522" w:rsidR="001F783D" w:rsidRPr="00AC68FC" w:rsidRDefault="00D3725F" w:rsidP="00633686">
      <w:pPr>
        <w:spacing w:after="0"/>
        <w:jc w:val="both"/>
        <w:rPr>
          <w:rFonts w:cs="Calibri"/>
          <w:b/>
          <w:bCs/>
          <w:lang w:val="mk-MK"/>
        </w:rPr>
      </w:pPr>
      <w:r w:rsidRPr="00AC68FC">
        <w:rPr>
          <w:rFonts w:cs="Calibri"/>
          <w:b/>
          <w:bCs/>
          <w:lang w:val="mk-MK"/>
        </w:rPr>
        <w:t xml:space="preserve">План за забрзан економски раст </w:t>
      </w:r>
      <w:r w:rsidR="00872923" w:rsidRPr="00AC68FC">
        <w:rPr>
          <w:rFonts w:cs="Calibri"/>
          <w:b/>
          <w:bCs/>
          <w:lang w:val="mk-MK"/>
        </w:rPr>
        <w:t>2022 - 2026</w:t>
      </w:r>
    </w:p>
    <w:p w14:paraId="308CB322" w14:textId="1C826DA8" w:rsidR="00D3725F" w:rsidRDefault="00D3725F" w:rsidP="007E0A96">
      <w:pPr>
        <w:spacing w:after="0"/>
        <w:jc w:val="both"/>
        <w:rPr>
          <w:rFonts w:cs="Calibri"/>
          <w:lang w:val="mk-MK"/>
        </w:rPr>
      </w:pPr>
    </w:p>
    <w:p w14:paraId="52B58F03" w14:textId="437F807D" w:rsidR="00D3725F" w:rsidRDefault="00872923" w:rsidP="007E0A96">
      <w:pPr>
        <w:spacing w:after="0"/>
        <w:jc w:val="both"/>
        <w:rPr>
          <w:rFonts w:cstheme="minorHAnsi"/>
          <w:color w:val="000000"/>
          <w:shd w:val="clear" w:color="auto" w:fill="FFFFFF"/>
        </w:rPr>
      </w:pPr>
      <w:r>
        <w:rPr>
          <w:rFonts w:cstheme="minorHAnsi"/>
          <w:color w:val="000000"/>
          <w:shd w:val="clear" w:color="auto" w:fill="FFFFFF"/>
          <w:lang w:val="mk-MK"/>
        </w:rPr>
        <w:t xml:space="preserve">Со </w:t>
      </w:r>
      <w:r w:rsidRPr="00AC68FC">
        <w:rPr>
          <w:rFonts w:cstheme="minorHAnsi"/>
          <w:color w:val="000000"/>
          <w:shd w:val="clear" w:color="auto" w:fill="FFFFFF"/>
        </w:rPr>
        <w:t>Планот за забрзан економски раст 2022-2026</w:t>
      </w:r>
      <w:r>
        <w:rPr>
          <w:rStyle w:val="FootnoteReference"/>
          <w:rFonts w:cstheme="minorHAnsi"/>
          <w:color w:val="000000"/>
          <w:shd w:val="clear" w:color="auto" w:fill="FFFFFF"/>
        </w:rPr>
        <w:footnoteReference w:id="13"/>
      </w:r>
      <w:r w:rsidRPr="00AC68FC">
        <w:rPr>
          <w:rFonts w:cstheme="minorHAnsi"/>
          <w:color w:val="000000"/>
          <w:shd w:val="clear" w:color="auto" w:fill="FFFFFF"/>
        </w:rPr>
        <w:t xml:space="preserve"> година ќе бидат поддржани инвестициски проекти во јавниот и приватниот сектор, кои ќе овозможат подобрување на економската конкурентност и подобрување на квалитетот на животот, како и ќе се фокусира на неколку приоритетни области како што се: зелена економија, дигитализација, иновации и технолошки развој, развој на физичка инфраструктура и човечки капитал, како и социјална кохезија.</w:t>
      </w:r>
    </w:p>
    <w:p w14:paraId="735539E4" w14:textId="6AC3C4C9" w:rsidR="00872923" w:rsidRDefault="00872923" w:rsidP="007E0A96">
      <w:pPr>
        <w:spacing w:after="0"/>
        <w:jc w:val="both"/>
        <w:rPr>
          <w:rFonts w:cstheme="minorHAnsi"/>
          <w:color w:val="000000"/>
          <w:shd w:val="clear" w:color="auto" w:fill="FFFFFF"/>
        </w:rPr>
      </w:pPr>
    </w:p>
    <w:p w14:paraId="77310F6D" w14:textId="77777777" w:rsidR="00457BED" w:rsidRDefault="00457BED" w:rsidP="00457BED">
      <w:pPr>
        <w:spacing w:after="0"/>
        <w:jc w:val="both"/>
        <w:rPr>
          <w:rFonts w:cstheme="minorHAnsi"/>
          <w:color w:val="000000"/>
          <w:shd w:val="clear" w:color="auto" w:fill="FFFFFF"/>
          <w:lang w:val="mk-MK"/>
        </w:rPr>
      </w:pPr>
      <w:bookmarkStart w:id="0" w:name="_Hlk137805224"/>
      <w:r w:rsidRPr="00872923">
        <w:rPr>
          <w:rFonts w:cstheme="minorHAnsi"/>
          <w:color w:val="000000"/>
          <w:shd w:val="clear" w:color="auto" w:fill="FFFFFF"/>
          <w:lang w:val="mk-MK"/>
        </w:rPr>
        <w:t>Меѓу другото, и</w:t>
      </w:r>
      <w:r w:rsidRPr="00AC68FC">
        <w:rPr>
          <w:rFonts w:cstheme="minorHAnsi"/>
          <w:color w:val="000000"/>
          <w:shd w:val="clear" w:color="auto" w:fill="FFFFFF"/>
        </w:rPr>
        <w:t xml:space="preserve">нвестициите во дигитализацијата на услугите како и во технолошкиот развој </w:t>
      </w:r>
      <w:r>
        <w:rPr>
          <w:rFonts w:cstheme="minorHAnsi"/>
          <w:color w:val="000000"/>
          <w:shd w:val="clear" w:color="auto" w:fill="FFFFFF"/>
          <w:lang w:val="mk-MK"/>
        </w:rPr>
        <w:t xml:space="preserve">предвидени во Планот </w:t>
      </w:r>
      <w:r w:rsidRPr="00AC68FC">
        <w:rPr>
          <w:rFonts w:cstheme="minorHAnsi"/>
          <w:color w:val="000000"/>
          <w:shd w:val="clear" w:color="auto" w:fill="FFFFFF"/>
        </w:rPr>
        <w:t>се предуслов за развој и економски раст на земјата.</w:t>
      </w:r>
      <w:r>
        <w:rPr>
          <w:rFonts w:cstheme="minorHAnsi"/>
          <w:color w:val="000000"/>
          <w:shd w:val="clear" w:color="auto" w:fill="FFFFFF"/>
          <w:lang w:val="mk-MK"/>
        </w:rPr>
        <w:t xml:space="preserve"> Усогласеноста со Стратегијата за РЈА се огледа преку мерките и активностите кои ќе придонесат кон забрзана дигитализација на процесите во администрацијата и обезбедувањето на услугите, а тоа ќе доведе со создавање на услови за економски раст.  </w:t>
      </w:r>
    </w:p>
    <w:p w14:paraId="6BC0CC37" w14:textId="77777777" w:rsidR="00457BED" w:rsidRPr="00872923" w:rsidRDefault="00457BED" w:rsidP="00457BED">
      <w:pPr>
        <w:spacing w:after="0"/>
        <w:jc w:val="both"/>
        <w:rPr>
          <w:rFonts w:cstheme="minorHAnsi"/>
          <w:lang w:val="mk-MK"/>
        </w:rPr>
      </w:pPr>
    </w:p>
    <w:bookmarkEnd w:id="0"/>
    <w:p w14:paraId="2695111C" w14:textId="77777777" w:rsidR="00803190" w:rsidRPr="00AC68FC" w:rsidRDefault="00803190" w:rsidP="00633686">
      <w:pPr>
        <w:spacing w:after="0"/>
        <w:jc w:val="both"/>
        <w:rPr>
          <w:rFonts w:cs="Calibri"/>
          <w:b/>
          <w:bCs/>
          <w:lang w:val="mk-MK"/>
        </w:rPr>
      </w:pPr>
      <w:r w:rsidRPr="00AC68FC">
        <w:rPr>
          <w:rFonts w:cs="Calibri"/>
          <w:b/>
          <w:bCs/>
          <w:lang w:val="mk-MK"/>
        </w:rPr>
        <w:t>Национална</w:t>
      </w:r>
      <w:r>
        <w:rPr>
          <w:rFonts w:cs="Calibri"/>
          <w:b/>
          <w:bCs/>
          <w:lang w:val="mk-MK"/>
        </w:rPr>
        <w:t>та</w:t>
      </w:r>
      <w:r w:rsidRPr="003369BD">
        <w:rPr>
          <w:bCs/>
        </w:rPr>
        <w:t xml:space="preserve"> </w:t>
      </w:r>
      <w:r w:rsidRPr="003369BD">
        <w:rPr>
          <w:b/>
          <w:bCs/>
        </w:rPr>
        <w:t>Стратегија за развој на Информациски и комуникациски технологии</w:t>
      </w:r>
      <w:r w:rsidRPr="003369BD">
        <w:rPr>
          <w:rFonts w:cs="Calibri"/>
          <w:b/>
          <w:bCs/>
          <w:lang w:val="mk-MK"/>
        </w:rPr>
        <w:t xml:space="preserve"> (2023 -2027)</w:t>
      </w:r>
    </w:p>
    <w:p w14:paraId="2AC995E9" w14:textId="77777777" w:rsidR="001F783D" w:rsidRDefault="001F783D" w:rsidP="007E0A96">
      <w:pPr>
        <w:spacing w:after="0"/>
        <w:jc w:val="both"/>
        <w:rPr>
          <w:rFonts w:cs="Calibri"/>
          <w:lang w:val="mk-MK"/>
        </w:rPr>
      </w:pPr>
    </w:p>
    <w:p w14:paraId="32682468" w14:textId="3B3DB6EB" w:rsidR="00B23468" w:rsidRDefault="00B23468" w:rsidP="00B23468">
      <w:pPr>
        <w:jc w:val="both"/>
        <w:rPr>
          <w:lang w:val="mk-MK"/>
        </w:rPr>
      </w:pPr>
      <w:r>
        <w:rPr>
          <w:lang w:val="mk-MK"/>
        </w:rPr>
        <w:t>Националната ИКТ стратегија (2023 -2027), кој е во процес на подготовка и опфаќа повеќе засегнати страни, предвидува мерки и активности насочени кон подобрување на услугите за бизнисите, како и услугите во дејностите, односно во здравството, образованието итн. Од друга страна, во рамки на четвртата приоритетна област на Стратегијата за РЈА  Давање услуги и дигитална трансформација се планираат мерки и активности кои ќе придонесат кон унапредување на услугите кои администрацијата ги нуди. Оттука, Националната ИКТ стратегија (2023 -2027) и Стратегијата за РЈА се заемно поврзани и комплементарни.  </w:t>
      </w:r>
    </w:p>
    <w:p w14:paraId="60496C77" w14:textId="25C1E24E" w:rsidR="00B23468" w:rsidRPr="00E33051" w:rsidRDefault="00B23468" w:rsidP="00B23468">
      <w:pPr>
        <w:rPr>
          <w:lang w:val="mk-MK"/>
          <w14:ligatures w14:val="standardContextual"/>
        </w:rPr>
      </w:pPr>
    </w:p>
    <w:p w14:paraId="1B3B3065" w14:textId="43425123" w:rsidR="000A08F4" w:rsidRDefault="000A08F4" w:rsidP="007E0A96">
      <w:pPr>
        <w:spacing w:after="0"/>
        <w:jc w:val="both"/>
        <w:rPr>
          <w:lang w:val="mk-MK"/>
        </w:rPr>
      </w:pPr>
    </w:p>
    <w:p w14:paraId="622F7D3C" w14:textId="55DB744D" w:rsidR="000A08F4" w:rsidRPr="00AC68FC" w:rsidRDefault="000A08F4" w:rsidP="00633686">
      <w:pPr>
        <w:spacing w:after="0"/>
        <w:jc w:val="both"/>
        <w:rPr>
          <w:rFonts w:cs="Calibri"/>
          <w:b/>
          <w:bCs/>
          <w:shd w:val="clear" w:color="auto" w:fill="FFFFFF"/>
          <w:lang w:val="mk-MK"/>
        </w:rPr>
      </w:pPr>
      <w:r w:rsidRPr="00AC68FC">
        <w:rPr>
          <w:rFonts w:cs="Calibri"/>
          <w:b/>
          <w:bCs/>
          <w:lang w:val="mk-MK"/>
        </w:rPr>
        <w:t>Национален акциски план за Партнерство за отворена власт (2021-2023)</w:t>
      </w:r>
    </w:p>
    <w:p w14:paraId="2FAD18DE" w14:textId="77777777" w:rsidR="007E0A96" w:rsidRPr="00E402B0" w:rsidRDefault="007E0A96" w:rsidP="007E0A96">
      <w:pPr>
        <w:spacing w:after="0"/>
        <w:jc w:val="both"/>
        <w:rPr>
          <w:rFonts w:eastAsia="Times New Roman" w:cs="Calibri"/>
          <w:bCs/>
          <w:color w:val="333333"/>
          <w:lang w:val="mk-MK"/>
        </w:rPr>
      </w:pPr>
    </w:p>
    <w:p w14:paraId="4AC4059F" w14:textId="6AAA3EA8" w:rsidR="000A08F4" w:rsidRDefault="007E0A96" w:rsidP="007E0A96">
      <w:pPr>
        <w:jc w:val="both"/>
        <w:rPr>
          <w:rFonts w:cs="Calibri"/>
          <w:lang w:val="mk-MK"/>
        </w:rPr>
      </w:pPr>
      <w:r w:rsidRPr="00E402B0">
        <w:rPr>
          <w:rFonts w:cs="Calibri"/>
          <w:lang w:val="mk-MK"/>
        </w:rPr>
        <w:t>Национал</w:t>
      </w:r>
      <w:r w:rsidR="000A08F4">
        <w:rPr>
          <w:rFonts w:cs="Calibri"/>
          <w:lang w:val="mk-MK"/>
        </w:rPr>
        <w:t xml:space="preserve">ниот </w:t>
      </w:r>
      <w:r w:rsidRPr="00E402B0">
        <w:rPr>
          <w:rFonts w:cs="Calibri"/>
          <w:lang w:val="mk-MK"/>
        </w:rPr>
        <w:t>акциски план за Партнерство за отворена власт (2021-2023)</w:t>
      </w:r>
      <w:r w:rsidRPr="00E402B0">
        <w:rPr>
          <w:rStyle w:val="FootnoteReference"/>
          <w:rFonts w:cs="Calibri"/>
          <w:lang w:val="mk-MK"/>
        </w:rPr>
        <w:footnoteReference w:id="14"/>
      </w:r>
      <w:r w:rsidR="00873CDE">
        <w:rPr>
          <w:rFonts w:cs="Calibri"/>
          <w:lang w:val="mk-MK"/>
        </w:rPr>
        <w:t xml:space="preserve"> претставува петти акциски план </w:t>
      </w:r>
      <w:r w:rsidR="003B0807">
        <w:rPr>
          <w:rFonts w:cs="Calibri"/>
          <w:lang w:val="mk-MK"/>
        </w:rPr>
        <w:t xml:space="preserve">од вклучувањето на </w:t>
      </w:r>
      <w:r w:rsidR="001F11B5">
        <w:rPr>
          <w:rFonts w:cs="Calibri"/>
          <w:lang w:val="mk-MK"/>
        </w:rPr>
        <w:t>ВРСМ</w:t>
      </w:r>
      <w:r w:rsidR="003B0807">
        <w:rPr>
          <w:rFonts w:cs="Calibri"/>
          <w:lang w:val="mk-MK"/>
        </w:rPr>
        <w:t xml:space="preserve"> кон иницијативата за </w:t>
      </w:r>
      <w:r w:rsidR="00E95E04">
        <w:rPr>
          <w:rFonts w:cs="Calibri"/>
          <w:lang w:val="mk-MK"/>
        </w:rPr>
        <w:t xml:space="preserve">Отворено владино партнерство во 2011 година. Националниот акциски план </w:t>
      </w:r>
      <w:r w:rsidR="00873CDE">
        <w:rPr>
          <w:rFonts w:cs="Calibri"/>
          <w:lang w:val="mk-MK"/>
        </w:rPr>
        <w:t xml:space="preserve">се надоврзува на претходните напори за вклучување на јавноста и </w:t>
      </w:r>
      <w:r w:rsidR="003B0807">
        <w:rPr>
          <w:rFonts w:cs="Calibri"/>
          <w:lang w:val="mk-MK"/>
        </w:rPr>
        <w:t xml:space="preserve">претставува </w:t>
      </w:r>
      <w:r w:rsidR="00873CDE">
        <w:rPr>
          <w:rFonts w:cs="Calibri"/>
          <w:lang w:val="mk-MK"/>
        </w:rPr>
        <w:t xml:space="preserve">продлабочување на обврските од претходните планови. Националниот план утврдува четири приоритетни области и тоа: </w:t>
      </w:r>
      <w:r w:rsidR="00475216">
        <w:rPr>
          <w:rFonts w:cs="Calibri"/>
          <w:lang w:val="mk-MK"/>
        </w:rPr>
        <w:t>транспарентност</w:t>
      </w:r>
      <w:r w:rsidR="00873CDE">
        <w:rPr>
          <w:rFonts w:cs="Calibri"/>
          <w:lang w:val="mk-MK"/>
        </w:rPr>
        <w:t xml:space="preserve">, отчетност, проактивност и </w:t>
      </w:r>
      <w:r w:rsidR="006570F1">
        <w:rPr>
          <w:rFonts w:cs="Calibri"/>
          <w:lang w:val="mk-MK"/>
        </w:rPr>
        <w:t>инклузивност</w:t>
      </w:r>
      <w:r w:rsidR="003B0807">
        <w:rPr>
          <w:rFonts w:cs="Calibri"/>
          <w:lang w:val="mk-MK"/>
        </w:rPr>
        <w:t xml:space="preserve">; </w:t>
      </w:r>
      <w:r w:rsidR="00873CDE">
        <w:rPr>
          <w:rFonts w:cs="Calibri"/>
          <w:lang w:val="mk-MK"/>
        </w:rPr>
        <w:t xml:space="preserve"> </w:t>
      </w:r>
      <w:r w:rsidR="00475216">
        <w:rPr>
          <w:rFonts w:cs="Calibri"/>
          <w:lang w:val="mk-MK"/>
        </w:rPr>
        <w:t xml:space="preserve">спречување </w:t>
      </w:r>
      <w:r w:rsidR="00873CDE">
        <w:rPr>
          <w:rFonts w:cs="Calibri"/>
          <w:lang w:val="mk-MK"/>
        </w:rPr>
        <w:t xml:space="preserve">на корупција и промовирање на добро владеење; </w:t>
      </w:r>
      <w:r w:rsidR="00475216">
        <w:rPr>
          <w:rFonts w:cs="Calibri"/>
          <w:lang w:val="mk-MK"/>
        </w:rPr>
        <w:t xml:space="preserve">испорака </w:t>
      </w:r>
      <w:r w:rsidR="00873CDE">
        <w:rPr>
          <w:rFonts w:cs="Calibri"/>
          <w:lang w:val="mk-MK"/>
        </w:rPr>
        <w:t xml:space="preserve">на јавни услуги и </w:t>
      </w:r>
      <w:r w:rsidR="00475216">
        <w:rPr>
          <w:rFonts w:cs="Calibri"/>
          <w:lang w:val="mk-MK"/>
        </w:rPr>
        <w:t>п</w:t>
      </w:r>
      <w:r w:rsidR="00873CDE">
        <w:rPr>
          <w:rFonts w:cs="Calibri"/>
          <w:lang w:val="mk-MK"/>
        </w:rPr>
        <w:t xml:space="preserve">ристап до правда. Целите и мерките утврдени во Стратегијата за РЈА  се </w:t>
      </w:r>
      <w:r w:rsidR="003B0807">
        <w:rPr>
          <w:rFonts w:cs="Calibri"/>
          <w:lang w:val="mk-MK"/>
        </w:rPr>
        <w:t xml:space="preserve">целосно </w:t>
      </w:r>
      <w:r w:rsidR="003B0807">
        <w:rPr>
          <w:rFonts w:cs="Calibri"/>
          <w:lang w:val="mk-MK"/>
        </w:rPr>
        <w:lastRenderedPageBreak/>
        <w:t xml:space="preserve">усогласени со мерките утврдени </w:t>
      </w:r>
      <w:r w:rsidR="00E95E04">
        <w:rPr>
          <w:rFonts w:cs="Calibri"/>
          <w:lang w:val="mk-MK"/>
        </w:rPr>
        <w:t xml:space="preserve">во </w:t>
      </w:r>
      <w:r w:rsidR="003B0807">
        <w:rPr>
          <w:rFonts w:cs="Calibri"/>
          <w:lang w:val="mk-MK"/>
        </w:rPr>
        <w:t xml:space="preserve">Националниот акциски план, </w:t>
      </w:r>
      <w:r w:rsidR="00E95E04">
        <w:rPr>
          <w:rFonts w:cs="Calibri"/>
          <w:lang w:val="mk-MK"/>
        </w:rPr>
        <w:t xml:space="preserve">а </w:t>
      </w:r>
      <w:r w:rsidR="003B0807">
        <w:rPr>
          <w:rFonts w:cs="Calibri"/>
          <w:lang w:val="mk-MK"/>
        </w:rPr>
        <w:t>особено во првите три приоритетни области</w:t>
      </w:r>
      <w:r w:rsidR="00E95E04">
        <w:rPr>
          <w:rFonts w:cs="Calibri"/>
          <w:lang w:val="mk-MK"/>
        </w:rPr>
        <w:t>,</w:t>
      </w:r>
      <w:r w:rsidR="003B0807">
        <w:rPr>
          <w:rFonts w:cs="Calibri"/>
          <w:lang w:val="mk-MK"/>
        </w:rPr>
        <w:t xml:space="preserve"> со што ќе се придонесе кон </w:t>
      </w:r>
      <w:r w:rsidR="00E95E04">
        <w:rPr>
          <w:rFonts w:cs="Calibri"/>
          <w:lang w:val="mk-MK"/>
        </w:rPr>
        <w:t xml:space="preserve">транспарентноста и </w:t>
      </w:r>
      <w:r w:rsidR="006570F1">
        <w:rPr>
          <w:rFonts w:cs="Calibri"/>
          <w:lang w:val="mk-MK"/>
        </w:rPr>
        <w:t>отвореноста</w:t>
      </w:r>
      <w:r w:rsidR="00E95E04">
        <w:rPr>
          <w:rFonts w:cs="Calibri"/>
          <w:lang w:val="mk-MK"/>
        </w:rPr>
        <w:t xml:space="preserve"> на </w:t>
      </w:r>
      <w:r w:rsidR="00475216">
        <w:rPr>
          <w:rFonts w:cs="Calibri"/>
          <w:lang w:val="mk-MK"/>
        </w:rPr>
        <w:t>ВРСМ</w:t>
      </w:r>
      <w:r w:rsidR="00E95E04">
        <w:rPr>
          <w:rFonts w:cs="Calibri"/>
          <w:lang w:val="mk-MK"/>
        </w:rPr>
        <w:t xml:space="preserve">. </w:t>
      </w:r>
    </w:p>
    <w:p w14:paraId="5BBECE70" w14:textId="0CC41270" w:rsidR="000A08F4" w:rsidRPr="00AC68FC" w:rsidRDefault="00987609" w:rsidP="00633686">
      <w:pPr>
        <w:jc w:val="both"/>
        <w:rPr>
          <w:rFonts w:cs="Calibri"/>
          <w:b/>
          <w:bCs/>
          <w:lang w:val="mk-MK"/>
        </w:rPr>
      </w:pPr>
      <w:r w:rsidRPr="00AC68FC">
        <w:rPr>
          <w:rFonts w:eastAsia="Times New Roman" w:cstheme="minorHAnsi"/>
          <w:b/>
          <w:bCs/>
          <w:color w:val="202124"/>
          <w:lang w:val="mk-MK"/>
        </w:rPr>
        <w:t>Стратегија за родова еднаквост 2022-2027</w:t>
      </w:r>
    </w:p>
    <w:p w14:paraId="4435CAC6" w14:textId="2E4DB0A5" w:rsidR="00987609" w:rsidRPr="00F63727" w:rsidRDefault="00987609" w:rsidP="00AC68FC">
      <w:pPr>
        <w:spacing w:line="276" w:lineRule="auto"/>
        <w:jc w:val="both"/>
        <w:rPr>
          <w:rFonts w:eastAsia="Times New Roman" w:cstheme="minorHAnsi"/>
          <w:color w:val="202124"/>
          <w:lang w:val="mk-MK"/>
        </w:rPr>
      </w:pPr>
      <w:r w:rsidRPr="00AE2E4E">
        <w:rPr>
          <w:rFonts w:eastAsia="Times New Roman" w:cstheme="minorHAnsi"/>
          <w:color w:val="202124"/>
          <w:lang w:val="mk-MK"/>
        </w:rPr>
        <w:t>Стратегија за родова еднаквост 2022-2027</w:t>
      </w:r>
      <w:r w:rsidRPr="00F63727">
        <w:rPr>
          <w:rStyle w:val="FootnoteReference"/>
          <w:rFonts w:eastAsia="Times New Roman" w:cstheme="minorHAnsi"/>
          <w:lang w:eastAsia="en-GB"/>
        </w:rPr>
        <w:footnoteReference w:id="15"/>
      </w:r>
      <w:r w:rsidR="00695C52">
        <w:rPr>
          <w:rFonts w:eastAsia="Times New Roman" w:cstheme="minorHAnsi"/>
          <w:color w:val="202124"/>
          <w:lang w:val="mk-MK"/>
        </w:rPr>
        <w:t xml:space="preserve"> е</w:t>
      </w:r>
      <w:r w:rsidRPr="00AE2E4E">
        <w:rPr>
          <w:rFonts w:eastAsia="Times New Roman" w:cstheme="minorHAnsi"/>
          <w:color w:val="202124"/>
          <w:lang w:val="mk-MK"/>
        </w:rPr>
        <w:t xml:space="preserve"> поврзана со вклучување на родовата перспектива во развојот, спроведувањето и следењето на јавните политики, воспоставувањето механизми за родова еднаквост во системот на јавната администрација и зајакнувањето на постојните. Затоа, вклучувањето на родовите аспекти во политики</w:t>
      </w:r>
      <w:r>
        <w:rPr>
          <w:rFonts w:eastAsia="Times New Roman" w:cstheme="minorHAnsi"/>
          <w:color w:val="202124"/>
          <w:lang w:val="mk-MK"/>
        </w:rPr>
        <w:t>те</w:t>
      </w:r>
      <w:r w:rsidRPr="00AE2E4E">
        <w:rPr>
          <w:rFonts w:eastAsia="Times New Roman" w:cstheme="minorHAnsi"/>
          <w:color w:val="202124"/>
          <w:lang w:val="mk-MK"/>
        </w:rPr>
        <w:t xml:space="preserve"> станува клучен пристап за поддршка на </w:t>
      </w:r>
      <w:r w:rsidR="001F11B5">
        <w:rPr>
          <w:rFonts w:eastAsia="Times New Roman" w:cstheme="minorHAnsi"/>
          <w:color w:val="202124"/>
          <w:lang w:val="mk-MK"/>
        </w:rPr>
        <w:t>ВРСМ</w:t>
      </w:r>
      <w:r w:rsidR="001F11B5" w:rsidRPr="00AE2E4E">
        <w:rPr>
          <w:rFonts w:eastAsia="Times New Roman" w:cstheme="minorHAnsi"/>
          <w:color w:val="202124"/>
          <w:lang w:val="mk-MK"/>
        </w:rPr>
        <w:t xml:space="preserve"> </w:t>
      </w:r>
      <w:r w:rsidRPr="00AE2E4E">
        <w:rPr>
          <w:rFonts w:eastAsia="Times New Roman" w:cstheme="minorHAnsi"/>
          <w:color w:val="202124"/>
          <w:lang w:val="mk-MK"/>
        </w:rPr>
        <w:t>во донесувањето одлуки</w:t>
      </w:r>
      <w:r w:rsidR="00C70A8E">
        <w:rPr>
          <w:rFonts w:eastAsia="Times New Roman" w:cstheme="minorHAnsi"/>
          <w:color w:val="202124"/>
          <w:lang w:val="mk-MK"/>
        </w:rPr>
        <w:t xml:space="preserve"> </w:t>
      </w:r>
      <w:r w:rsidRPr="00AE2E4E">
        <w:rPr>
          <w:rFonts w:eastAsia="Times New Roman" w:cstheme="minorHAnsi"/>
          <w:color w:val="202124"/>
          <w:lang w:val="mk-MK"/>
        </w:rPr>
        <w:t>за политиките за постигнување родова еднаквост</w:t>
      </w:r>
      <w:r w:rsidR="00C70A8E" w:rsidRPr="00C70A8E">
        <w:rPr>
          <w:rFonts w:eastAsia="Times New Roman" w:cstheme="minorHAnsi"/>
          <w:color w:val="202124"/>
          <w:lang w:val="mk-MK"/>
        </w:rPr>
        <w:t xml:space="preserve"> </w:t>
      </w:r>
      <w:r w:rsidR="00C70A8E">
        <w:rPr>
          <w:rFonts w:eastAsia="Times New Roman" w:cstheme="minorHAnsi"/>
          <w:color w:val="202124"/>
          <w:lang w:val="mk-MK"/>
        </w:rPr>
        <w:t>засновани на податоци</w:t>
      </w:r>
      <w:r w:rsidRPr="00AE2E4E">
        <w:rPr>
          <w:rFonts w:eastAsia="Times New Roman" w:cstheme="minorHAnsi"/>
          <w:color w:val="202124"/>
          <w:lang w:val="mk-MK"/>
        </w:rPr>
        <w:t xml:space="preserve">. </w:t>
      </w:r>
      <w:r>
        <w:rPr>
          <w:rFonts w:eastAsia="Times New Roman" w:cstheme="minorHAnsi"/>
          <w:color w:val="202124"/>
          <w:lang w:val="mk-MK"/>
        </w:rPr>
        <w:t>Имено</w:t>
      </w:r>
      <w:r w:rsidRPr="00AE2E4E">
        <w:rPr>
          <w:rFonts w:eastAsia="Times New Roman" w:cstheme="minorHAnsi"/>
          <w:color w:val="202124"/>
          <w:lang w:val="mk-MK"/>
        </w:rPr>
        <w:t xml:space="preserve">, потребни се јасни заложби и ефективни механизми за да се преточат јавните политики, програми, услуги и буџети во конкретни придобивки за мажите и жените. Тоа значи вклучување на родовата перспектива во </w:t>
      </w:r>
      <w:r w:rsidR="00C70A8E">
        <w:rPr>
          <w:rFonts w:eastAsia="Times New Roman" w:cstheme="minorHAnsi"/>
          <w:color w:val="202124"/>
          <w:lang w:val="mk-MK"/>
        </w:rPr>
        <w:t>анализата</w:t>
      </w:r>
      <w:r w:rsidRPr="00AE2E4E">
        <w:rPr>
          <w:rFonts w:eastAsia="Times New Roman" w:cstheme="minorHAnsi"/>
          <w:color w:val="202124"/>
          <w:lang w:val="mk-MK"/>
        </w:rPr>
        <w:t>, развојот, спроведувањето и евалуацијата на јавните политики и буџети</w:t>
      </w:r>
      <w:r w:rsidR="00C70A8E">
        <w:rPr>
          <w:rFonts w:eastAsia="Times New Roman" w:cstheme="minorHAnsi"/>
          <w:color w:val="202124"/>
          <w:lang w:val="mk-MK"/>
        </w:rPr>
        <w:t xml:space="preserve">. </w:t>
      </w:r>
      <w:r w:rsidRPr="00AE2E4E">
        <w:rPr>
          <w:rFonts w:eastAsia="Times New Roman" w:cstheme="minorHAnsi"/>
          <w:color w:val="202124"/>
          <w:lang w:val="mk-MK"/>
        </w:rPr>
        <w:t xml:space="preserve">За </w:t>
      </w:r>
      <w:r>
        <w:rPr>
          <w:rFonts w:eastAsia="Times New Roman" w:cstheme="minorHAnsi"/>
          <w:color w:val="202124"/>
          <w:lang w:val="mk-MK"/>
        </w:rPr>
        <w:t>С</w:t>
      </w:r>
      <w:r w:rsidRPr="00AE2E4E">
        <w:rPr>
          <w:rFonts w:eastAsia="Times New Roman" w:cstheme="minorHAnsi"/>
          <w:color w:val="202124"/>
          <w:lang w:val="mk-MK"/>
        </w:rPr>
        <w:t>тратег</w:t>
      </w:r>
      <w:r>
        <w:rPr>
          <w:rFonts w:eastAsia="Times New Roman" w:cstheme="minorHAnsi"/>
          <w:color w:val="202124"/>
          <w:lang w:val="mk-MK"/>
        </w:rPr>
        <w:t>ијата за РЈА , најрелевантни се о</w:t>
      </w:r>
      <w:r w:rsidRPr="00AE2E4E">
        <w:rPr>
          <w:rFonts w:eastAsia="Times New Roman" w:cstheme="minorHAnsi"/>
          <w:color w:val="202124"/>
          <w:lang w:val="mk-MK"/>
        </w:rPr>
        <w:t xml:space="preserve">пштата цел 1: </w:t>
      </w:r>
      <w:r w:rsidR="00475216">
        <w:rPr>
          <w:rFonts w:eastAsia="Times New Roman" w:cstheme="minorHAnsi"/>
          <w:color w:val="202124"/>
          <w:lang w:val="mk-MK"/>
        </w:rPr>
        <w:t>в</w:t>
      </w:r>
      <w:r w:rsidRPr="00AE2E4E">
        <w:rPr>
          <w:rFonts w:eastAsia="Times New Roman" w:cstheme="minorHAnsi"/>
          <w:color w:val="202124"/>
          <w:lang w:val="mk-MK"/>
        </w:rPr>
        <w:t>оспоставување ефективен и ефикасен систем за постигнување родова еднаквост на национално и локално ниво и две</w:t>
      </w:r>
      <w:r>
        <w:rPr>
          <w:rFonts w:eastAsia="Times New Roman" w:cstheme="minorHAnsi"/>
          <w:color w:val="202124"/>
          <w:lang w:val="mk-MK"/>
        </w:rPr>
        <w:t>те</w:t>
      </w:r>
      <w:r w:rsidRPr="00AE2E4E">
        <w:rPr>
          <w:rFonts w:eastAsia="Times New Roman" w:cstheme="minorHAnsi"/>
          <w:color w:val="202124"/>
          <w:lang w:val="mk-MK"/>
        </w:rPr>
        <w:t xml:space="preserve"> конкретни цели: </w:t>
      </w:r>
      <w:r w:rsidR="00475216">
        <w:rPr>
          <w:rFonts w:eastAsia="Times New Roman" w:cstheme="minorHAnsi"/>
          <w:color w:val="202124"/>
          <w:lang w:val="mk-MK"/>
        </w:rPr>
        <w:t>п</w:t>
      </w:r>
      <w:r w:rsidRPr="00AE2E4E">
        <w:rPr>
          <w:rFonts w:eastAsia="Times New Roman" w:cstheme="minorHAnsi"/>
          <w:color w:val="202124"/>
          <w:lang w:val="mk-MK"/>
        </w:rPr>
        <w:t>одобрување на механизмите за родова еднаквост на национално и локално ниво во согласност со правната рамка за родова еднаквост и</w:t>
      </w:r>
      <w:r w:rsidR="00542CCC">
        <w:rPr>
          <w:rFonts w:eastAsia="Times New Roman" w:cstheme="minorHAnsi"/>
          <w:color w:val="202124"/>
          <w:lang w:val="mk-MK"/>
        </w:rPr>
        <w:t xml:space="preserve"> </w:t>
      </w:r>
      <w:r w:rsidR="00475216">
        <w:rPr>
          <w:rFonts w:eastAsia="Times New Roman" w:cstheme="minorHAnsi"/>
          <w:color w:val="202124"/>
          <w:lang w:val="mk-MK"/>
        </w:rPr>
        <w:t>в</w:t>
      </w:r>
      <w:r w:rsidRPr="00F63727">
        <w:rPr>
          <w:rFonts w:eastAsia="Times New Roman" w:cstheme="minorHAnsi"/>
          <w:color w:val="202124"/>
          <w:lang w:val="mk-MK"/>
        </w:rPr>
        <w:t>оспоставување на функционален систем за вклучување на родовите аспекти во главните политики во креирањето јавни политики, програми и буџетски процеси на национално и локално ниво</w:t>
      </w:r>
      <w:r w:rsidR="00695C52">
        <w:rPr>
          <w:rFonts w:eastAsia="Times New Roman" w:cstheme="minorHAnsi"/>
          <w:color w:val="202124"/>
          <w:lang w:val="mk-MK"/>
        </w:rPr>
        <w:t>.</w:t>
      </w:r>
      <w:r w:rsidRPr="00F63727">
        <w:rPr>
          <w:rFonts w:eastAsia="Times New Roman" w:cstheme="minorHAnsi"/>
          <w:color w:val="202124"/>
          <w:lang w:val="mk-MK"/>
        </w:rPr>
        <w:t xml:space="preserve"> </w:t>
      </w:r>
    </w:p>
    <w:p w14:paraId="1C31E3DF" w14:textId="2E22A683" w:rsidR="000A08F4" w:rsidRPr="00AC68FC" w:rsidRDefault="00C70A8E" w:rsidP="00AC68FC">
      <w:pPr>
        <w:spacing w:line="276" w:lineRule="auto"/>
        <w:jc w:val="both"/>
        <w:rPr>
          <w:rFonts w:eastAsia="Times New Roman" w:cstheme="minorHAnsi"/>
          <w:color w:val="202124"/>
          <w:lang w:val="mk-MK"/>
        </w:rPr>
      </w:pPr>
      <w:r w:rsidRPr="00AE2E4E">
        <w:rPr>
          <w:rFonts w:eastAsia="Times New Roman" w:cstheme="minorHAnsi"/>
          <w:color w:val="202124"/>
          <w:lang w:val="mk-MK"/>
        </w:rPr>
        <w:t xml:space="preserve">Имајќи го тоа предвид, Стратегијата за </w:t>
      </w:r>
      <w:r>
        <w:rPr>
          <w:rFonts w:eastAsia="Times New Roman" w:cstheme="minorHAnsi"/>
          <w:color w:val="202124"/>
          <w:lang w:val="mk-MK"/>
        </w:rPr>
        <w:t xml:space="preserve">РЈА </w:t>
      </w:r>
      <w:r w:rsidRPr="00AE2E4E">
        <w:rPr>
          <w:rFonts w:eastAsia="Times New Roman" w:cstheme="minorHAnsi"/>
          <w:color w:val="202124"/>
          <w:lang w:val="mk-MK"/>
        </w:rPr>
        <w:t>обезбед</w:t>
      </w:r>
      <w:r>
        <w:rPr>
          <w:rFonts w:eastAsia="Times New Roman" w:cstheme="minorHAnsi"/>
          <w:color w:val="202124"/>
          <w:lang w:val="mk-MK"/>
        </w:rPr>
        <w:t>ува</w:t>
      </w:r>
      <w:r w:rsidRPr="00AE2E4E">
        <w:rPr>
          <w:rFonts w:eastAsia="Times New Roman" w:cstheme="minorHAnsi"/>
          <w:color w:val="202124"/>
          <w:lang w:val="mk-MK"/>
        </w:rPr>
        <w:t xml:space="preserve"> целосна усогласеност со националните заложби и барања кои произлегуваат од директивите и</w:t>
      </w:r>
      <w:r w:rsidR="00972921">
        <w:rPr>
          <w:rFonts w:eastAsia="Times New Roman" w:cstheme="minorHAnsi"/>
          <w:color w:val="202124"/>
          <w:lang w:val="mk-MK"/>
        </w:rPr>
        <w:t xml:space="preserve"> </w:t>
      </w:r>
      <w:r w:rsidR="00972921">
        <w:rPr>
          <w:rFonts w:cs="Calibri"/>
          <w:lang w:val="mk-MK"/>
        </w:rPr>
        <w:t xml:space="preserve">и Родовиот Акционен план за ЕУ </w:t>
      </w:r>
      <w:r w:rsidR="00972921">
        <w:rPr>
          <w:rStyle w:val="FootnoteReference"/>
          <w:rFonts w:cs="Calibri"/>
        </w:rPr>
        <w:footnoteReference w:id="16"/>
      </w:r>
      <w:r w:rsidR="00972921">
        <w:rPr>
          <w:rFonts w:cs="Calibri"/>
          <w:lang w:val="mk-MK"/>
        </w:rPr>
        <w:t>.</w:t>
      </w:r>
      <w:r w:rsidRPr="00AE2E4E">
        <w:rPr>
          <w:rFonts w:eastAsia="Times New Roman" w:cstheme="minorHAnsi"/>
          <w:color w:val="202124"/>
          <w:lang w:val="mk-MK"/>
        </w:rPr>
        <w:t>.</w:t>
      </w:r>
    </w:p>
    <w:p w14:paraId="5C0A2DDB" w14:textId="3770B27C" w:rsidR="00834A4A" w:rsidRPr="00AC68FC" w:rsidRDefault="00E368F5" w:rsidP="007E0A96">
      <w:pPr>
        <w:jc w:val="both"/>
        <w:rPr>
          <w:rFonts w:cs="Calibri"/>
          <w:b/>
          <w:bCs/>
          <w:lang w:val="mk-MK"/>
        </w:rPr>
      </w:pPr>
      <w:r>
        <w:rPr>
          <w:b/>
          <w:bCs/>
        </w:rPr>
        <w:t xml:space="preserve">Стратегијата на Владата </w:t>
      </w:r>
      <w:r w:rsidR="00834A4A" w:rsidRPr="00AC68FC">
        <w:rPr>
          <w:b/>
          <w:bCs/>
        </w:rPr>
        <w:t>за соработка со и развој на граѓанското општество 2022-2024</w:t>
      </w:r>
    </w:p>
    <w:p w14:paraId="37F7B026" w14:textId="55DEB1D8" w:rsidR="00834A4A" w:rsidRPr="00972921" w:rsidRDefault="00834A4A" w:rsidP="007E0A96">
      <w:pPr>
        <w:jc w:val="both"/>
        <w:rPr>
          <w:rFonts w:cs="Calibri"/>
          <w:lang w:val="mk-MK"/>
        </w:rPr>
      </w:pPr>
      <w:r>
        <w:t>Визија на Стратегијата за соработка со и развој на граѓанското општество 2022-2024</w:t>
      </w:r>
      <w:r>
        <w:rPr>
          <w:rStyle w:val="FootnoteReference"/>
        </w:rPr>
        <w:footnoteReference w:id="17"/>
      </w:r>
      <w:r>
        <w:t xml:space="preserve"> е унапредување на околината во која функционира и се развива граѓанското општество кое придонесува во зајакнување на демократското управување и воспоставување на структурен дијалог со граѓанското општество. Главна цел на Стратегијата е обезбедување на поттикнувачка и одржлива околина во која функционира и се развива граѓанското општество што овозможува динамични, независни, активни и одржливи граѓански организации коишто придонесуваат во зајакнување на демократското управување, ги рефлектираат интересите и потребите на граѓаните и се вклучуваат во структурен дијалог за унапредување на општеството. Стратегијата се заснова врз принципите на: заемна доверба, партнерство, независност, плурализам, учество, транспарентност (јавност), одговорност и еднакви можности и недискриминација</w:t>
      </w:r>
      <w:r w:rsidR="00972921">
        <w:rPr>
          <w:lang w:val="mk-MK"/>
        </w:rPr>
        <w:t>.</w:t>
      </w:r>
    </w:p>
    <w:p w14:paraId="5CC2C566" w14:textId="42844D2A" w:rsidR="00834A4A" w:rsidRDefault="00945FF7" w:rsidP="007E0A96">
      <w:pPr>
        <w:jc w:val="both"/>
        <w:rPr>
          <w:rFonts w:cs="Calibri"/>
          <w:lang w:val="mk-MK"/>
        </w:rPr>
      </w:pPr>
      <w:r>
        <w:rPr>
          <w:rFonts w:cs="Calibri"/>
          <w:lang w:val="mk-MK"/>
        </w:rPr>
        <w:t xml:space="preserve">Стратегијата за РЈА , особено преку посебните цели во </w:t>
      </w:r>
      <w:r w:rsidR="006570F1">
        <w:rPr>
          <w:rFonts w:cs="Calibri"/>
          <w:lang w:val="mk-MK"/>
        </w:rPr>
        <w:t>приоритетната</w:t>
      </w:r>
      <w:r>
        <w:rPr>
          <w:rFonts w:cs="Calibri"/>
          <w:lang w:val="mk-MK"/>
        </w:rPr>
        <w:t xml:space="preserve"> област Креирање политики и координација, ќе придонесе кон градење на партнерство и учество на граѓанското општество во планирањето и креирањето на политиките.</w:t>
      </w:r>
    </w:p>
    <w:p w14:paraId="1E9FD451" w14:textId="0C2828DB" w:rsidR="007E0A96" w:rsidRDefault="00695C52" w:rsidP="007E0A96">
      <w:pPr>
        <w:jc w:val="both"/>
        <w:rPr>
          <w:rFonts w:cs="Calibri"/>
          <w:lang w:val="mk-MK"/>
        </w:rPr>
      </w:pPr>
      <w:r>
        <w:rPr>
          <w:rFonts w:cs="Calibri"/>
          <w:lang w:val="mk-MK"/>
        </w:rPr>
        <w:lastRenderedPageBreak/>
        <w:t xml:space="preserve">Покрај горенаведените плански документи, Стратегијата за РЈА  е комплементарна со </w:t>
      </w:r>
      <w:r w:rsidR="007E0A96" w:rsidRPr="00E402B0">
        <w:rPr>
          <w:rFonts w:cs="Calibri"/>
          <w:lang w:val="mk-MK"/>
        </w:rPr>
        <w:t>Националната програма за усвојување на правото на Европската унија</w:t>
      </w:r>
      <w:r w:rsidR="007E0A96" w:rsidRPr="00E402B0">
        <w:rPr>
          <w:rFonts w:cs="Calibri"/>
          <w:vertAlign w:val="superscript"/>
          <w:lang w:val="mk-MK"/>
        </w:rPr>
        <w:footnoteReference w:id="18"/>
      </w:r>
      <w:r w:rsidR="007E0A96" w:rsidRPr="00E402B0">
        <w:rPr>
          <w:rFonts w:cs="Calibri"/>
          <w:lang w:val="mk-MK"/>
        </w:rPr>
        <w:t>; Стратегија за реформа на даночниот систем (2021-2025)</w:t>
      </w:r>
      <w:r w:rsidR="007E0A96" w:rsidRPr="00E402B0">
        <w:rPr>
          <w:rStyle w:val="FootnoteReference"/>
          <w:rFonts w:cs="Calibri"/>
          <w:lang w:val="mk-MK"/>
        </w:rPr>
        <w:footnoteReference w:id="19"/>
      </w:r>
      <w:r w:rsidR="007E0A96" w:rsidRPr="00E402B0">
        <w:rPr>
          <w:rFonts w:cs="Calibri"/>
          <w:lang w:val="mk-MK"/>
        </w:rPr>
        <w:t xml:space="preserve">; Ревидираната Фискална стратегија на </w:t>
      </w:r>
      <w:r w:rsidR="00E368F5">
        <w:rPr>
          <w:rFonts w:cs="Calibri"/>
          <w:lang w:val="mk-MK"/>
        </w:rPr>
        <w:t xml:space="preserve">МКД </w:t>
      </w:r>
      <w:r w:rsidR="007E0A96" w:rsidRPr="00E402B0">
        <w:rPr>
          <w:rFonts w:cs="Calibri"/>
          <w:lang w:val="mk-MK"/>
        </w:rPr>
        <w:t xml:space="preserve"> 2022-2024 (со изгледи до 2026</w:t>
      </w:r>
      <w:r w:rsidR="007E0A96" w:rsidRPr="00E402B0">
        <w:rPr>
          <w:rFonts w:cs="Calibri"/>
        </w:rPr>
        <w:t>)</w:t>
      </w:r>
      <w:r w:rsidR="007E0A96" w:rsidRPr="00E402B0">
        <w:rPr>
          <w:rStyle w:val="FootnoteReference"/>
          <w:rFonts w:cs="Calibri"/>
        </w:rPr>
        <w:footnoteReference w:id="20"/>
      </w:r>
      <w:r w:rsidR="007E0A96" w:rsidRPr="00E402B0">
        <w:rPr>
          <w:rFonts w:cs="Calibri"/>
          <w:lang w:val="mk-MK"/>
        </w:rPr>
        <w:t xml:space="preserve"> и др. релевантни документи, како на пример Дигиталната агенда за Европа</w:t>
      </w:r>
      <w:r w:rsidR="007E0A96" w:rsidRPr="00E402B0">
        <w:rPr>
          <w:rStyle w:val="FootnoteReference"/>
          <w:rFonts w:cs="Calibri"/>
          <w:lang w:val="mk-MK"/>
        </w:rPr>
        <w:footnoteReference w:id="21"/>
      </w:r>
      <w:r w:rsidR="00972921">
        <w:rPr>
          <w:rFonts w:cs="Calibri"/>
          <w:lang w:val="mk-MK"/>
        </w:rPr>
        <w:t>.</w:t>
      </w:r>
    </w:p>
    <w:p w14:paraId="13A4397B" w14:textId="3EE017BA" w:rsidR="00695C52" w:rsidRDefault="00954170" w:rsidP="00BC2BB0">
      <w:pPr>
        <w:spacing w:line="276" w:lineRule="auto"/>
        <w:jc w:val="both"/>
        <w:rPr>
          <w:rFonts w:eastAsia="Times New Roman" w:cstheme="minorHAnsi"/>
          <w:color w:val="202124"/>
          <w:lang w:val="mk-MK"/>
        </w:rPr>
      </w:pPr>
      <w:r>
        <w:rPr>
          <w:rFonts w:eastAsia="Times New Roman" w:cstheme="minorHAnsi"/>
          <w:color w:val="202124"/>
          <w:lang w:val="mk-MK"/>
        </w:rPr>
        <w:t xml:space="preserve">Имајќи ја предвид пошироката слика, треба да се нагласи комплементарноста и конзистентноста на Стратегијата за РЈА  со </w:t>
      </w:r>
      <w:r w:rsidRPr="00AC68FC">
        <w:rPr>
          <w:rFonts w:eastAsia="Times New Roman" w:cstheme="minorHAnsi"/>
          <w:b/>
          <w:bCs/>
          <w:color w:val="202124"/>
          <w:lang w:val="mk-MK"/>
        </w:rPr>
        <w:t>Програмската рамка за ИПА 3</w:t>
      </w:r>
      <w:r w:rsidR="00872FA1">
        <w:rPr>
          <w:rStyle w:val="FootnoteReference"/>
          <w:rFonts w:eastAsia="Times New Roman" w:cstheme="minorHAnsi"/>
          <w:b/>
          <w:bCs/>
          <w:color w:val="202124"/>
          <w:lang w:val="mk-MK"/>
        </w:rPr>
        <w:footnoteReference w:id="22"/>
      </w:r>
      <w:r>
        <w:rPr>
          <w:rFonts w:eastAsia="Times New Roman" w:cstheme="minorHAnsi"/>
          <w:color w:val="202124"/>
          <w:lang w:val="mk-MK"/>
        </w:rPr>
        <w:t xml:space="preserve"> каде се истакнува доброто </w:t>
      </w:r>
      <w:r w:rsidR="00872FA1">
        <w:rPr>
          <w:rFonts w:eastAsia="Times New Roman" w:cstheme="minorHAnsi"/>
          <w:color w:val="202124"/>
          <w:lang w:val="mk-MK"/>
        </w:rPr>
        <w:t xml:space="preserve">владеење </w:t>
      </w:r>
      <w:r>
        <w:rPr>
          <w:rFonts w:eastAsia="Times New Roman" w:cstheme="minorHAnsi"/>
          <w:color w:val="202124"/>
          <w:lang w:val="mk-MK"/>
        </w:rPr>
        <w:t xml:space="preserve">како еден </w:t>
      </w:r>
      <w:r w:rsidR="00872FA1">
        <w:rPr>
          <w:rFonts w:eastAsia="Times New Roman" w:cstheme="minorHAnsi"/>
          <w:color w:val="202124"/>
          <w:lang w:val="mk-MK"/>
        </w:rPr>
        <w:t>о</w:t>
      </w:r>
      <w:r>
        <w:rPr>
          <w:rFonts w:eastAsia="Times New Roman" w:cstheme="minorHAnsi"/>
          <w:color w:val="202124"/>
          <w:lang w:val="mk-MK"/>
        </w:rPr>
        <w:t xml:space="preserve">д трите основни столба на процесот на проширување </w:t>
      </w:r>
      <w:r w:rsidR="00872FA1">
        <w:rPr>
          <w:rFonts w:eastAsia="Times New Roman" w:cstheme="minorHAnsi"/>
          <w:color w:val="202124"/>
          <w:lang w:val="mk-MK"/>
        </w:rPr>
        <w:t xml:space="preserve">и темел на ефикасното спроведување на политиките и правната рамка на ЕУ. Капацитетот на јавната администрација, како на централно така и на локално ниво, треба да обезбеди доследна примена на правната и стратешката рамка, на стандардите за добро владеење и квалитетно управување со човечките ресури што директно влијае на процесот на реформи и спроведување на политиките, обезбедувањето на квалитетни услуги и, конечно, влијае на квалитетот на животот на граѓаните. Имајќи го ова во предвид, Стратегијата за РЈА  преку четирите </w:t>
      </w:r>
      <w:r w:rsidR="00386E93">
        <w:rPr>
          <w:rFonts w:eastAsia="Times New Roman" w:cstheme="minorHAnsi"/>
          <w:color w:val="202124"/>
          <w:lang w:val="mk-MK"/>
        </w:rPr>
        <w:t>приоритетните</w:t>
      </w:r>
      <w:r w:rsidR="00872FA1">
        <w:rPr>
          <w:rFonts w:eastAsia="Times New Roman" w:cstheme="minorHAnsi"/>
          <w:color w:val="202124"/>
          <w:lang w:val="mk-MK"/>
        </w:rPr>
        <w:t xml:space="preserve"> области и утврдените цели и мерки директно придонесуваат кон остварување на целите на Програмската рамка на ИПА 3. </w:t>
      </w:r>
    </w:p>
    <w:p w14:paraId="1A00A1DC" w14:textId="35FB141C" w:rsidR="00496572" w:rsidRPr="00AA5F95" w:rsidRDefault="00A9479A" w:rsidP="00271DD6">
      <w:pPr>
        <w:spacing w:line="276" w:lineRule="auto"/>
        <w:jc w:val="both"/>
        <w:rPr>
          <w:rFonts w:eastAsia="Times New Roman" w:cstheme="minorHAnsi"/>
          <w:color w:val="202124"/>
          <w:lang w:val="mk-MK"/>
        </w:rPr>
      </w:pPr>
      <w:r>
        <w:rPr>
          <w:rFonts w:eastAsia="Times New Roman" w:cstheme="minorHAnsi"/>
          <w:color w:val="202124"/>
          <w:lang w:val="mk-MK"/>
        </w:rPr>
        <w:t>Воедно, д</w:t>
      </w:r>
      <w:r w:rsidR="00496572" w:rsidRPr="00AE2E4E">
        <w:rPr>
          <w:rFonts w:eastAsia="Times New Roman" w:cstheme="minorHAnsi"/>
          <w:color w:val="202124"/>
          <w:lang w:val="mk-MK"/>
        </w:rPr>
        <w:t xml:space="preserve">оброто владеење и јавната администрација ориентирана кон граѓаните се од витално значење за </w:t>
      </w:r>
      <w:r w:rsidR="00496572" w:rsidRPr="00271DD6">
        <w:rPr>
          <w:rFonts w:eastAsia="Times New Roman" w:cstheme="minorHAnsi"/>
          <w:color w:val="202124"/>
          <w:lang w:val="mk-MK"/>
        </w:rPr>
        <w:t>постигнување на</w:t>
      </w:r>
      <w:r w:rsidR="00496572" w:rsidRPr="00AC68FC">
        <w:rPr>
          <w:rFonts w:eastAsia="Times New Roman" w:cstheme="minorHAnsi"/>
          <w:b/>
          <w:bCs/>
          <w:color w:val="202124"/>
          <w:lang w:val="mk-MK"/>
        </w:rPr>
        <w:t xml:space="preserve"> </w:t>
      </w:r>
      <w:r>
        <w:rPr>
          <w:rFonts w:eastAsia="Times New Roman" w:cstheme="minorHAnsi"/>
          <w:b/>
          <w:bCs/>
          <w:color w:val="202124"/>
          <w:lang w:val="mk-MK"/>
        </w:rPr>
        <w:t>Ц</w:t>
      </w:r>
      <w:r w:rsidR="00496572" w:rsidRPr="00AC68FC">
        <w:rPr>
          <w:rFonts w:eastAsia="Times New Roman" w:cstheme="minorHAnsi"/>
          <w:b/>
          <w:bCs/>
          <w:color w:val="202124"/>
          <w:lang w:val="mk-MK"/>
        </w:rPr>
        <w:t xml:space="preserve">елите за одржлив развој </w:t>
      </w:r>
      <w:r w:rsidR="00734AA0">
        <w:rPr>
          <w:rFonts w:eastAsia="Times New Roman" w:cstheme="minorHAnsi"/>
          <w:b/>
          <w:bCs/>
          <w:color w:val="202124"/>
          <w:lang w:val="en-US"/>
        </w:rPr>
        <w:t xml:space="preserve">2030 </w:t>
      </w:r>
      <w:r w:rsidR="00496572" w:rsidRPr="00AC68FC">
        <w:rPr>
          <w:rFonts w:eastAsia="Times New Roman" w:cstheme="minorHAnsi"/>
          <w:b/>
          <w:bCs/>
          <w:color w:val="202124"/>
          <w:lang w:val="mk-MK"/>
        </w:rPr>
        <w:t>на ОН</w:t>
      </w:r>
      <w:r w:rsidR="00496572" w:rsidRPr="00AE2E4E">
        <w:rPr>
          <w:rFonts w:eastAsia="Times New Roman" w:cstheme="minorHAnsi"/>
          <w:color w:val="202124"/>
          <w:lang w:val="mk-MK"/>
        </w:rPr>
        <w:t xml:space="preserve">. Транспарентното, оперативно и одговорно јавно управување е </w:t>
      </w:r>
      <w:r w:rsidR="00734AA0">
        <w:rPr>
          <w:rFonts w:eastAsia="Times New Roman" w:cstheme="minorHAnsi"/>
          <w:color w:val="202124"/>
          <w:lang w:val="mk-MK"/>
        </w:rPr>
        <w:t xml:space="preserve">клучна </w:t>
      </w:r>
      <w:r w:rsidR="00496572" w:rsidRPr="00AE2E4E">
        <w:rPr>
          <w:rFonts w:eastAsia="Times New Roman" w:cstheme="minorHAnsi"/>
          <w:color w:val="202124"/>
          <w:lang w:val="mk-MK"/>
        </w:rPr>
        <w:t xml:space="preserve">компонента на социјалниот и економскиот развој, човековите права, безбедноста, демократизацијата и родовата еднаквост. </w:t>
      </w:r>
      <w:r w:rsidR="00734AA0">
        <w:rPr>
          <w:rFonts w:eastAsia="Times New Roman" w:cstheme="minorHAnsi"/>
          <w:color w:val="202124"/>
          <w:lang w:val="mk-MK"/>
        </w:rPr>
        <w:t>Реформата на јавната администрација е посредно поврзана со постигнувањето на Целите за одржлив развој</w:t>
      </w:r>
      <w:r w:rsidR="00271DD6">
        <w:rPr>
          <w:rFonts w:eastAsia="Times New Roman" w:cstheme="minorHAnsi"/>
          <w:color w:val="202124"/>
          <w:lang w:val="mk-MK"/>
        </w:rPr>
        <w:t xml:space="preserve"> 2030</w:t>
      </w:r>
      <w:r w:rsidR="00734AA0">
        <w:rPr>
          <w:rFonts w:eastAsia="Times New Roman" w:cstheme="minorHAnsi"/>
          <w:color w:val="202124"/>
          <w:lang w:val="mk-MK"/>
        </w:rPr>
        <w:t xml:space="preserve">, </w:t>
      </w:r>
      <w:r w:rsidR="00271DD6">
        <w:rPr>
          <w:rFonts w:eastAsia="Times New Roman" w:cstheme="minorHAnsi"/>
          <w:color w:val="202124"/>
          <w:lang w:val="mk-MK"/>
        </w:rPr>
        <w:t xml:space="preserve">а </w:t>
      </w:r>
      <w:r w:rsidR="00734AA0">
        <w:rPr>
          <w:rFonts w:eastAsia="Times New Roman" w:cstheme="minorHAnsi"/>
          <w:color w:val="202124"/>
          <w:lang w:val="mk-MK"/>
        </w:rPr>
        <w:t>Стратегијата за РЈА (2023-2030) придонесува кон Целта 8</w:t>
      </w:r>
      <w:r w:rsidR="00271DD6">
        <w:rPr>
          <w:rFonts w:eastAsia="Times New Roman" w:cstheme="minorHAnsi"/>
          <w:color w:val="202124"/>
          <w:lang w:val="mk-MK"/>
        </w:rPr>
        <w:t xml:space="preserve"> </w:t>
      </w:r>
      <w:r w:rsidR="00734AA0">
        <w:rPr>
          <w:rFonts w:eastAsia="Times New Roman" w:cstheme="minorHAnsi"/>
          <w:color w:val="202124"/>
          <w:lang w:val="mk-MK"/>
        </w:rPr>
        <w:t>-</w:t>
      </w:r>
      <w:r w:rsidR="00271DD6">
        <w:rPr>
          <w:rFonts w:eastAsia="Times New Roman" w:cstheme="minorHAnsi"/>
          <w:color w:val="202124"/>
          <w:lang w:val="mk-MK"/>
        </w:rPr>
        <w:t xml:space="preserve"> </w:t>
      </w:r>
      <w:r w:rsidR="00496572" w:rsidRPr="00AE2E4E">
        <w:rPr>
          <w:rFonts w:eastAsia="Times New Roman" w:cstheme="minorHAnsi"/>
          <w:color w:val="202124"/>
          <w:lang w:val="mk-MK"/>
        </w:rPr>
        <w:t>промовирање инклузивен и одржлив економски раст, вработување и пристојна работа за сите</w:t>
      </w:r>
      <w:r w:rsidR="00734AA0">
        <w:rPr>
          <w:rFonts w:eastAsia="Times New Roman" w:cstheme="minorHAnsi"/>
          <w:color w:val="202124"/>
          <w:lang w:val="mk-MK"/>
        </w:rPr>
        <w:t xml:space="preserve">, Цел </w:t>
      </w:r>
      <w:r w:rsidR="00496572">
        <w:rPr>
          <w:rFonts w:eastAsia="Times New Roman" w:cstheme="minorHAnsi"/>
          <w:color w:val="202124"/>
          <w:lang w:val="mk-MK"/>
        </w:rPr>
        <w:t>16</w:t>
      </w:r>
      <w:r w:rsidR="00271DD6">
        <w:rPr>
          <w:rStyle w:val="FootnoteReference"/>
          <w:rFonts w:eastAsia="Times New Roman" w:cstheme="minorHAnsi"/>
          <w:color w:val="202124"/>
          <w:lang w:val="mk-MK"/>
        </w:rPr>
        <w:footnoteReference w:id="23"/>
      </w:r>
      <w:r w:rsidR="00496572">
        <w:rPr>
          <w:rFonts w:eastAsia="Times New Roman" w:cstheme="minorHAnsi"/>
          <w:color w:val="202124"/>
          <w:lang w:val="mk-MK"/>
        </w:rPr>
        <w:t xml:space="preserve"> </w:t>
      </w:r>
      <w:r w:rsidR="00734AA0">
        <w:rPr>
          <w:rFonts w:eastAsia="Times New Roman" w:cstheme="minorHAnsi"/>
          <w:color w:val="202124"/>
          <w:lang w:val="mk-MK"/>
        </w:rPr>
        <w:t xml:space="preserve">- </w:t>
      </w:r>
      <w:r w:rsidR="00496572" w:rsidRPr="00AE2E4E">
        <w:rPr>
          <w:rFonts w:eastAsia="Times New Roman" w:cstheme="minorHAnsi"/>
          <w:color w:val="202124"/>
          <w:lang w:val="mk-MK"/>
        </w:rPr>
        <w:t>промоција на мирни и инклузивни општества, обезбедување пристап до правда за сите и градење ефективни, одговорни институции на сите нивоа</w:t>
      </w:r>
      <w:r w:rsidR="00271DD6">
        <w:rPr>
          <w:rFonts w:eastAsia="Times New Roman" w:cstheme="minorHAnsi"/>
          <w:color w:val="202124"/>
          <w:lang w:val="en-US"/>
        </w:rPr>
        <w:t xml:space="preserve">, </w:t>
      </w:r>
      <w:r w:rsidR="00271DD6">
        <w:rPr>
          <w:rFonts w:eastAsia="Times New Roman" w:cstheme="minorHAnsi"/>
          <w:color w:val="202124"/>
          <w:lang w:val="mk-MK"/>
        </w:rPr>
        <w:t xml:space="preserve">како и Цел 17 – Партнерство за </w:t>
      </w:r>
      <w:r w:rsidR="00386E93">
        <w:rPr>
          <w:rFonts w:eastAsia="Times New Roman" w:cstheme="minorHAnsi"/>
          <w:color w:val="202124"/>
          <w:lang w:val="mk-MK"/>
        </w:rPr>
        <w:t>постигнување</w:t>
      </w:r>
      <w:r w:rsidR="00271DD6">
        <w:rPr>
          <w:rFonts w:eastAsia="Times New Roman" w:cstheme="minorHAnsi"/>
          <w:color w:val="202124"/>
          <w:lang w:val="mk-MK"/>
        </w:rPr>
        <w:t xml:space="preserve"> на целите. </w:t>
      </w:r>
      <w:r w:rsidR="00496572" w:rsidRPr="00AE2E4E">
        <w:rPr>
          <w:rFonts w:eastAsia="Times New Roman" w:cstheme="minorHAnsi"/>
          <w:color w:val="202124"/>
          <w:lang w:val="mk-MK"/>
        </w:rPr>
        <w:t xml:space="preserve"> </w:t>
      </w:r>
    </w:p>
    <w:p w14:paraId="72F9A1D5" w14:textId="5635334A" w:rsidR="007E0A96" w:rsidRDefault="007E0A96" w:rsidP="007E0A96">
      <w:pPr>
        <w:jc w:val="both"/>
        <w:rPr>
          <w:rFonts w:cs="Calibri"/>
          <w:shd w:val="clear" w:color="auto" w:fill="FFFFFF"/>
          <w:lang w:val="mk-MK"/>
        </w:rPr>
      </w:pPr>
      <w:r w:rsidRPr="00E402B0">
        <w:rPr>
          <w:rFonts w:cs="Calibri"/>
          <w:shd w:val="clear" w:color="auto" w:fill="FFFFFF"/>
          <w:lang w:val="mk-MK"/>
        </w:rPr>
        <w:lastRenderedPageBreak/>
        <w:t xml:space="preserve">Општите и посебните цели, како и мерките предвидени во Стратегијата за </w:t>
      </w:r>
      <w:r w:rsidR="00A9479A">
        <w:rPr>
          <w:rFonts w:cs="Calibri"/>
          <w:shd w:val="clear" w:color="auto" w:fill="FFFFFF"/>
          <w:lang w:val="mk-MK"/>
        </w:rPr>
        <w:t xml:space="preserve">РЈА </w:t>
      </w:r>
      <w:r w:rsidRPr="00E402B0">
        <w:rPr>
          <w:rFonts w:cs="Calibri"/>
          <w:shd w:val="clear" w:color="auto" w:fill="FFFFFF"/>
          <w:lang w:val="mk-MK"/>
        </w:rPr>
        <w:t>(2023-2030) отсликуваат секторски пристап во креирањето на политиките, планирањето на средствата, зајакнувањето на административните капацитети и посветеност во усогласување на националното законодавство со европското законодавство.</w:t>
      </w:r>
    </w:p>
    <w:p w14:paraId="51FD77A5" w14:textId="77777777" w:rsidR="00981BC4" w:rsidRPr="00E402B0" w:rsidRDefault="00981BC4" w:rsidP="007E0A96">
      <w:pPr>
        <w:jc w:val="both"/>
        <w:rPr>
          <w:rFonts w:cs="Calibri"/>
          <w:shd w:val="clear" w:color="auto" w:fill="FFFFFF"/>
          <w:lang w:val="mk-MK"/>
        </w:rPr>
      </w:pPr>
    </w:p>
    <w:p w14:paraId="075D7506" w14:textId="49B79473" w:rsidR="007E0A96" w:rsidRDefault="00E9655A" w:rsidP="00E9655A">
      <w:pPr>
        <w:pStyle w:val="Heading2"/>
        <w:numPr>
          <w:ilvl w:val="1"/>
          <w:numId w:val="1"/>
        </w:numPr>
        <w:rPr>
          <w:lang w:val="mk-MK"/>
        </w:rPr>
      </w:pPr>
      <w:r>
        <w:rPr>
          <w:lang w:val="mk-MK"/>
        </w:rPr>
        <w:t xml:space="preserve">Методолошки пристап во подготвувањето на стратегијата </w:t>
      </w:r>
    </w:p>
    <w:p w14:paraId="7DA6C5D9" w14:textId="77777777" w:rsidR="00CF635C" w:rsidRDefault="00CF635C" w:rsidP="00E9655A">
      <w:pPr>
        <w:jc w:val="both"/>
        <w:rPr>
          <w:rFonts w:cs="Calibri"/>
          <w:shd w:val="clear" w:color="auto" w:fill="FFFFFF"/>
          <w:lang w:val="mk-MK"/>
        </w:rPr>
      </w:pPr>
    </w:p>
    <w:p w14:paraId="1B7F19DF" w14:textId="0B4BC573" w:rsidR="00945FF7" w:rsidRPr="00E402B0" w:rsidRDefault="00FB25B3" w:rsidP="00945FF7">
      <w:pPr>
        <w:jc w:val="both"/>
        <w:rPr>
          <w:rFonts w:cs="Calibri"/>
          <w:shd w:val="clear" w:color="auto" w:fill="FFFFFF"/>
          <w:lang w:val="mk-MK"/>
        </w:rPr>
      </w:pPr>
      <w:r w:rsidRPr="00B5617C">
        <w:rPr>
          <w:rFonts w:cs="Calibri"/>
          <w:shd w:val="clear" w:color="auto" w:fill="FFFFFF"/>
          <w:lang w:val="mk-MK"/>
        </w:rPr>
        <w:t>МИОА</w:t>
      </w:r>
      <w:r w:rsidR="00945FF7" w:rsidRPr="00B5617C">
        <w:rPr>
          <w:rFonts w:cs="Calibri"/>
          <w:shd w:val="clear" w:color="auto" w:fill="FFFFFF"/>
          <w:lang w:val="mk-MK"/>
        </w:rPr>
        <w:t>, во</w:t>
      </w:r>
      <w:r w:rsidR="00945FF7" w:rsidRPr="00E402B0">
        <w:rPr>
          <w:rFonts w:cs="Calibri"/>
          <w:shd w:val="clear" w:color="auto" w:fill="FFFFFF"/>
          <w:lang w:val="mk-MK"/>
        </w:rPr>
        <w:t xml:space="preserve"> соработка со СИГМА</w:t>
      </w:r>
      <w:r w:rsidR="00945FF7">
        <w:rPr>
          <w:rFonts w:cs="Calibri"/>
          <w:shd w:val="clear" w:color="auto" w:fill="FFFFFF"/>
          <w:lang w:val="mk-MK"/>
        </w:rPr>
        <w:t>,</w:t>
      </w:r>
      <w:r w:rsidR="00945FF7" w:rsidRPr="00E402B0">
        <w:rPr>
          <w:rFonts w:cs="Calibri"/>
          <w:shd w:val="clear" w:color="auto" w:fill="FFFFFF"/>
          <w:lang w:val="mk-MK"/>
        </w:rPr>
        <w:t xml:space="preserve"> организираше подготвителна работилница за Стратегија</w:t>
      </w:r>
      <w:r w:rsidR="00945FF7">
        <w:rPr>
          <w:rFonts w:cs="Calibri"/>
          <w:shd w:val="clear" w:color="auto" w:fill="FFFFFF"/>
          <w:lang w:val="mk-MK"/>
        </w:rPr>
        <w:t>та</w:t>
      </w:r>
      <w:r w:rsidR="00945FF7" w:rsidRPr="00E402B0">
        <w:rPr>
          <w:rFonts w:cs="Calibri"/>
          <w:shd w:val="clear" w:color="auto" w:fill="FFFFFF"/>
          <w:lang w:val="mk-MK"/>
        </w:rPr>
        <w:t xml:space="preserve"> за </w:t>
      </w:r>
      <w:r w:rsidR="00945FF7">
        <w:rPr>
          <w:rFonts w:cs="Calibri"/>
          <w:shd w:val="clear" w:color="auto" w:fill="FFFFFF"/>
          <w:lang w:val="mk-MK"/>
        </w:rPr>
        <w:t>РЈА</w:t>
      </w:r>
      <w:r w:rsidR="00945FF7" w:rsidRPr="00E402B0">
        <w:rPr>
          <w:rFonts w:cs="Calibri"/>
          <w:shd w:val="clear" w:color="auto" w:fill="FFFFFF"/>
          <w:lang w:val="mk-MK"/>
        </w:rPr>
        <w:t xml:space="preserve"> </w:t>
      </w:r>
      <w:r w:rsidR="00945FF7" w:rsidRPr="00E402B0">
        <w:rPr>
          <w:rFonts w:cs="Calibri"/>
          <w:lang w:val="mk-MK"/>
        </w:rPr>
        <w:t>на</w:t>
      </w:r>
      <w:r w:rsidR="00945FF7" w:rsidRPr="00E402B0">
        <w:rPr>
          <w:rFonts w:cs="Calibri"/>
          <w:shd w:val="clear" w:color="auto" w:fill="FFFFFF"/>
          <w:lang w:val="mk-MK"/>
        </w:rPr>
        <w:t xml:space="preserve"> </w:t>
      </w:r>
      <w:r w:rsidR="00945FF7" w:rsidRPr="00E402B0">
        <w:rPr>
          <w:rFonts w:cs="Calibri"/>
          <w:lang w:val="mk-MK"/>
        </w:rPr>
        <w:t>13 мај 2022</w:t>
      </w:r>
      <w:r w:rsidR="00945FF7">
        <w:rPr>
          <w:rFonts w:cs="Calibri"/>
          <w:lang w:val="mk-MK"/>
        </w:rPr>
        <w:t xml:space="preserve"> година</w:t>
      </w:r>
      <w:r w:rsidR="00945FF7" w:rsidRPr="00E402B0">
        <w:rPr>
          <w:rFonts w:cs="Calibri"/>
          <w:lang w:val="mk-MK"/>
        </w:rPr>
        <w:t>,</w:t>
      </w:r>
      <w:r w:rsidR="00945FF7" w:rsidRPr="00E402B0">
        <w:rPr>
          <w:rFonts w:cs="Calibri"/>
          <w:shd w:val="clear" w:color="auto" w:fill="FFFFFF"/>
          <w:lang w:val="mk-MK"/>
        </w:rPr>
        <w:t xml:space="preserve"> на која беше презентиран </w:t>
      </w:r>
      <w:r w:rsidR="00945FF7" w:rsidRPr="00E402B0">
        <w:rPr>
          <w:rFonts w:cs="Calibri"/>
          <w:color w:val="000000"/>
          <w:lang w:val="ru"/>
        </w:rPr>
        <w:t xml:space="preserve">Извештајот од спроведениот мониторинг од страна на СИГМА за </w:t>
      </w:r>
      <w:r w:rsidR="00E368F5">
        <w:rPr>
          <w:rFonts w:cs="Calibri"/>
          <w:color w:val="000000"/>
          <w:lang w:val="ru"/>
        </w:rPr>
        <w:t>МКД</w:t>
      </w:r>
      <w:r w:rsidR="00945FF7" w:rsidRPr="00E402B0">
        <w:rPr>
          <w:rFonts w:cs="Calibri"/>
          <w:color w:val="000000"/>
          <w:lang w:val="ru"/>
        </w:rPr>
        <w:t xml:space="preserve"> за 2021 година.</w:t>
      </w:r>
      <w:r w:rsidR="00945FF7" w:rsidRPr="00E402B0" w:rsidDel="00812667">
        <w:rPr>
          <w:rFonts w:cs="Calibri"/>
          <w:shd w:val="clear" w:color="auto" w:fill="FFFFFF"/>
          <w:lang w:val="mk-MK"/>
        </w:rPr>
        <w:t xml:space="preserve"> </w:t>
      </w:r>
      <w:r w:rsidR="00945FF7">
        <w:rPr>
          <w:rFonts w:cs="Calibri"/>
          <w:shd w:val="clear" w:color="auto" w:fill="FFFFFF"/>
          <w:lang w:val="mk-MK"/>
        </w:rPr>
        <w:t>Р</w:t>
      </w:r>
      <w:r w:rsidR="00945FF7" w:rsidRPr="00E402B0">
        <w:rPr>
          <w:rFonts w:cs="Calibri"/>
          <w:shd w:val="clear" w:color="auto" w:fill="FFFFFF"/>
          <w:lang w:val="mk-MK"/>
        </w:rPr>
        <w:t>аботилница</w:t>
      </w:r>
      <w:r w:rsidR="00945FF7">
        <w:rPr>
          <w:rFonts w:cs="Calibri"/>
          <w:shd w:val="clear" w:color="auto" w:fill="FFFFFF"/>
          <w:lang w:val="mk-MK"/>
        </w:rPr>
        <w:t>та</w:t>
      </w:r>
      <w:r w:rsidR="00945FF7" w:rsidRPr="00E402B0">
        <w:rPr>
          <w:rFonts w:cs="Calibri"/>
          <w:shd w:val="clear" w:color="auto" w:fill="FFFFFF"/>
          <w:lang w:val="mk-MK"/>
        </w:rPr>
        <w:t xml:space="preserve"> беше најава за от</w:t>
      </w:r>
      <w:r w:rsidR="00945FF7">
        <w:rPr>
          <w:rFonts w:cs="Calibri"/>
          <w:shd w:val="clear" w:color="auto" w:fill="FFFFFF"/>
          <w:lang w:val="mk-MK"/>
        </w:rPr>
        <w:t xml:space="preserve">почнувањето на </w:t>
      </w:r>
      <w:r w:rsidR="00945FF7" w:rsidRPr="00E402B0">
        <w:rPr>
          <w:rFonts w:cs="Calibri"/>
          <w:shd w:val="clear" w:color="auto" w:fill="FFFFFF"/>
          <w:lang w:val="mk-MK"/>
        </w:rPr>
        <w:t>сеопфатен и транспарентен процес, инклузивен дијалог и соработка помеѓу МИОА и засегнатите страни во однос на визијата, приоритетните области, целите и планот за реформите во јавната администрација. </w:t>
      </w:r>
    </w:p>
    <w:p w14:paraId="0803FF38" w14:textId="125B9847" w:rsidR="000E5AA6" w:rsidRPr="00E402B0" w:rsidRDefault="00E9655A" w:rsidP="00E9655A">
      <w:pPr>
        <w:jc w:val="both"/>
        <w:rPr>
          <w:rFonts w:cs="Calibri"/>
          <w:lang w:val="mk-MK"/>
        </w:rPr>
      </w:pPr>
      <w:r w:rsidRPr="00E402B0">
        <w:rPr>
          <w:rFonts w:cs="Calibri"/>
          <w:lang w:val="mk-MK"/>
        </w:rPr>
        <w:t>Подготовката на Стратегија за</w:t>
      </w:r>
      <w:r w:rsidR="00945FF7">
        <w:rPr>
          <w:rFonts w:cs="Calibri"/>
          <w:lang w:val="mk-MK"/>
        </w:rPr>
        <w:t xml:space="preserve"> РЈА </w:t>
      </w:r>
      <w:r w:rsidRPr="00E402B0">
        <w:rPr>
          <w:rFonts w:cs="Calibri"/>
          <w:lang w:val="mk-MK"/>
        </w:rPr>
        <w:t>(2023-2030) започна со донесување на решението за формирање на работна група на 3 јуни 2022</w:t>
      </w:r>
      <w:r w:rsidR="00945FF7">
        <w:rPr>
          <w:rFonts w:cs="Calibri"/>
          <w:lang w:val="mk-MK"/>
        </w:rPr>
        <w:t xml:space="preserve"> година</w:t>
      </w:r>
      <w:r w:rsidRPr="00E402B0">
        <w:rPr>
          <w:rFonts w:cs="Calibri"/>
          <w:lang w:val="mk-MK"/>
        </w:rPr>
        <w:t xml:space="preserve"> во која учествуваа претставници од министерствата и државните институции, како и претставници од граѓанск</w:t>
      </w:r>
      <w:r w:rsidRPr="00E402B0">
        <w:rPr>
          <w:rFonts w:cs="Calibri"/>
        </w:rPr>
        <w:t>o</w:t>
      </w:r>
      <w:r w:rsidRPr="00E402B0">
        <w:rPr>
          <w:rFonts w:cs="Calibri"/>
          <w:lang w:val="mk-MK"/>
        </w:rPr>
        <w:t xml:space="preserve">то општество и од меѓународните организации и експерти. </w:t>
      </w:r>
      <w:r w:rsidR="00DA074B">
        <w:rPr>
          <w:rFonts w:cs="Calibri"/>
          <w:lang w:val="mk-MK"/>
        </w:rPr>
        <w:t>Работната група се состои</w:t>
      </w:r>
      <w:r w:rsidR="00945FF7">
        <w:rPr>
          <w:rFonts w:cs="Calibri"/>
          <w:lang w:val="mk-MK"/>
        </w:rPr>
        <w:t xml:space="preserve"> од </w:t>
      </w:r>
      <w:r w:rsidRPr="00E402B0">
        <w:rPr>
          <w:rFonts w:cs="Calibri"/>
          <w:lang w:val="mk-MK"/>
        </w:rPr>
        <w:t xml:space="preserve">подгрупи за </w:t>
      </w:r>
      <w:r w:rsidR="00945FF7">
        <w:rPr>
          <w:rFonts w:cs="Calibri"/>
          <w:lang w:val="mk-MK"/>
        </w:rPr>
        <w:t xml:space="preserve">секоја од </w:t>
      </w:r>
      <w:r w:rsidRPr="00E402B0">
        <w:rPr>
          <w:rFonts w:cs="Calibri"/>
          <w:lang w:val="mk-MK"/>
        </w:rPr>
        <w:t>приоритетните области</w:t>
      </w:r>
      <w:r w:rsidR="00DA074B">
        <w:rPr>
          <w:rFonts w:cs="Calibri"/>
          <w:lang w:val="mk-MK"/>
        </w:rPr>
        <w:t xml:space="preserve">. Сите подгрупи континуирано одржуваа состаноци со цел подготовка на текстот на Стратегијата и АП. </w:t>
      </w:r>
    </w:p>
    <w:p w14:paraId="2F04961F" w14:textId="13DF4434" w:rsidR="00E9655A" w:rsidRPr="00E402B0" w:rsidRDefault="00E9655A" w:rsidP="00E9655A">
      <w:pPr>
        <w:jc w:val="both"/>
        <w:rPr>
          <w:rFonts w:cs="Calibri"/>
          <w:shd w:val="clear" w:color="auto" w:fill="FFFFFF"/>
          <w:lang w:val="mk-MK"/>
        </w:rPr>
      </w:pPr>
      <w:r w:rsidRPr="00E402B0">
        <w:rPr>
          <w:rFonts w:cs="Calibri"/>
          <w:shd w:val="clear" w:color="auto" w:fill="FFFFFF"/>
          <w:lang w:val="mk-MK"/>
        </w:rPr>
        <w:t xml:space="preserve">Со цел да се обезбеди предвидливост на процесот на подготвувањето на </w:t>
      </w:r>
      <w:r w:rsidRPr="00B5617C">
        <w:rPr>
          <w:rFonts w:cs="Calibri"/>
          <w:shd w:val="clear" w:color="auto" w:fill="FFFFFF"/>
          <w:lang w:val="mk-MK"/>
        </w:rPr>
        <w:t xml:space="preserve">Стратегија </w:t>
      </w:r>
      <w:r w:rsidR="00FB25B3" w:rsidRPr="00B5617C">
        <w:rPr>
          <w:rFonts w:cs="Calibri"/>
          <w:shd w:val="clear" w:color="auto" w:fill="FFFFFF"/>
          <w:lang w:val="mk-MK"/>
        </w:rPr>
        <w:t xml:space="preserve">за РЈА (2023-2030) </w:t>
      </w:r>
      <w:r w:rsidRPr="00B5617C">
        <w:rPr>
          <w:rFonts w:cs="Calibri"/>
          <w:shd w:val="clear" w:color="auto" w:fill="FFFFFF"/>
          <w:lang w:val="mk-MK"/>
        </w:rPr>
        <w:t>за сите засегнати страни МИОА подготви процесен план со временска рам</w:t>
      </w:r>
      <w:r w:rsidRPr="00E402B0">
        <w:rPr>
          <w:rFonts w:cs="Calibri"/>
          <w:shd w:val="clear" w:color="auto" w:fill="FFFFFF"/>
          <w:lang w:val="mk-MK"/>
        </w:rPr>
        <w:t>ка и план за консултации на засегнатите страни, кој беше дискутиран и усвоен од Секретаријатот за реформа на јавната администрација на седницата одржана на 13 јули 2022</w:t>
      </w:r>
      <w:r w:rsidR="00234623">
        <w:rPr>
          <w:rFonts w:cs="Calibri"/>
          <w:shd w:val="clear" w:color="auto" w:fill="FFFFFF"/>
          <w:lang w:val="mk-MK"/>
        </w:rPr>
        <w:t xml:space="preserve"> </w:t>
      </w:r>
      <w:r w:rsidRPr="00E402B0">
        <w:rPr>
          <w:rFonts w:cs="Calibri"/>
          <w:shd w:val="clear" w:color="auto" w:fill="FFFFFF"/>
          <w:lang w:val="mk-MK"/>
        </w:rPr>
        <w:t>г</w:t>
      </w:r>
      <w:r w:rsidR="00234623">
        <w:rPr>
          <w:rFonts w:cs="Calibri"/>
          <w:shd w:val="clear" w:color="auto" w:fill="FFFFFF"/>
          <w:lang w:val="mk-MK"/>
        </w:rPr>
        <w:t>одина</w:t>
      </w:r>
      <w:r w:rsidRPr="00E402B0">
        <w:rPr>
          <w:rFonts w:cs="Calibri"/>
          <w:shd w:val="clear" w:color="auto" w:fill="FFFFFF"/>
          <w:lang w:val="mk-MK"/>
        </w:rPr>
        <w:t>. Планот е објавен на веб страницата на МИОА. Следствено, на 20 јули 2022 година МИОА организираше настан со засегнатите страни за промовирање и дискусија на процесниот план и временската рамка за подготвување на Стратегија</w:t>
      </w:r>
      <w:r w:rsidR="00234623">
        <w:rPr>
          <w:rFonts w:cs="Calibri"/>
          <w:shd w:val="clear" w:color="auto" w:fill="FFFFFF"/>
          <w:lang w:val="mk-MK"/>
        </w:rPr>
        <w:t>та</w:t>
      </w:r>
      <w:r w:rsidRPr="00E402B0">
        <w:rPr>
          <w:rFonts w:cs="Calibri"/>
          <w:shd w:val="clear" w:color="auto" w:fill="FFFFFF"/>
          <w:lang w:val="mk-MK"/>
        </w:rPr>
        <w:t xml:space="preserve"> за </w:t>
      </w:r>
      <w:r w:rsidR="00234623">
        <w:rPr>
          <w:rFonts w:cs="Calibri"/>
          <w:shd w:val="clear" w:color="auto" w:fill="FFFFFF"/>
          <w:lang w:val="mk-MK"/>
        </w:rPr>
        <w:t xml:space="preserve">РЈА </w:t>
      </w:r>
      <w:r w:rsidRPr="00E402B0">
        <w:rPr>
          <w:rFonts w:cs="Calibri"/>
          <w:shd w:val="clear" w:color="auto" w:fill="FFFFFF"/>
          <w:lang w:val="mk-MK"/>
        </w:rPr>
        <w:t>(2023-2030), како и презентирање на Извештајот од спроведената евалуација на Стратегијата за РЈА (2018-2022) од независен</w:t>
      </w:r>
      <w:r w:rsidR="00DC256D">
        <w:rPr>
          <w:rFonts w:cs="Calibri"/>
          <w:shd w:val="clear" w:color="auto" w:fill="FFFFFF"/>
          <w:lang w:val="mk-MK"/>
        </w:rPr>
        <w:t xml:space="preserve"> експерт со поддршка на РеСПА.</w:t>
      </w:r>
      <w:r w:rsidR="002E6DA4">
        <w:rPr>
          <w:rFonts w:cs="Calibri"/>
          <w:shd w:val="clear" w:color="auto" w:fill="FFFFFF"/>
          <w:lang w:val="mk-MK"/>
        </w:rPr>
        <w:t xml:space="preserve"> </w:t>
      </w:r>
    </w:p>
    <w:p w14:paraId="0A755E2F" w14:textId="32323B2F" w:rsidR="00234623" w:rsidRDefault="00E9655A" w:rsidP="00E9655A">
      <w:pPr>
        <w:jc w:val="both"/>
        <w:rPr>
          <w:rFonts w:cs="Calibri"/>
          <w:lang w:val="mk-MK"/>
        </w:rPr>
      </w:pPr>
      <w:r w:rsidRPr="00E402B0">
        <w:rPr>
          <w:rFonts w:cs="Calibri"/>
          <w:lang w:val="mk-MK"/>
        </w:rPr>
        <w:t>П</w:t>
      </w:r>
      <w:r w:rsidR="00B37F29">
        <w:rPr>
          <w:rFonts w:cs="Calibri"/>
          <w:lang w:val="mk-MK"/>
        </w:rPr>
        <w:t xml:space="preserve">ри дефинирањето </w:t>
      </w:r>
      <w:r w:rsidRPr="00E402B0">
        <w:rPr>
          <w:rFonts w:cs="Calibri"/>
          <w:lang w:val="mk-MK"/>
        </w:rPr>
        <w:t xml:space="preserve"> </w:t>
      </w:r>
      <w:r w:rsidR="00B37F29">
        <w:rPr>
          <w:rFonts w:cs="Calibri"/>
          <w:lang w:val="mk-MK"/>
        </w:rPr>
        <w:t xml:space="preserve">на </w:t>
      </w:r>
      <w:r w:rsidRPr="00E402B0">
        <w:rPr>
          <w:rFonts w:cs="Calibri"/>
          <w:lang w:val="mk-MK"/>
        </w:rPr>
        <w:t xml:space="preserve">развојните правци во реформата на јавната администрација, </w:t>
      </w:r>
      <w:r w:rsidR="003E02C7">
        <w:rPr>
          <w:rFonts w:cs="Calibri"/>
          <w:lang w:val="mk-MK"/>
        </w:rPr>
        <w:t>определувањето</w:t>
      </w:r>
      <w:r w:rsidR="003E02C7">
        <w:rPr>
          <w:rFonts w:cs="Calibri"/>
          <w:lang w:val="en-US"/>
        </w:rPr>
        <w:t xml:space="preserve"> </w:t>
      </w:r>
      <w:r w:rsidR="003E02C7">
        <w:rPr>
          <w:rFonts w:cs="Calibri"/>
          <w:lang w:val="mk-MK"/>
        </w:rPr>
        <w:t xml:space="preserve">на </w:t>
      </w:r>
      <w:r w:rsidRPr="00E402B0">
        <w:rPr>
          <w:rFonts w:cs="Calibri"/>
          <w:lang w:val="mk-MK"/>
        </w:rPr>
        <w:t>начинот на работа, координацијата и вложувањата на финансиските средства,</w:t>
      </w:r>
      <w:r w:rsidR="00B37F29">
        <w:rPr>
          <w:rFonts w:cs="Calibri"/>
          <w:lang w:val="mk-MK"/>
        </w:rPr>
        <w:t xml:space="preserve"> како и </w:t>
      </w:r>
      <w:r w:rsidRPr="00E402B0">
        <w:rPr>
          <w:rFonts w:cs="Calibri"/>
          <w:lang w:val="mk-MK"/>
        </w:rPr>
        <w:t xml:space="preserve">при утврдување на структурата на Стратегијата за </w:t>
      </w:r>
      <w:r w:rsidR="00234623">
        <w:rPr>
          <w:rFonts w:cs="Calibri"/>
          <w:lang w:val="mk-MK"/>
        </w:rPr>
        <w:t xml:space="preserve">РЈА </w:t>
      </w:r>
      <w:r w:rsidRPr="00E402B0">
        <w:rPr>
          <w:rFonts w:cs="Calibri"/>
          <w:lang w:val="mk-MK"/>
        </w:rPr>
        <w:t xml:space="preserve">(2023-2030) следена е „Методологијата за начинот на подготвување, спроведување, следење, известување и оценување на секторските стратегии во </w:t>
      </w:r>
      <w:r w:rsidR="00E368F5">
        <w:rPr>
          <w:rFonts w:cs="Calibri"/>
          <w:lang w:val="mk-MK"/>
        </w:rPr>
        <w:t>МКД</w:t>
      </w:r>
      <w:r w:rsidRPr="00E402B0">
        <w:rPr>
          <w:rFonts w:cs="Calibri"/>
          <w:lang w:val="mk-MK"/>
        </w:rPr>
        <w:t xml:space="preserve">“, како и насоките од „Упатството за структурата, содржината и начинот на подготвување, спроведување, следење, известување и оценување на секторските и </w:t>
      </w:r>
      <w:r w:rsidR="00386E93" w:rsidRPr="00E402B0">
        <w:rPr>
          <w:rFonts w:cs="Calibri"/>
          <w:lang w:val="mk-MK"/>
        </w:rPr>
        <w:t>меѓу секторските</w:t>
      </w:r>
      <w:r w:rsidRPr="00E402B0">
        <w:rPr>
          <w:rFonts w:cs="Calibri"/>
          <w:lang w:val="mk-MK"/>
        </w:rPr>
        <w:t xml:space="preserve"> стратегии“</w:t>
      </w:r>
      <w:r w:rsidR="00234623">
        <w:rPr>
          <w:rFonts w:cs="Calibri"/>
          <w:lang w:val="mk-MK"/>
        </w:rPr>
        <w:t xml:space="preserve"> усвоени од </w:t>
      </w:r>
      <w:r w:rsidR="001F11B5">
        <w:rPr>
          <w:rFonts w:cs="Calibri"/>
          <w:lang w:val="mk-MK"/>
        </w:rPr>
        <w:t>ВРСМ</w:t>
      </w:r>
      <w:r w:rsidR="00234623">
        <w:rPr>
          <w:rStyle w:val="FootnoteReference"/>
          <w:rFonts w:cs="Calibri"/>
          <w:lang w:val="mk-MK"/>
        </w:rPr>
        <w:footnoteReference w:id="24"/>
      </w:r>
      <w:r w:rsidRPr="00E402B0">
        <w:rPr>
          <w:rFonts w:cs="Calibri"/>
          <w:lang w:val="mk-MK"/>
        </w:rPr>
        <w:t xml:space="preserve">. </w:t>
      </w:r>
    </w:p>
    <w:p w14:paraId="4AF6B80C" w14:textId="5BC16856" w:rsidR="00234623" w:rsidRDefault="00234623" w:rsidP="00E9655A">
      <w:pPr>
        <w:jc w:val="both"/>
        <w:rPr>
          <w:rFonts w:cs="Calibri"/>
          <w:lang w:val="mk-MK"/>
        </w:rPr>
      </w:pPr>
      <w:r>
        <w:rPr>
          <w:rFonts w:cs="Calibri"/>
          <w:lang w:val="mk-MK"/>
        </w:rPr>
        <w:t>А</w:t>
      </w:r>
      <w:r w:rsidRPr="00E402B0">
        <w:rPr>
          <w:rFonts w:cs="Calibri"/>
          <w:lang w:val="mk-MK"/>
        </w:rPr>
        <w:t xml:space="preserve">нализата на состојбата </w:t>
      </w:r>
      <w:r>
        <w:rPr>
          <w:rFonts w:cs="Calibri"/>
          <w:lang w:val="mk-MK"/>
        </w:rPr>
        <w:t>в</w:t>
      </w:r>
      <w:r w:rsidR="00E9655A" w:rsidRPr="00E402B0">
        <w:rPr>
          <w:rFonts w:cs="Calibri"/>
          <w:lang w:val="mk-MK"/>
        </w:rPr>
        <w:t xml:space="preserve">о Стратегијата </w:t>
      </w:r>
      <w:r>
        <w:rPr>
          <w:rFonts w:cs="Calibri"/>
          <w:lang w:val="mk-MK"/>
        </w:rPr>
        <w:t xml:space="preserve">за РЈА (2023-2030) </w:t>
      </w:r>
      <w:r w:rsidR="00E9655A" w:rsidRPr="00E402B0">
        <w:rPr>
          <w:rFonts w:cs="Calibri"/>
          <w:lang w:val="mk-MK"/>
        </w:rPr>
        <w:t>се базира на</w:t>
      </w:r>
      <w:r>
        <w:rPr>
          <w:rFonts w:cs="Calibri"/>
          <w:lang w:val="mk-MK"/>
        </w:rPr>
        <w:t>:</w:t>
      </w:r>
    </w:p>
    <w:p w14:paraId="0D3AB372" w14:textId="3672B641" w:rsidR="00234623" w:rsidRPr="00AC68FC" w:rsidRDefault="00E9655A" w:rsidP="00234623">
      <w:pPr>
        <w:pStyle w:val="ListParagraph"/>
        <w:numPr>
          <w:ilvl w:val="0"/>
          <w:numId w:val="17"/>
        </w:numPr>
        <w:jc w:val="both"/>
        <w:rPr>
          <w:rFonts w:cs="Calibri"/>
          <w:lang w:val="mk-MK"/>
        </w:rPr>
      </w:pPr>
      <w:r w:rsidRPr="00AC68FC">
        <w:rPr>
          <w:rFonts w:cs="Calibri"/>
          <w:color w:val="000000"/>
          <w:lang w:val="ru"/>
        </w:rPr>
        <w:t xml:space="preserve">полугодишните и годишните извештаи за степенот на реализација на акцискиот план и постигнувањата на планираните цели и резултати на Стратегија за </w:t>
      </w:r>
      <w:r w:rsidR="00234623" w:rsidRPr="00AC68FC">
        <w:rPr>
          <w:rFonts w:cs="Calibri"/>
          <w:color w:val="000000"/>
          <w:lang w:val="ru"/>
        </w:rPr>
        <w:t xml:space="preserve">РЈА </w:t>
      </w:r>
      <w:r w:rsidRPr="00AC68FC">
        <w:rPr>
          <w:rFonts w:cs="Calibri"/>
          <w:color w:val="000000"/>
          <w:lang w:val="ru"/>
        </w:rPr>
        <w:t>(2018-2022);</w:t>
      </w:r>
    </w:p>
    <w:p w14:paraId="7F32696D" w14:textId="5D4FFCB3" w:rsidR="00234623" w:rsidRPr="00AC68FC" w:rsidRDefault="00E9655A" w:rsidP="00234623">
      <w:pPr>
        <w:pStyle w:val="ListParagraph"/>
        <w:numPr>
          <w:ilvl w:val="0"/>
          <w:numId w:val="17"/>
        </w:numPr>
        <w:jc w:val="both"/>
        <w:rPr>
          <w:rFonts w:cs="Calibri"/>
          <w:lang w:val="mk-MK"/>
        </w:rPr>
      </w:pPr>
      <w:r w:rsidRPr="00234623">
        <w:rPr>
          <w:rFonts w:cs="Calibri"/>
          <w:shd w:val="clear" w:color="auto" w:fill="FFFFFF"/>
          <w:lang w:val="mk-MK"/>
        </w:rPr>
        <w:lastRenderedPageBreak/>
        <w:t xml:space="preserve">Извештајот за евалуација на Стратегијата за </w:t>
      </w:r>
      <w:r w:rsidR="00475216">
        <w:rPr>
          <w:rFonts w:cs="Calibri"/>
          <w:color w:val="000000"/>
          <w:lang w:val="ru"/>
        </w:rPr>
        <w:t>РЈА</w:t>
      </w:r>
      <w:r w:rsidRPr="00AC68FC">
        <w:rPr>
          <w:rFonts w:cs="Calibri"/>
          <w:color w:val="000000"/>
          <w:lang w:val="ru"/>
        </w:rPr>
        <w:t xml:space="preserve"> (2018-2022)</w:t>
      </w:r>
      <w:r w:rsidRPr="00AC68FC">
        <w:rPr>
          <w:rFonts w:cs="Calibri"/>
          <w:color w:val="000000"/>
        </w:rPr>
        <w:t xml:space="preserve"> </w:t>
      </w:r>
      <w:r w:rsidRPr="00234623">
        <w:rPr>
          <w:rFonts w:cs="Calibri"/>
          <w:shd w:val="clear" w:color="auto" w:fill="FFFFFF"/>
          <w:lang w:val="mk-MK"/>
        </w:rPr>
        <w:t>подготвен од страна на независен експерт</w:t>
      </w:r>
      <w:r w:rsidR="00B37F29">
        <w:rPr>
          <w:rFonts w:cs="Calibri"/>
          <w:shd w:val="clear" w:color="auto" w:fill="FFFFFF"/>
          <w:lang w:val="mk-MK"/>
        </w:rPr>
        <w:t>,</w:t>
      </w:r>
      <w:r w:rsidRPr="00234623">
        <w:rPr>
          <w:rFonts w:cs="Calibri"/>
          <w:shd w:val="clear" w:color="auto" w:fill="FFFFFF"/>
          <w:lang w:val="mk-MK"/>
        </w:rPr>
        <w:t xml:space="preserve"> ангажиран преку РеСПА;</w:t>
      </w:r>
    </w:p>
    <w:p w14:paraId="7F6B2425" w14:textId="609E40CF" w:rsidR="00234623" w:rsidRPr="00AC68FC" w:rsidRDefault="00E9655A" w:rsidP="00234623">
      <w:pPr>
        <w:pStyle w:val="ListParagraph"/>
        <w:numPr>
          <w:ilvl w:val="0"/>
          <w:numId w:val="17"/>
        </w:numPr>
        <w:jc w:val="both"/>
        <w:rPr>
          <w:rFonts w:cs="Calibri"/>
          <w:lang w:val="mk-MK"/>
        </w:rPr>
      </w:pPr>
      <w:r w:rsidRPr="00AC68FC">
        <w:rPr>
          <w:rFonts w:cs="Calibri"/>
          <w:color w:val="000000"/>
          <w:lang w:val="ru"/>
        </w:rPr>
        <w:t xml:space="preserve">Извештајот од спроведениот мониторинг од страна на СИГМА за </w:t>
      </w:r>
      <w:r w:rsidR="00475216">
        <w:rPr>
          <w:rFonts w:cs="Calibri"/>
          <w:color w:val="000000"/>
          <w:lang w:val="ru"/>
        </w:rPr>
        <w:t>РСМ</w:t>
      </w:r>
      <w:r w:rsidRPr="00AC68FC">
        <w:rPr>
          <w:rFonts w:cs="Calibri"/>
          <w:color w:val="000000"/>
          <w:lang w:val="ru"/>
        </w:rPr>
        <w:t xml:space="preserve"> за 2021 година;</w:t>
      </w:r>
    </w:p>
    <w:p w14:paraId="020BF39B" w14:textId="3488E572" w:rsidR="00234623" w:rsidRPr="00AC68FC" w:rsidRDefault="00234623" w:rsidP="00234623">
      <w:pPr>
        <w:pStyle w:val="ListParagraph"/>
        <w:numPr>
          <w:ilvl w:val="0"/>
          <w:numId w:val="17"/>
        </w:numPr>
        <w:jc w:val="both"/>
        <w:rPr>
          <w:rFonts w:cs="Calibri"/>
          <w:lang w:val="mk-MK"/>
        </w:rPr>
      </w:pPr>
      <w:r>
        <w:rPr>
          <w:rFonts w:cs="Calibri"/>
          <w:color w:val="000000"/>
          <w:lang w:val="ru"/>
        </w:rPr>
        <w:t>Р</w:t>
      </w:r>
      <w:r w:rsidR="00E9655A" w:rsidRPr="00AC68FC">
        <w:rPr>
          <w:rFonts w:cs="Calibri"/>
          <w:color w:val="000000"/>
          <w:lang w:val="ru"/>
        </w:rPr>
        <w:t xml:space="preserve">елевантните документи кои го оценуваат напредокот на процесот на реформата на јавната администрација, како што се </w:t>
      </w:r>
      <w:r w:rsidR="00BD31E0">
        <w:rPr>
          <w:rFonts w:cs="Calibri"/>
          <w:color w:val="000000"/>
          <w:lang w:val="ru"/>
        </w:rPr>
        <w:t>И</w:t>
      </w:r>
      <w:r w:rsidR="00E9655A" w:rsidRPr="00AC68FC">
        <w:rPr>
          <w:rFonts w:cs="Calibri"/>
          <w:color w:val="000000"/>
          <w:lang w:val="ru"/>
        </w:rPr>
        <w:t>звештај</w:t>
      </w:r>
      <w:r w:rsidR="00FB01B1">
        <w:rPr>
          <w:rFonts w:cs="Calibri"/>
          <w:color w:val="000000"/>
          <w:lang w:val="ru"/>
        </w:rPr>
        <w:t>от</w:t>
      </w:r>
      <w:r w:rsidR="00E9655A" w:rsidRPr="00AC68FC">
        <w:rPr>
          <w:rFonts w:cs="Calibri"/>
          <w:color w:val="000000"/>
          <w:lang w:val="ru"/>
        </w:rPr>
        <w:t xml:space="preserve"> на Европската комисија за </w:t>
      </w:r>
      <w:r w:rsidR="00E368F5">
        <w:rPr>
          <w:rFonts w:cs="Calibri"/>
          <w:color w:val="000000"/>
          <w:lang w:val="ru"/>
        </w:rPr>
        <w:t>МКД</w:t>
      </w:r>
      <w:r w:rsidR="00E9655A" w:rsidRPr="00AC68FC">
        <w:rPr>
          <w:rFonts w:cs="Calibri"/>
          <w:color w:val="000000"/>
          <w:lang w:val="ru"/>
        </w:rPr>
        <w:t xml:space="preserve"> за 2021</w:t>
      </w:r>
      <w:r w:rsidRPr="00AC68FC">
        <w:rPr>
          <w:rFonts w:cs="Calibri"/>
          <w:color w:val="000000"/>
          <w:lang w:val="ru"/>
        </w:rPr>
        <w:t xml:space="preserve"> </w:t>
      </w:r>
      <w:r w:rsidR="00E9655A" w:rsidRPr="00AC68FC">
        <w:rPr>
          <w:rFonts w:cs="Calibri"/>
          <w:color w:val="000000"/>
          <w:lang w:val="ru"/>
        </w:rPr>
        <w:t>г</w:t>
      </w:r>
      <w:r w:rsidRPr="00AC68FC">
        <w:rPr>
          <w:rFonts w:cs="Calibri"/>
          <w:color w:val="000000"/>
          <w:lang w:val="ru"/>
        </w:rPr>
        <w:t>одина</w:t>
      </w:r>
      <w:r w:rsidR="00E9655A" w:rsidRPr="00AC68FC">
        <w:rPr>
          <w:rFonts w:cs="Calibri"/>
          <w:color w:val="000000"/>
          <w:lang w:val="ru"/>
        </w:rPr>
        <w:t xml:space="preserve"> и </w:t>
      </w:r>
      <w:r w:rsidR="00BD31E0">
        <w:rPr>
          <w:rFonts w:cs="Calibri"/>
          <w:color w:val="000000"/>
          <w:lang w:val="ru"/>
        </w:rPr>
        <w:t>И</w:t>
      </w:r>
      <w:r w:rsidR="00B37F29" w:rsidRPr="00AC68FC">
        <w:rPr>
          <w:rFonts w:cs="Calibri"/>
          <w:color w:val="000000"/>
          <w:lang w:val="ru"/>
        </w:rPr>
        <w:t>звештај</w:t>
      </w:r>
      <w:r w:rsidR="00FB01B1">
        <w:rPr>
          <w:rFonts w:cs="Calibri"/>
          <w:color w:val="000000"/>
          <w:lang w:val="ru"/>
        </w:rPr>
        <w:t>от</w:t>
      </w:r>
      <w:r w:rsidR="00B37F29" w:rsidRPr="00AC68FC">
        <w:rPr>
          <w:rFonts w:cs="Calibri"/>
          <w:color w:val="000000"/>
          <w:lang w:val="ru"/>
        </w:rPr>
        <w:t xml:space="preserve"> на Европската комисија за </w:t>
      </w:r>
      <w:r w:rsidR="00475216">
        <w:rPr>
          <w:rFonts w:cs="Calibri"/>
          <w:color w:val="000000"/>
          <w:lang w:val="ru"/>
        </w:rPr>
        <w:t>РСМ</w:t>
      </w:r>
      <w:r w:rsidR="00B37F29" w:rsidRPr="00AC68FC">
        <w:rPr>
          <w:rFonts w:cs="Calibri"/>
          <w:color w:val="000000"/>
          <w:lang w:val="ru"/>
        </w:rPr>
        <w:t xml:space="preserve"> </w:t>
      </w:r>
      <w:r w:rsidR="00FB25B3">
        <w:rPr>
          <w:rFonts w:cs="Calibri"/>
          <w:color w:val="000000"/>
          <w:lang w:val="ru"/>
        </w:rPr>
        <w:t xml:space="preserve">за </w:t>
      </w:r>
      <w:r w:rsidR="00E9655A" w:rsidRPr="00AC68FC">
        <w:rPr>
          <w:rFonts w:cs="Calibri"/>
          <w:color w:val="000000"/>
          <w:lang w:val="ru"/>
        </w:rPr>
        <w:t>2022</w:t>
      </w:r>
      <w:r w:rsidRPr="00AC68FC">
        <w:rPr>
          <w:rFonts w:cs="Calibri"/>
          <w:color w:val="000000"/>
          <w:lang w:val="ru"/>
        </w:rPr>
        <w:t xml:space="preserve"> </w:t>
      </w:r>
      <w:r w:rsidR="00E9655A" w:rsidRPr="00AC68FC">
        <w:rPr>
          <w:rFonts w:cs="Calibri"/>
          <w:color w:val="000000"/>
          <w:lang w:val="ru"/>
        </w:rPr>
        <w:t>г</w:t>
      </w:r>
      <w:r w:rsidRPr="00AC68FC">
        <w:rPr>
          <w:rFonts w:cs="Calibri"/>
          <w:color w:val="000000"/>
          <w:lang w:val="ru"/>
        </w:rPr>
        <w:t>одина</w:t>
      </w:r>
      <w:r>
        <w:rPr>
          <w:rFonts w:cs="Calibri"/>
          <w:color w:val="000000"/>
          <w:lang w:val="ru"/>
        </w:rPr>
        <w:t>;</w:t>
      </w:r>
    </w:p>
    <w:p w14:paraId="2660CE7E" w14:textId="7F393430" w:rsidR="00234623" w:rsidRPr="00AC68FC" w:rsidRDefault="00E9655A" w:rsidP="00234623">
      <w:pPr>
        <w:pStyle w:val="ListParagraph"/>
        <w:numPr>
          <w:ilvl w:val="0"/>
          <w:numId w:val="17"/>
        </w:numPr>
        <w:jc w:val="both"/>
        <w:rPr>
          <w:rFonts w:cs="Calibri"/>
          <w:lang w:val="mk-MK"/>
        </w:rPr>
      </w:pPr>
      <w:r w:rsidRPr="00AC68FC">
        <w:rPr>
          <w:rFonts w:cs="Calibri"/>
          <w:color w:val="000000"/>
          <w:lang w:val="ru"/>
        </w:rPr>
        <w:t>Заклучоците на Специјалната група за реформа на јавната администрација за 2021</w:t>
      </w:r>
      <w:r w:rsidR="00234623" w:rsidRPr="00AC68FC">
        <w:rPr>
          <w:rFonts w:cs="Calibri"/>
          <w:color w:val="000000"/>
          <w:lang w:val="ru"/>
        </w:rPr>
        <w:t xml:space="preserve"> </w:t>
      </w:r>
      <w:r w:rsidRPr="00AC68FC">
        <w:rPr>
          <w:rFonts w:cs="Calibri"/>
          <w:color w:val="000000"/>
          <w:lang w:val="ru"/>
        </w:rPr>
        <w:t>г</w:t>
      </w:r>
      <w:r w:rsidR="00234623" w:rsidRPr="00AC68FC">
        <w:rPr>
          <w:rFonts w:cs="Calibri"/>
          <w:color w:val="000000"/>
          <w:lang w:val="ru"/>
        </w:rPr>
        <w:t>одина</w:t>
      </w:r>
      <w:r w:rsidRPr="00AC68FC">
        <w:rPr>
          <w:rFonts w:cs="Calibri"/>
          <w:color w:val="000000"/>
          <w:lang w:val="ru"/>
        </w:rPr>
        <w:t>;</w:t>
      </w:r>
    </w:p>
    <w:p w14:paraId="73A56A2F" w14:textId="6C70190C" w:rsidR="00B37F29" w:rsidRPr="00D3445B" w:rsidRDefault="00B37F29" w:rsidP="00234623">
      <w:pPr>
        <w:pStyle w:val="ListParagraph"/>
        <w:numPr>
          <w:ilvl w:val="0"/>
          <w:numId w:val="17"/>
        </w:numPr>
        <w:jc w:val="both"/>
        <w:rPr>
          <w:rFonts w:cs="Calibri"/>
          <w:lang w:val="mk-MK"/>
        </w:rPr>
      </w:pPr>
      <w:r>
        <w:rPr>
          <w:rFonts w:cs="Calibri"/>
          <w:color w:val="000000"/>
          <w:lang w:val="ru"/>
        </w:rPr>
        <w:t>НИ</w:t>
      </w:r>
      <w:r w:rsidR="00234623">
        <w:rPr>
          <w:rFonts w:cs="Calibri"/>
          <w:color w:val="000000"/>
          <w:lang w:val="ru"/>
        </w:rPr>
        <w:t xml:space="preserve">звештаи за следење </w:t>
      </w:r>
      <w:r w:rsidR="00E9655A" w:rsidRPr="00AC68FC">
        <w:rPr>
          <w:rFonts w:cs="Calibri"/>
          <w:color w:val="000000"/>
          <w:lang w:val="ru"/>
        </w:rPr>
        <w:t xml:space="preserve">на реформата на јавната администрација кои ги подготвува граѓанското општество и </w:t>
      </w:r>
    </w:p>
    <w:p w14:paraId="16BABA09" w14:textId="237DCDC8" w:rsidR="00234623" w:rsidRPr="00AC68FC" w:rsidRDefault="00E9655A" w:rsidP="00234623">
      <w:pPr>
        <w:pStyle w:val="ListParagraph"/>
        <w:numPr>
          <w:ilvl w:val="0"/>
          <w:numId w:val="17"/>
        </w:numPr>
        <w:jc w:val="both"/>
        <w:rPr>
          <w:rFonts w:cs="Calibri"/>
          <w:lang w:val="mk-MK"/>
        </w:rPr>
      </w:pPr>
      <w:r w:rsidRPr="00AC68FC">
        <w:rPr>
          <w:rFonts w:cs="Calibri"/>
          <w:color w:val="000000"/>
          <w:lang w:val="ru"/>
        </w:rPr>
        <w:t xml:space="preserve"> други релевантни документи</w:t>
      </w:r>
      <w:r w:rsidR="001C00CC">
        <w:rPr>
          <w:rFonts w:cs="Calibri"/>
          <w:color w:val="000000"/>
          <w:lang w:val="ru"/>
        </w:rPr>
        <w:t xml:space="preserve"> од областа на реформата на јавната администрација</w:t>
      </w:r>
      <w:r w:rsidRPr="00AC68FC">
        <w:rPr>
          <w:rFonts w:cs="Calibri"/>
          <w:color w:val="000000"/>
          <w:lang w:val="ru"/>
        </w:rPr>
        <w:t xml:space="preserve">. </w:t>
      </w:r>
    </w:p>
    <w:p w14:paraId="5DFFE9EB" w14:textId="43BB3B34" w:rsidR="00E9655A" w:rsidRPr="00234623" w:rsidRDefault="00E9655A" w:rsidP="00AC68FC">
      <w:pPr>
        <w:ind w:left="54"/>
        <w:jc w:val="both"/>
        <w:rPr>
          <w:rFonts w:cs="Calibri"/>
          <w:lang w:val="mk-MK"/>
        </w:rPr>
      </w:pPr>
      <w:r w:rsidRPr="00234623">
        <w:rPr>
          <w:rFonts w:cs="Calibri"/>
          <w:lang w:val="mk-MK"/>
        </w:rPr>
        <w:t xml:space="preserve">Оваа  Стратегија се темели на (1) Начело на </w:t>
      </w:r>
      <w:r w:rsidR="00386E93" w:rsidRPr="00234623">
        <w:rPr>
          <w:rFonts w:cs="Calibri"/>
          <w:lang w:val="mk-MK"/>
        </w:rPr>
        <w:t>усогласеност</w:t>
      </w:r>
      <w:r w:rsidRPr="00234623">
        <w:rPr>
          <w:rFonts w:cs="Calibri"/>
          <w:lang w:val="mk-MK"/>
        </w:rPr>
        <w:t xml:space="preserve"> и </w:t>
      </w:r>
      <w:r w:rsidR="00386E93" w:rsidRPr="00234623">
        <w:rPr>
          <w:rFonts w:cs="Calibri"/>
          <w:lang w:val="mk-MK"/>
        </w:rPr>
        <w:t>конзистентност</w:t>
      </w:r>
      <w:r w:rsidRPr="00234623">
        <w:rPr>
          <w:rFonts w:cs="Calibri"/>
          <w:lang w:val="mk-MK"/>
        </w:rPr>
        <w:t xml:space="preserve"> на политиките; (2) Начело на фискална одржливост на политиките; (3) Начело на усогласеност со политиките на ЕУ; (4) Начело на релевантност и веродостојност; (5) Начело на економичност, ефикасност и ефективност; (6) Начело на транспарентност; (7) Начело на отчетност и ориентација кон резултатите и (8) Начело на одржливост. </w:t>
      </w:r>
    </w:p>
    <w:p w14:paraId="3DBDC13A" w14:textId="00DB166E" w:rsidR="00E9655A" w:rsidRDefault="00E9655A" w:rsidP="00E9655A">
      <w:pPr>
        <w:jc w:val="both"/>
        <w:rPr>
          <w:rFonts w:cs="Calibri"/>
          <w:lang w:val="mk-MK"/>
        </w:rPr>
      </w:pPr>
      <w:r w:rsidRPr="00E402B0">
        <w:rPr>
          <w:rFonts w:cs="Calibri"/>
          <w:lang w:val="mk-MK"/>
        </w:rPr>
        <w:t>Во конципирањето на Стратегијата</w:t>
      </w:r>
      <w:r w:rsidR="00234623">
        <w:rPr>
          <w:rFonts w:cs="Calibri"/>
          <w:lang w:val="mk-MK"/>
        </w:rPr>
        <w:t xml:space="preserve"> беше</w:t>
      </w:r>
      <w:r w:rsidRPr="00E402B0">
        <w:rPr>
          <w:rFonts w:cs="Calibri"/>
          <w:lang w:val="mk-MK"/>
        </w:rPr>
        <w:t xml:space="preserve"> вклучено стручно лице за </w:t>
      </w:r>
      <w:r w:rsidR="00FB01B1">
        <w:rPr>
          <w:rFonts w:cs="Calibri"/>
          <w:lang w:val="mk-MK"/>
        </w:rPr>
        <w:t>давање</w:t>
      </w:r>
      <w:r w:rsidRPr="00E402B0">
        <w:rPr>
          <w:rFonts w:cs="Calibri"/>
          <w:lang w:val="mk-MK"/>
        </w:rPr>
        <w:t xml:space="preserve"> експертска помош</w:t>
      </w:r>
      <w:r w:rsidR="00671671">
        <w:rPr>
          <w:rFonts w:cs="Calibri"/>
          <w:lang w:val="mk-MK"/>
        </w:rPr>
        <w:t>,</w:t>
      </w:r>
      <w:r w:rsidRPr="00E402B0">
        <w:rPr>
          <w:rFonts w:cs="Calibri"/>
          <w:lang w:val="mk-MK"/>
        </w:rPr>
        <w:t xml:space="preserve"> финансирана од РеСПА. Оваа Стратегија ја отсликува состојбата и предизвиците во јавната администрација во </w:t>
      </w:r>
      <w:r w:rsidR="00475216">
        <w:rPr>
          <w:rFonts w:cs="Calibri"/>
          <w:lang w:val="mk-MK"/>
        </w:rPr>
        <w:t>РСМ</w:t>
      </w:r>
      <w:r w:rsidRPr="00E402B0">
        <w:rPr>
          <w:rFonts w:cs="Calibri"/>
          <w:lang w:val="mk-MK"/>
        </w:rPr>
        <w:t>, заклучно со 31 декември 2022</w:t>
      </w:r>
      <w:r w:rsidR="00234623">
        <w:rPr>
          <w:rFonts w:cs="Calibri"/>
          <w:lang w:val="mk-MK"/>
        </w:rPr>
        <w:t xml:space="preserve"> </w:t>
      </w:r>
      <w:r w:rsidRPr="00E402B0">
        <w:rPr>
          <w:rFonts w:cs="Calibri"/>
          <w:lang w:val="mk-MK"/>
        </w:rPr>
        <w:t>г</w:t>
      </w:r>
      <w:r w:rsidR="00234623">
        <w:rPr>
          <w:rFonts w:cs="Calibri"/>
          <w:lang w:val="mk-MK"/>
        </w:rPr>
        <w:t>одина</w:t>
      </w:r>
      <w:r w:rsidRPr="00E402B0">
        <w:rPr>
          <w:rFonts w:cs="Calibri"/>
          <w:lang w:val="mk-MK"/>
        </w:rPr>
        <w:t>.</w:t>
      </w:r>
    </w:p>
    <w:p w14:paraId="51642154" w14:textId="05E02933" w:rsidR="00E9655A" w:rsidRDefault="00E9655A" w:rsidP="00E9655A">
      <w:pPr>
        <w:pStyle w:val="Heading2"/>
        <w:numPr>
          <w:ilvl w:val="1"/>
          <w:numId w:val="1"/>
        </w:numPr>
        <w:rPr>
          <w:lang w:val="mk-MK"/>
        </w:rPr>
      </w:pPr>
      <w:r>
        <w:rPr>
          <w:lang w:val="mk-MK"/>
        </w:rPr>
        <w:t xml:space="preserve">Процес на вклучување на засегнатите страни во подготвувањето на Стратегијата </w:t>
      </w:r>
      <w:r w:rsidR="00CF635C">
        <w:rPr>
          <w:lang w:val="mk-MK"/>
        </w:rPr>
        <w:t>за реформа на јавната администрација (2023-2030)</w:t>
      </w:r>
    </w:p>
    <w:p w14:paraId="32D57AEE" w14:textId="42D9C0CC" w:rsidR="00E9655A" w:rsidRDefault="00E9655A" w:rsidP="00E9655A">
      <w:pPr>
        <w:rPr>
          <w:lang w:val="mk-MK"/>
        </w:rPr>
      </w:pPr>
    </w:p>
    <w:p w14:paraId="23089672" w14:textId="6FF839F2" w:rsidR="00E9655A" w:rsidRPr="00E402B0" w:rsidRDefault="00E9655A" w:rsidP="00E9655A">
      <w:pPr>
        <w:jc w:val="both"/>
        <w:rPr>
          <w:rFonts w:cs="Calibri"/>
          <w:lang w:val="mk-MK"/>
        </w:rPr>
      </w:pPr>
      <w:r w:rsidRPr="00E402B0">
        <w:rPr>
          <w:rFonts w:cs="Calibri"/>
          <w:lang w:val="mk-MK"/>
        </w:rPr>
        <w:t>М</w:t>
      </w:r>
      <w:r w:rsidR="00FB25B3">
        <w:rPr>
          <w:rFonts w:cs="Calibri"/>
          <w:lang w:val="mk-MK"/>
        </w:rPr>
        <w:t xml:space="preserve">ИОА </w:t>
      </w:r>
      <w:r w:rsidRPr="00E402B0">
        <w:rPr>
          <w:rFonts w:cs="Calibri"/>
          <w:lang w:val="mk-MK"/>
        </w:rPr>
        <w:t>демонстрира силна волја и посветеност на процесот на партиципативно креирање на политиките и суштинска вклученост на засегнатите страни во реформскиот процес и затоа на својата веб страница креираше посебен оддел</w:t>
      </w:r>
      <w:r w:rsidRPr="00E402B0">
        <w:rPr>
          <w:rStyle w:val="FootnoteReference"/>
          <w:rFonts w:cs="Calibri"/>
          <w:lang w:val="mk-MK"/>
        </w:rPr>
        <w:footnoteReference w:id="25"/>
      </w:r>
      <w:r w:rsidRPr="00E402B0">
        <w:rPr>
          <w:rFonts w:cs="Calibri"/>
          <w:lang w:val="mk-MK"/>
        </w:rPr>
        <w:t xml:space="preserve"> на кој се објавуваат сите документи поврзани со процесот на реформа на јавната администрација. Следејќи ги обврските од активната транспарентност, кои ги презема </w:t>
      </w:r>
      <w:r w:rsidR="001F11B5">
        <w:rPr>
          <w:rFonts w:cs="Calibri"/>
          <w:lang w:val="mk-MK"/>
        </w:rPr>
        <w:t>ВРСМ</w:t>
      </w:r>
      <w:r w:rsidRPr="00E402B0">
        <w:rPr>
          <w:rFonts w:cs="Calibri"/>
          <w:lang w:val="mk-MK"/>
        </w:rPr>
        <w:t xml:space="preserve">, МИОА навремено и целосно ги објавува документите кои се однесуваат на структурата за координација </w:t>
      </w:r>
      <w:r w:rsidR="00782920">
        <w:rPr>
          <w:rFonts w:cs="Calibri"/>
          <w:lang w:val="mk-MK"/>
        </w:rPr>
        <w:t>з</w:t>
      </w:r>
      <w:r w:rsidRPr="00E402B0">
        <w:rPr>
          <w:rFonts w:cs="Calibri"/>
          <w:lang w:val="mk-MK"/>
        </w:rPr>
        <w:t xml:space="preserve">а реформата на јавната администрација, стратешките документи за реформата на јавната администрација, мониторинг извештаите и евалуациите, записниците од одржаните состаноци </w:t>
      </w:r>
      <w:r w:rsidR="00234623">
        <w:rPr>
          <w:rFonts w:cs="Calibri"/>
          <w:lang w:val="mk-MK"/>
        </w:rPr>
        <w:t>на Советот за реформа на јавната администрација и Секретаријатот за реф</w:t>
      </w:r>
      <w:r w:rsidR="00EC7C0D">
        <w:rPr>
          <w:rFonts w:cs="Calibri"/>
          <w:lang w:val="mk-MK"/>
        </w:rPr>
        <w:t>о</w:t>
      </w:r>
      <w:r w:rsidR="00234623">
        <w:rPr>
          <w:rFonts w:cs="Calibri"/>
          <w:lang w:val="mk-MK"/>
        </w:rPr>
        <w:t xml:space="preserve">рма на јавната администрација,  како и </w:t>
      </w:r>
      <w:r w:rsidRPr="00E402B0">
        <w:rPr>
          <w:rFonts w:cs="Calibri"/>
          <w:lang w:val="mk-MK"/>
        </w:rPr>
        <w:t>заклучоците од состаноците на Специјалната група за реф</w:t>
      </w:r>
      <w:r w:rsidR="00EC7C0D">
        <w:rPr>
          <w:rFonts w:cs="Calibri"/>
          <w:lang w:val="mk-MK"/>
        </w:rPr>
        <w:t xml:space="preserve">орма во јавната администрација </w:t>
      </w:r>
      <w:r w:rsidRPr="00E402B0">
        <w:rPr>
          <w:rFonts w:cs="Calibri"/>
          <w:lang w:val="mk-MK"/>
        </w:rPr>
        <w:t xml:space="preserve">во рамки на Комитетот за стабилизација и асоцијација. </w:t>
      </w:r>
    </w:p>
    <w:p w14:paraId="1B805966" w14:textId="06C98AAD" w:rsidR="00E9655A" w:rsidRPr="00E402B0" w:rsidRDefault="00E9655A" w:rsidP="00E9655A">
      <w:pPr>
        <w:jc w:val="both"/>
        <w:rPr>
          <w:rFonts w:cs="Calibri"/>
          <w:lang w:val="mk-MK"/>
        </w:rPr>
      </w:pPr>
      <w:r w:rsidRPr="00E402B0">
        <w:rPr>
          <w:rFonts w:cs="Calibri"/>
          <w:shd w:val="clear" w:color="auto" w:fill="FFFFFF"/>
          <w:lang w:val="mk-MK"/>
        </w:rPr>
        <w:t>Следствено, почитувајќи го начелото на транспарентност</w:t>
      </w:r>
      <w:r w:rsidRPr="00E402B0">
        <w:rPr>
          <w:rFonts w:cs="Calibri"/>
          <w:shd w:val="clear" w:color="auto" w:fill="FFFFFF"/>
        </w:rPr>
        <w:t xml:space="preserve"> </w:t>
      </w:r>
      <w:r w:rsidRPr="00E402B0">
        <w:rPr>
          <w:rFonts w:cs="Calibri"/>
          <w:shd w:val="clear" w:color="auto" w:fill="FFFFFF"/>
          <w:lang w:val="mk-MK"/>
        </w:rPr>
        <w:t xml:space="preserve">и отчетност и применувајќи го пристапот за партиципативно креирање на политиките, </w:t>
      </w:r>
      <w:r w:rsidRPr="00E402B0">
        <w:rPr>
          <w:rFonts w:cs="Calibri"/>
          <w:lang w:val="mk-MK"/>
        </w:rPr>
        <w:t>МИОА на својата веб стран</w:t>
      </w:r>
      <w:r w:rsidR="00671671">
        <w:rPr>
          <w:rFonts w:cs="Calibri"/>
          <w:lang w:val="mk-MK"/>
        </w:rPr>
        <w:t>иц</w:t>
      </w:r>
      <w:r w:rsidRPr="00E402B0">
        <w:rPr>
          <w:rFonts w:cs="Calibri"/>
          <w:lang w:val="mk-MK"/>
        </w:rPr>
        <w:t>а објави јавен повик</w:t>
      </w:r>
      <w:r w:rsidRPr="00E402B0">
        <w:rPr>
          <w:rStyle w:val="FootnoteReference"/>
          <w:rFonts w:cs="Calibri"/>
          <w:lang w:val="mk-MK"/>
        </w:rPr>
        <w:footnoteReference w:id="26"/>
      </w:r>
      <w:r w:rsidRPr="00E402B0">
        <w:rPr>
          <w:rFonts w:cs="Calibri"/>
          <w:lang w:val="mk-MK"/>
        </w:rPr>
        <w:t xml:space="preserve"> за вклучување на претставници од граѓанското општество во тематските работни групи за подготовка на Стратегијата за </w:t>
      </w:r>
      <w:r w:rsidR="00234623">
        <w:rPr>
          <w:rFonts w:cs="Calibri"/>
          <w:lang w:val="mk-MK"/>
        </w:rPr>
        <w:t xml:space="preserve">РЈА </w:t>
      </w:r>
      <w:r w:rsidRPr="00E402B0">
        <w:rPr>
          <w:rFonts w:cs="Calibri"/>
          <w:lang w:val="mk-MK"/>
        </w:rPr>
        <w:t>. Дополнително, со цел да се обезбеди квалитетна и навремена координација и комуникација, како и вклученост на граѓанското општество и останатите засегнати страни во процесот на подготовка на Стратегија</w:t>
      </w:r>
      <w:r w:rsidR="00CE0737">
        <w:rPr>
          <w:rFonts w:cs="Calibri"/>
          <w:lang w:val="mk-MK"/>
        </w:rPr>
        <w:t>та</w:t>
      </w:r>
      <w:r w:rsidRPr="00E402B0">
        <w:rPr>
          <w:rFonts w:cs="Calibri"/>
          <w:lang w:val="mk-MK"/>
        </w:rPr>
        <w:t xml:space="preserve">, </w:t>
      </w:r>
      <w:r w:rsidRPr="00E402B0">
        <w:rPr>
          <w:rFonts w:cs="Calibri"/>
          <w:shd w:val="clear" w:color="auto" w:fill="FFFFFF"/>
          <w:lang w:val="mk-MK"/>
        </w:rPr>
        <w:t xml:space="preserve">МИОА го испрати повикот за вклучување на засегнатите </w:t>
      </w:r>
      <w:r w:rsidRPr="00E402B0">
        <w:rPr>
          <w:rFonts w:cs="Calibri"/>
          <w:shd w:val="clear" w:color="auto" w:fill="FFFFFF"/>
          <w:lang w:val="mk-MK"/>
        </w:rPr>
        <w:lastRenderedPageBreak/>
        <w:t xml:space="preserve">страни и преку Секторската работна група за јавна администрација. Овој канал на комуникација беше избран за да се потврди значењето и важноста на Секторската работна група </w:t>
      </w:r>
      <w:r w:rsidR="00671671" w:rsidRPr="00E402B0">
        <w:rPr>
          <w:rFonts w:cs="Calibri"/>
          <w:shd w:val="clear" w:color="auto" w:fill="FFFFFF"/>
          <w:lang w:val="mk-MK"/>
        </w:rPr>
        <w:t xml:space="preserve">за јавна администрација </w:t>
      </w:r>
      <w:r w:rsidRPr="00E402B0">
        <w:rPr>
          <w:rFonts w:cs="Calibri"/>
          <w:shd w:val="clear" w:color="auto" w:fill="FFFFFF"/>
          <w:lang w:val="mk-MK"/>
        </w:rPr>
        <w:t>во чија работа суштински се вклучени претставниците од институциите, граѓанското општество и меѓународните организации.</w:t>
      </w:r>
      <w:r w:rsidRPr="00E402B0">
        <w:rPr>
          <w:rFonts w:cs="Calibri"/>
          <w:lang w:val="mk-MK"/>
        </w:rPr>
        <w:t xml:space="preserve"> На повикот се пријавија </w:t>
      </w:r>
      <w:r w:rsidR="00CE0737" w:rsidRPr="00E402B0">
        <w:rPr>
          <w:rFonts w:cs="Calibri"/>
          <w:lang w:val="mk-MK"/>
        </w:rPr>
        <w:t>8 организации</w:t>
      </w:r>
      <w:r w:rsidR="00CE0737">
        <w:rPr>
          <w:rStyle w:val="FootnoteReference"/>
          <w:rFonts w:cs="Calibri"/>
          <w:lang w:val="mk-MK"/>
        </w:rPr>
        <w:footnoteReference w:id="27"/>
      </w:r>
      <w:r w:rsidR="00CE0737" w:rsidRPr="00E402B0">
        <w:rPr>
          <w:rFonts w:cs="Calibri"/>
          <w:lang w:val="mk-MK"/>
        </w:rPr>
        <w:t xml:space="preserve"> </w:t>
      </w:r>
      <w:r w:rsidRPr="00E402B0">
        <w:rPr>
          <w:rFonts w:cs="Calibri"/>
          <w:lang w:val="mk-MK"/>
        </w:rPr>
        <w:t>претставници од граѓанското општество</w:t>
      </w:r>
      <w:r w:rsidR="00CE0737">
        <w:rPr>
          <w:rFonts w:cs="Calibri"/>
          <w:lang w:val="mk-MK"/>
        </w:rPr>
        <w:t xml:space="preserve">, како </w:t>
      </w:r>
      <w:r w:rsidRPr="00E402B0">
        <w:rPr>
          <w:rFonts w:cs="Calibri"/>
          <w:lang w:val="mk-MK"/>
        </w:rPr>
        <w:t xml:space="preserve">и </w:t>
      </w:r>
      <w:r w:rsidR="00CE0737">
        <w:rPr>
          <w:rFonts w:cs="Calibri"/>
          <w:lang w:val="mk-MK"/>
        </w:rPr>
        <w:t>пр</w:t>
      </w:r>
      <w:r w:rsidR="00782920">
        <w:rPr>
          <w:rFonts w:cs="Calibri"/>
          <w:lang w:val="mk-MK"/>
        </w:rPr>
        <w:t>е</w:t>
      </w:r>
      <w:r w:rsidR="00CE0737">
        <w:rPr>
          <w:rFonts w:cs="Calibri"/>
          <w:lang w:val="mk-MK"/>
        </w:rPr>
        <w:t xml:space="preserve">тставници </w:t>
      </w:r>
      <w:r w:rsidRPr="00E402B0">
        <w:rPr>
          <w:rFonts w:cs="Calibri"/>
          <w:lang w:val="mk-MK"/>
        </w:rPr>
        <w:t>од меѓународните организации со седиште во Скопје како засегнати страни, кои</w:t>
      </w:r>
      <w:r w:rsidR="00CE0737">
        <w:rPr>
          <w:rFonts w:cs="Calibri"/>
          <w:lang w:val="mk-MK"/>
        </w:rPr>
        <w:t xml:space="preserve"> беа директно</w:t>
      </w:r>
      <w:r w:rsidRPr="00E402B0">
        <w:rPr>
          <w:rFonts w:cs="Calibri"/>
          <w:lang w:val="mk-MK"/>
        </w:rPr>
        <w:t xml:space="preserve"> вклучени во тематските работни групи според изразениот интерес на еднаква основа со сите членови на работната група. </w:t>
      </w:r>
    </w:p>
    <w:p w14:paraId="25F26A8F" w14:textId="7FBB092A" w:rsidR="00E9655A" w:rsidRDefault="00CE0737" w:rsidP="00E9655A">
      <w:pPr>
        <w:jc w:val="both"/>
        <w:rPr>
          <w:lang w:val="mk-MK"/>
        </w:rPr>
      </w:pPr>
      <w:r>
        <w:rPr>
          <w:rFonts w:cs="Calibri"/>
          <w:shd w:val="clear" w:color="auto" w:fill="FFFFFF"/>
          <w:lang w:val="mk-MK"/>
        </w:rPr>
        <w:t xml:space="preserve">Покрај учеството во работните групи, </w:t>
      </w:r>
      <w:r>
        <w:rPr>
          <w:lang w:val="mk-MK"/>
        </w:rPr>
        <w:t xml:space="preserve">во декември </w:t>
      </w:r>
      <w:r w:rsidRPr="00BB1BB8">
        <w:t xml:space="preserve">2022 </w:t>
      </w:r>
      <w:r>
        <w:rPr>
          <w:lang w:val="mk-MK"/>
        </w:rPr>
        <w:t xml:space="preserve">година </w:t>
      </w:r>
      <w:r w:rsidR="00EC7C0D">
        <w:rPr>
          <w:rFonts w:cs="Calibri"/>
          <w:shd w:val="clear" w:color="auto" w:fill="FFFFFF"/>
          <w:lang w:val="mk-MK"/>
        </w:rPr>
        <w:t>засег</w:t>
      </w:r>
      <w:r>
        <w:rPr>
          <w:rFonts w:cs="Calibri"/>
          <w:shd w:val="clear" w:color="auto" w:fill="FFFFFF"/>
          <w:lang w:val="mk-MK"/>
        </w:rPr>
        <w:t>н</w:t>
      </w:r>
      <w:r w:rsidR="00EC7C0D">
        <w:rPr>
          <w:rFonts w:cs="Calibri"/>
          <w:shd w:val="clear" w:color="auto" w:fill="FFFFFF"/>
          <w:lang w:val="mk-MK"/>
        </w:rPr>
        <w:t>а</w:t>
      </w:r>
      <w:r>
        <w:rPr>
          <w:rFonts w:cs="Calibri"/>
          <w:shd w:val="clear" w:color="auto" w:fill="FFFFFF"/>
          <w:lang w:val="mk-MK"/>
        </w:rPr>
        <w:t>тите страни имаа можност да учествуваат на</w:t>
      </w:r>
      <w:r w:rsidRPr="00BB1BB8">
        <w:t xml:space="preserve"> јавна</w:t>
      </w:r>
      <w:r>
        <w:rPr>
          <w:lang w:val="mk-MK"/>
        </w:rPr>
        <w:t>та</w:t>
      </w:r>
      <w:r w:rsidRPr="00BB1BB8">
        <w:t xml:space="preserve"> расправа за Нацрт верзијата на Стратегијата за</w:t>
      </w:r>
      <w:r>
        <w:rPr>
          <w:lang w:val="mk-MK"/>
        </w:rPr>
        <w:t xml:space="preserve"> РЈА (</w:t>
      </w:r>
      <w:r w:rsidRPr="00BB1BB8">
        <w:t>2023-2030</w:t>
      </w:r>
      <w:r>
        <w:rPr>
          <w:lang w:val="mk-MK"/>
        </w:rPr>
        <w:t xml:space="preserve">). Јавната расправа беше организирана од страна на </w:t>
      </w:r>
      <w:r w:rsidR="004C5FCD" w:rsidRPr="00BB1BB8">
        <w:t>МИОА, а со поддршка на Р</w:t>
      </w:r>
      <w:r>
        <w:rPr>
          <w:lang w:val="mk-MK"/>
        </w:rPr>
        <w:t>е</w:t>
      </w:r>
      <w:r w:rsidR="004C5FCD" w:rsidRPr="00BB1BB8">
        <w:t>СПА</w:t>
      </w:r>
      <w:r>
        <w:rPr>
          <w:lang w:val="mk-MK"/>
        </w:rPr>
        <w:t xml:space="preserve">. </w:t>
      </w:r>
    </w:p>
    <w:p w14:paraId="2F258803" w14:textId="455B7C9B" w:rsidR="00385B81" w:rsidRPr="00C1515E" w:rsidRDefault="00C1515E" w:rsidP="00E9655A">
      <w:pPr>
        <w:jc w:val="both"/>
        <w:rPr>
          <w:rFonts w:cs="Calibri"/>
          <w:shd w:val="clear" w:color="auto" w:fill="FFFFFF"/>
          <w:lang w:val="en-US"/>
        </w:rPr>
      </w:pPr>
      <w:r w:rsidRPr="00C1515E">
        <w:rPr>
          <w:lang w:val="mk-MK"/>
        </w:rPr>
        <w:t>Исто така,</w:t>
      </w:r>
      <w:r w:rsidRPr="00C1515E">
        <w:t xml:space="preserve"> Нацрт верзијата на Стратегијата за</w:t>
      </w:r>
      <w:r w:rsidRPr="00C1515E">
        <w:rPr>
          <w:lang w:val="mk-MK"/>
        </w:rPr>
        <w:t xml:space="preserve"> РЈА (</w:t>
      </w:r>
      <w:r w:rsidRPr="00C1515E">
        <w:t>2023-2030</w:t>
      </w:r>
      <w:r w:rsidRPr="00C1515E">
        <w:rPr>
          <w:lang w:val="mk-MK"/>
        </w:rPr>
        <w:t>) со А</w:t>
      </w:r>
      <w:r w:rsidR="00671671">
        <w:rPr>
          <w:lang w:val="mk-MK"/>
        </w:rPr>
        <w:t>кциски план</w:t>
      </w:r>
      <w:r>
        <w:rPr>
          <w:lang w:val="mk-MK"/>
        </w:rPr>
        <w:t>,</w:t>
      </w:r>
      <w:r w:rsidRPr="00C1515E">
        <w:rPr>
          <w:rFonts w:cs="Calibri"/>
          <w:shd w:val="clear" w:color="auto" w:fill="FFFFFF"/>
          <w:lang w:val="mk-MK"/>
        </w:rPr>
        <w:t xml:space="preserve"> н</w:t>
      </w:r>
      <w:r w:rsidRPr="00C1515E">
        <w:rPr>
          <w:lang w:val="mk-MK"/>
        </w:rPr>
        <w:t xml:space="preserve">а 9 </w:t>
      </w:r>
      <w:r w:rsidR="00475216">
        <w:rPr>
          <w:lang w:val="mk-MK"/>
        </w:rPr>
        <w:t>ф</w:t>
      </w:r>
      <w:r w:rsidR="00475216" w:rsidRPr="00C1515E">
        <w:rPr>
          <w:lang w:val="mk-MK"/>
        </w:rPr>
        <w:t xml:space="preserve">евруари </w:t>
      </w:r>
      <w:r w:rsidR="00385B81" w:rsidRPr="00C1515E">
        <w:rPr>
          <w:lang w:val="mk-MK"/>
        </w:rPr>
        <w:t>2023</w:t>
      </w:r>
      <w:r w:rsidRPr="00C1515E">
        <w:rPr>
          <w:lang w:val="mk-MK"/>
        </w:rPr>
        <w:t xml:space="preserve"> година беше поставена и на ЕНЕР со цел да се информираат засегнатите страни и да имаат можност да дадат коментари и мислење.</w:t>
      </w:r>
    </w:p>
    <w:p w14:paraId="36C61EC3" w14:textId="093A1E0C" w:rsidR="00E9655A" w:rsidRDefault="00E9655A" w:rsidP="00E9655A">
      <w:pPr>
        <w:rPr>
          <w:lang w:val="mk-MK"/>
        </w:rPr>
      </w:pPr>
    </w:p>
    <w:p w14:paraId="29F06BC2" w14:textId="71AE3D2E" w:rsidR="00E9655A" w:rsidRPr="00782920" w:rsidRDefault="00E9655A" w:rsidP="00E9655A">
      <w:pPr>
        <w:pStyle w:val="Heading1"/>
        <w:numPr>
          <w:ilvl w:val="0"/>
          <w:numId w:val="1"/>
        </w:numPr>
        <w:rPr>
          <w:b/>
          <w:bCs/>
          <w:lang w:val="mk-MK"/>
        </w:rPr>
      </w:pPr>
      <w:r w:rsidRPr="00782920">
        <w:rPr>
          <w:b/>
          <w:bCs/>
          <w:lang w:val="mk-MK"/>
        </w:rPr>
        <w:t>Анализа на состојбата во приоритетните области на Стратегијата за реформа на јавната администрација (2023-2030)</w:t>
      </w:r>
    </w:p>
    <w:p w14:paraId="446DFACE" w14:textId="6BF5C17B" w:rsidR="00E9655A" w:rsidRDefault="00E9655A" w:rsidP="00E9655A">
      <w:pPr>
        <w:rPr>
          <w:lang w:val="mk-MK"/>
        </w:rPr>
      </w:pPr>
    </w:p>
    <w:p w14:paraId="7A35FECB" w14:textId="06F9F8FB" w:rsidR="00F5796C" w:rsidRDefault="00E9655A" w:rsidP="00E9655A">
      <w:pPr>
        <w:jc w:val="both"/>
        <w:rPr>
          <w:lang w:val="mk-MK"/>
        </w:rPr>
      </w:pPr>
      <w:r w:rsidRPr="00EB5056">
        <w:rPr>
          <w:lang w:val="mk-MK"/>
        </w:rPr>
        <w:t>Стратегијата за</w:t>
      </w:r>
      <w:r w:rsidR="00CE0737">
        <w:rPr>
          <w:lang w:val="mk-MK"/>
        </w:rPr>
        <w:t xml:space="preserve"> РЈА </w:t>
      </w:r>
      <w:r>
        <w:rPr>
          <w:lang w:val="mk-MK"/>
        </w:rPr>
        <w:t>(2023–2030) опфаќа четири приор</w:t>
      </w:r>
      <w:r w:rsidR="0027372A">
        <w:rPr>
          <w:lang w:val="mk-MK"/>
        </w:rPr>
        <w:t>и</w:t>
      </w:r>
      <w:r>
        <w:rPr>
          <w:lang w:val="mk-MK"/>
        </w:rPr>
        <w:t>тетни области кои се во согласност со Принципите на јавната администрација дефинирани од страна на СИГМА</w:t>
      </w:r>
      <w:r w:rsidR="00F5796C">
        <w:rPr>
          <w:lang w:val="mk-MK"/>
        </w:rPr>
        <w:t>:</w:t>
      </w:r>
    </w:p>
    <w:p w14:paraId="0021CAAC" w14:textId="77777777" w:rsidR="00F5796C" w:rsidRDefault="00F5796C" w:rsidP="00F5796C">
      <w:pPr>
        <w:ind w:left="720"/>
        <w:jc w:val="both"/>
        <w:rPr>
          <w:lang w:val="mk-MK"/>
        </w:rPr>
      </w:pPr>
      <w:r>
        <w:rPr>
          <w:lang w:val="mk-MK"/>
        </w:rPr>
        <w:t>Приоритетна област 1: Креирање политики и координација</w:t>
      </w:r>
    </w:p>
    <w:p w14:paraId="22755452" w14:textId="0A950C1A" w:rsidR="00F5796C" w:rsidRDefault="00F5796C" w:rsidP="00F5796C">
      <w:pPr>
        <w:ind w:left="720"/>
        <w:jc w:val="both"/>
        <w:rPr>
          <w:lang w:val="mk-MK"/>
        </w:rPr>
      </w:pPr>
      <w:r>
        <w:rPr>
          <w:lang w:val="mk-MK"/>
        </w:rPr>
        <w:t xml:space="preserve">Приоритетна област 2: Јавна служба и управување со </w:t>
      </w:r>
      <w:r w:rsidR="00782920">
        <w:rPr>
          <w:lang w:val="mk-MK"/>
        </w:rPr>
        <w:t>ч</w:t>
      </w:r>
      <w:r>
        <w:rPr>
          <w:lang w:val="mk-MK"/>
        </w:rPr>
        <w:t>ове</w:t>
      </w:r>
      <w:r w:rsidR="00782920">
        <w:rPr>
          <w:lang w:val="mk-MK"/>
        </w:rPr>
        <w:t>ч</w:t>
      </w:r>
      <w:r>
        <w:rPr>
          <w:lang w:val="mk-MK"/>
        </w:rPr>
        <w:t>ките ресур</w:t>
      </w:r>
      <w:r w:rsidR="0051214F">
        <w:rPr>
          <w:lang w:val="mk-MK"/>
        </w:rPr>
        <w:t>с</w:t>
      </w:r>
      <w:r>
        <w:rPr>
          <w:lang w:val="mk-MK"/>
        </w:rPr>
        <w:t>и</w:t>
      </w:r>
    </w:p>
    <w:p w14:paraId="1ADBE1A7" w14:textId="77777777" w:rsidR="00F5796C" w:rsidRDefault="00F5796C" w:rsidP="00F5796C">
      <w:pPr>
        <w:ind w:left="720"/>
        <w:jc w:val="both"/>
        <w:rPr>
          <w:lang w:val="mk-MK"/>
        </w:rPr>
      </w:pPr>
      <w:r>
        <w:rPr>
          <w:lang w:val="mk-MK"/>
        </w:rPr>
        <w:t>Приоритетна област 3: Одговорност, отчетност и транспарентност</w:t>
      </w:r>
    </w:p>
    <w:p w14:paraId="35430244" w14:textId="2FB9186B" w:rsidR="00F5796C" w:rsidRDefault="00F5796C" w:rsidP="00F5796C">
      <w:pPr>
        <w:ind w:left="720"/>
        <w:jc w:val="both"/>
        <w:rPr>
          <w:lang w:val="mk-MK"/>
        </w:rPr>
      </w:pPr>
      <w:r>
        <w:rPr>
          <w:lang w:val="mk-MK"/>
        </w:rPr>
        <w:t xml:space="preserve">Приоритетна област 4: </w:t>
      </w:r>
      <w:r w:rsidR="00DD4CE4">
        <w:rPr>
          <w:lang w:val="mk-MK"/>
        </w:rPr>
        <w:t>Давање услуги и д</w:t>
      </w:r>
      <w:r>
        <w:rPr>
          <w:lang w:val="mk-MK"/>
        </w:rPr>
        <w:t>игитална трансформација</w:t>
      </w:r>
    </w:p>
    <w:p w14:paraId="4DD049B8" w14:textId="61C812F5" w:rsidR="00E9655A" w:rsidRDefault="00E9655A" w:rsidP="00E9655A">
      <w:pPr>
        <w:jc w:val="both"/>
        <w:rPr>
          <w:lang w:val="mk-MK"/>
        </w:rPr>
      </w:pPr>
      <w:r>
        <w:rPr>
          <w:lang w:val="mk-MK"/>
        </w:rPr>
        <w:t>Подолу се наведени постигнати</w:t>
      </w:r>
      <w:r w:rsidR="00EC7C0D">
        <w:rPr>
          <w:lang w:val="mk-MK"/>
        </w:rPr>
        <w:t>те резултати во сп</w:t>
      </w:r>
      <w:r>
        <w:rPr>
          <w:lang w:val="mk-MK"/>
        </w:rPr>
        <w:t>р</w:t>
      </w:r>
      <w:r w:rsidR="00EC7C0D">
        <w:rPr>
          <w:lang w:val="mk-MK"/>
        </w:rPr>
        <w:t>о</w:t>
      </w:r>
      <w:r>
        <w:rPr>
          <w:lang w:val="mk-MK"/>
        </w:rPr>
        <w:t xml:space="preserve">ведувањето на мерките и активностите од Стратегијата за </w:t>
      </w:r>
      <w:r w:rsidR="00475216">
        <w:rPr>
          <w:lang w:val="mk-MK"/>
        </w:rPr>
        <w:t>РЈА</w:t>
      </w:r>
      <w:r>
        <w:rPr>
          <w:lang w:val="mk-MK"/>
        </w:rPr>
        <w:t xml:space="preserve"> 2018 – 2022 и </w:t>
      </w:r>
      <w:r w:rsidR="00782920">
        <w:rPr>
          <w:lang w:val="mk-MK"/>
        </w:rPr>
        <w:t>А</w:t>
      </w:r>
      <w:r>
        <w:rPr>
          <w:lang w:val="mk-MK"/>
        </w:rPr>
        <w:t>кцискиот план, наодите од спроведената анализа на состојбата во секоја од приор</w:t>
      </w:r>
      <w:r w:rsidR="00EC7C0D">
        <w:rPr>
          <w:lang w:val="mk-MK"/>
        </w:rPr>
        <w:t>и</w:t>
      </w:r>
      <w:r>
        <w:rPr>
          <w:lang w:val="mk-MK"/>
        </w:rPr>
        <w:t xml:space="preserve">тетните области и утврдените проблеми и предизвици.  </w:t>
      </w:r>
    </w:p>
    <w:p w14:paraId="6EF83EBA" w14:textId="0439A3E9" w:rsidR="00981BC4" w:rsidRDefault="00981BC4" w:rsidP="00E9655A">
      <w:pPr>
        <w:jc w:val="both"/>
        <w:rPr>
          <w:lang w:val="mk-MK"/>
        </w:rPr>
      </w:pPr>
    </w:p>
    <w:p w14:paraId="3251C3AA" w14:textId="77777777" w:rsidR="00981BC4" w:rsidRDefault="00981BC4" w:rsidP="00E9655A">
      <w:pPr>
        <w:jc w:val="both"/>
        <w:rPr>
          <w:lang w:val="mk-MK"/>
        </w:rPr>
      </w:pPr>
    </w:p>
    <w:p w14:paraId="7C407443" w14:textId="45A2662B" w:rsidR="00E9655A" w:rsidRDefault="00E9655A" w:rsidP="00E9655A">
      <w:pPr>
        <w:pStyle w:val="Heading2"/>
        <w:numPr>
          <w:ilvl w:val="1"/>
          <w:numId w:val="1"/>
        </w:numPr>
        <w:rPr>
          <w:lang w:val="mk-MK"/>
        </w:rPr>
      </w:pPr>
      <w:r>
        <w:rPr>
          <w:lang w:val="mk-MK"/>
        </w:rPr>
        <w:t>Приор</w:t>
      </w:r>
      <w:r w:rsidR="0027372A">
        <w:rPr>
          <w:lang w:val="mk-MK"/>
        </w:rPr>
        <w:t>и</w:t>
      </w:r>
      <w:r>
        <w:rPr>
          <w:lang w:val="mk-MK"/>
        </w:rPr>
        <w:t xml:space="preserve">тетна област 1: Креирање на политиките и координација </w:t>
      </w:r>
    </w:p>
    <w:p w14:paraId="150DAD1E" w14:textId="77777777" w:rsidR="00E9655A" w:rsidRPr="00E9655A" w:rsidRDefault="00E9655A" w:rsidP="00E9655A">
      <w:pPr>
        <w:rPr>
          <w:lang w:val="mk-MK"/>
        </w:rPr>
      </w:pPr>
    </w:p>
    <w:p w14:paraId="27609C4D" w14:textId="77777777" w:rsidR="00224FFD" w:rsidRPr="005C2F75" w:rsidRDefault="00224FFD" w:rsidP="00224FFD">
      <w:pPr>
        <w:jc w:val="both"/>
        <w:rPr>
          <w:b/>
          <w:bCs/>
          <w:iCs/>
          <w:sz w:val="24"/>
          <w:szCs w:val="24"/>
          <w:lang w:val="mk-MK"/>
        </w:rPr>
      </w:pPr>
      <w:r w:rsidRPr="005C2F75">
        <w:rPr>
          <w:b/>
          <w:bCs/>
          <w:iCs/>
          <w:sz w:val="24"/>
          <w:szCs w:val="24"/>
          <w:lang w:val="mk-MK"/>
        </w:rPr>
        <w:t>Стратешко планирање, креирање на политики и координација</w:t>
      </w:r>
    </w:p>
    <w:p w14:paraId="4289001B" w14:textId="60B1F79F" w:rsidR="00224FFD" w:rsidRDefault="00224FFD" w:rsidP="00224FFD">
      <w:pPr>
        <w:jc w:val="both"/>
        <w:rPr>
          <w:iCs/>
          <w:lang w:val="mk-MK"/>
        </w:rPr>
      </w:pPr>
      <w:r>
        <w:rPr>
          <w:iCs/>
          <w:lang w:val="mk-MK"/>
        </w:rPr>
        <w:lastRenderedPageBreak/>
        <w:t>Основниот заклучок во врска со спроведувањето на С</w:t>
      </w:r>
      <w:r w:rsidR="00E368F5">
        <w:rPr>
          <w:iCs/>
          <w:lang w:val="mk-MK"/>
        </w:rPr>
        <w:t xml:space="preserve">тратегијата за </w:t>
      </w:r>
      <w:r>
        <w:rPr>
          <w:iCs/>
          <w:lang w:val="mk-MK"/>
        </w:rPr>
        <w:t xml:space="preserve">РЈА 2018-2022 година е дека во повеќе области од функционирањето на јавната администрација, во кои се вбројува и развојот и координацијата на политиките, </w:t>
      </w:r>
      <w:r w:rsidR="00902252">
        <w:rPr>
          <w:iCs/>
          <w:lang w:val="mk-MK"/>
        </w:rPr>
        <w:t>МКД</w:t>
      </w:r>
      <w:r>
        <w:rPr>
          <w:iCs/>
          <w:lang w:val="mk-MK"/>
        </w:rPr>
        <w:t xml:space="preserve"> има усвоено солидна </w:t>
      </w:r>
      <w:r w:rsidRPr="002773C9">
        <w:rPr>
          <w:iCs/>
          <w:lang w:val="mk-MK"/>
        </w:rPr>
        <w:t>правна рамка</w:t>
      </w:r>
      <w:r>
        <w:rPr>
          <w:iCs/>
          <w:lang w:val="mk-MK"/>
        </w:rPr>
        <w:t>, но таа не се спроведува доследно. В</w:t>
      </w:r>
      <w:r w:rsidRPr="003E668A">
        <w:rPr>
          <w:iCs/>
          <w:lang w:val="mk-MK"/>
        </w:rPr>
        <w:t xml:space="preserve">о споредба со 2017 година, остварен </w:t>
      </w:r>
      <w:r>
        <w:rPr>
          <w:iCs/>
          <w:lang w:val="mk-MK"/>
        </w:rPr>
        <w:t xml:space="preserve">е </w:t>
      </w:r>
      <w:r w:rsidRPr="003E668A">
        <w:rPr>
          <w:iCs/>
          <w:lang w:val="mk-MK"/>
        </w:rPr>
        <w:t>одреден напредок</w:t>
      </w:r>
      <w:r>
        <w:rPr>
          <w:iCs/>
          <w:lang w:val="mk-MK"/>
        </w:rPr>
        <w:t xml:space="preserve"> и просечната вредност на</w:t>
      </w:r>
      <w:r w:rsidRPr="003E668A">
        <w:rPr>
          <w:iCs/>
          <w:lang w:val="mk-MK"/>
        </w:rPr>
        <w:t xml:space="preserve"> показателите </w:t>
      </w:r>
      <w:r>
        <w:rPr>
          <w:iCs/>
          <w:lang w:val="mk-MK"/>
        </w:rPr>
        <w:t>во оваа област</w:t>
      </w:r>
      <w:r w:rsidRPr="003E668A">
        <w:rPr>
          <w:iCs/>
          <w:lang w:val="mk-MK"/>
        </w:rPr>
        <w:t xml:space="preserve"> е зголемена од 1,8 во 2017 година на 2,1 во 2021 година</w:t>
      </w:r>
      <w:r>
        <w:rPr>
          <w:iCs/>
          <w:lang w:val="mk-MK"/>
        </w:rPr>
        <w:t>, што</w:t>
      </w:r>
      <w:r w:rsidRPr="003E668A">
        <w:rPr>
          <w:iCs/>
          <w:lang w:val="mk-MK"/>
        </w:rPr>
        <w:t xml:space="preserve"> главно се должи на поконзистентната примена на клучните алатки за партиципативно креирање политики засновани на докази и на одредени подобрувања во транспарентноста во носењето на владините одлуки. </w:t>
      </w:r>
      <w:r>
        <w:rPr>
          <w:rStyle w:val="FootnoteReference"/>
          <w:iCs/>
          <w:lang w:val="mk-MK"/>
        </w:rPr>
        <w:footnoteReference w:id="28"/>
      </w:r>
      <w:r>
        <w:rPr>
          <w:iCs/>
          <w:lang w:val="mk-MK"/>
        </w:rPr>
        <w:t xml:space="preserve"> </w:t>
      </w:r>
    </w:p>
    <w:p w14:paraId="77AC9D23" w14:textId="302375F9" w:rsidR="00F5796C" w:rsidRDefault="00F5796C" w:rsidP="00224FFD">
      <w:pPr>
        <w:jc w:val="both"/>
        <w:rPr>
          <w:rFonts w:cs="Calibri"/>
          <w:bCs/>
          <w:lang w:val="mk-MK"/>
        </w:rPr>
      </w:pPr>
      <w:r w:rsidRPr="00464EA8">
        <w:rPr>
          <w:bCs/>
          <w:iCs/>
          <w:lang w:val="mk-MK"/>
        </w:rPr>
        <w:t>Правната рамка</w:t>
      </w:r>
      <w:r w:rsidRPr="00464EA8">
        <w:rPr>
          <w:iCs/>
          <w:lang w:val="mk-MK"/>
        </w:rPr>
        <w:t xml:space="preserve"> </w:t>
      </w:r>
      <w:r w:rsidRPr="00464EA8">
        <w:rPr>
          <w:rFonts w:cs="Calibri"/>
          <w:lang w:val="mk-MK"/>
        </w:rPr>
        <w:t>за стратешко планирање, креирање и координација на политики</w:t>
      </w:r>
      <w:r>
        <w:rPr>
          <w:rFonts w:cs="Calibri"/>
          <w:b/>
          <w:lang w:val="mk-MK"/>
        </w:rPr>
        <w:t xml:space="preserve"> </w:t>
      </w:r>
      <w:r>
        <w:rPr>
          <w:rFonts w:cs="Calibri"/>
          <w:bCs/>
          <w:lang w:val="mk-MK"/>
        </w:rPr>
        <w:t xml:space="preserve">ја сочинуваат: Законот за Владата </w:t>
      </w:r>
      <w:r w:rsidR="00475216">
        <w:rPr>
          <w:rFonts w:cs="Calibri"/>
          <w:bCs/>
          <w:lang w:val="mk-MK"/>
        </w:rPr>
        <w:t>на Република</w:t>
      </w:r>
      <w:r w:rsidR="0085684F">
        <w:rPr>
          <w:rFonts w:cs="Calibri"/>
          <w:bCs/>
          <w:lang w:val="en-US"/>
        </w:rPr>
        <w:t xml:space="preserve"> </w:t>
      </w:r>
      <w:r w:rsidR="00475216">
        <w:rPr>
          <w:rFonts w:cs="Calibri"/>
          <w:bCs/>
          <w:lang w:val="mk-MK"/>
        </w:rPr>
        <w:t>Македонија</w:t>
      </w:r>
      <w:r w:rsidR="001F11B5">
        <w:rPr>
          <w:rFonts w:cs="Calibri"/>
          <w:bCs/>
          <w:lang w:val="mk-MK"/>
        </w:rPr>
        <w:t xml:space="preserve"> </w:t>
      </w:r>
      <w:r>
        <w:rPr>
          <w:rFonts w:cs="Calibri"/>
          <w:bCs/>
          <w:lang w:val="mk-MK"/>
        </w:rPr>
        <w:t xml:space="preserve">и Деловникот за работа на </w:t>
      </w:r>
      <w:r w:rsidR="00E368F5">
        <w:rPr>
          <w:rFonts w:cs="Calibri"/>
          <w:bCs/>
          <w:lang w:val="mk-MK"/>
        </w:rPr>
        <w:t>ВРСМ</w:t>
      </w:r>
      <w:r>
        <w:rPr>
          <w:rFonts w:cs="Calibri"/>
          <w:bCs/>
          <w:lang w:val="mk-MK"/>
        </w:rPr>
        <w:t xml:space="preserve">, </w:t>
      </w:r>
      <w:r w:rsidR="00475216">
        <w:rPr>
          <w:rFonts w:cs="Calibri"/>
          <w:bCs/>
          <w:lang w:val="mk-MK"/>
        </w:rPr>
        <w:t>ЗОРОДУ</w:t>
      </w:r>
      <w:r>
        <w:rPr>
          <w:rFonts w:cs="Calibri"/>
          <w:bCs/>
          <w:lang w:val="mk-MK"/>
        </w:rPr>
        <w:t>, Законот за буџети и подзаконската регулатива поврзана со нив</w:t>
      </w:r>
      <w:r>
        <w:rPr>
          <w:rStyle w:val="FootnoteReference"/>
          <w:rFonts w:cs="Calibri"/>
          <w:bCs/>
          <w:lang w:val="mk-MK"/>
        </w:rPr>
        <w:footnoteReference w:id="29"/>
      </w:r>
      <w:r>
        <w:rPr>
          <w:rFonts w:cs="Calibri"/>
          <w:bCs/>
          <w:lang w:val="mk-MK"/>
        </w:rPr>
        <w:t xml:space="preserve">.  </w:t>
      </w:r>
    </w:p>
    <w:p w14:paraId="50932F57" w14:textId="0CF20390" w:rsidR="00224FFD" w:rsidRDefault="00224FFD" w:rsidP="00224FFD">
      <w:pPr>
        <w:jc w:val="both"/>
        <w:rPr>
          <w:rFonts w:cs="Calibri"/>
          <w:bCs/>
          <w:lang w:val="mk-MK"/>
        </w:rPr>
      </w:pPr>
      <w:r>
        <w:rPr>
          <w:rFonts w:cs="Calibri"/>
          <w:bCs/>
          <w:lang w:val="mk-MK"/>
        </w:rPr>
        <w:t xml:space="preserve">Деловникот за работа на </w:t>
      </w:r>
      <w:r w:rsidR="00475216">
        <w:rPr>
          <w:rFonts w:cs="Calibri"/>
          <w:bCs/>
          <w:lang w:val="mk-MK"/>
        </w:rPr>
        <w:t xml:space="preserve">ВРСМ </w:t>
      </w:r>
      <w:r>
        <w:rPr>
          <w:rFonts w:cs="Calibri"/>
          <w:bCs/>
          <w:lang w:val="mk-MK"/>
        </w:rPr>
        <w:t xml:space="preserve">поблиску ја уредува внатрешната организација и начинот на работа на </w:t>
      </w:r>
      <w:r w:rsidR="001F11B5">
        <w:rPr>
          <w:rFonts w:cs="Calibri"/>
          <w:bCs/>
          <w:lang w:val="mk-MK"/>
        </w:rPr>
        <w:t>ВРСМ</w:t>
      </w:r>
      <w:r>
        <w:rPr>
          <w:rFonts w:cs="Calibri"/>
          <w:bCs/>
          <w:lang w:val="mk-MK"/>
        </w:rPr>
        <w:t xml:space="preserve">. Од донесувањето во 2021 година, Деловникот има 43 измени, што придонесе кон нарушување на конзистентноста на одредбите. Неговата практична примена налага потреба од донесување на нов </w:t>
      </w:r>
      <w:r w:rsidR="008079C1">
        <w:rPr>
          <w:rFonts w:cs="Calibri"/>
          <w:bCs/>
          <w:lang w:val="mk-MK"/>
        </w:rPr>
        <w:t>д</w:t>
      </w:r>
      <w:r>
        <w:rPr>
          <w:rFonts w:cs="Calibri"/>
          <w:bCs/>
          <w:lang w:val="mk-MK"/>
        </w:rPr>
        <w:t xml:space="preserve">еловник </w:t>
      </w:r>
      <w:r w:rsidR="00782920">
        <w:rPr>
          <w:rFonts w:cs="Calibri"/>
          <w:bCs/>
          <w:lang w:val="mk-MK"/>
        </w:rPr>
        <w:t xml:space="preserve">со цел </w:t>
      </w:r>
      <w:r>
        <w:rPr>
          <w:rFonts w:cs="Calibri"/>
          <w:bCs/>
          <w:lang w:val="mk-MK"/>
        </w:rPr>
        <w:t>да се</w:t>
      </w:r>
      <w:r w:rsidRPr="002B0B2E">
        <w:rPr>
          <w:rFonts w:cs="Calibri"/>
          <w:bCs/>
          <w:lang w:val="mk-MK"/>
        </w:rPr>
        <w:t xml:space="preserve"> </w:t>
      </w:r>
      <w:r>
        <w:rPr>
          <w:rFonts w:cs="Calibri"/>
          <w:bCs/>
          <w:lang w:val="mk-MK"/>
        </w:rPr>
        <w:t>зајакнат</w:t>
      </w:r>
      <w:r w:rsidRPr="002B0B2E">
        <w:rPr>
          <w:rFonts w:cs="Calibri"/>
          <w:bCs/>
          <w:lang w:val="mk-MK"/>
        </w:rPr>
        <w:t xml:space="preserve"> функциите на </w:t>
      </w:r>
      <w:r w:rsidR="00475216">
        <w:rPr>
          <w:rFonts w:cs="Calibri"/>
          <w:bCs/>
          <w:lang w:val="mk-MK"/>
        </w:rPr>
        <w:t>ГС</w:t>
      </w:r>
      <w:r>
        <w:rPr>
          <w:rFonts w:cs="Calibri"/>
          <w:bCs/>
          <w:lang w:val="mk-MK"/>
        </w:rPr>
        <w:t xml:space="preserve"> како „</w:t>
      </w:r>
      <w:r w:rsidRPr="002B0B2E">
        <w:rPr>
          <w:rFonts w:cs="Calibri"/>
          <w:bCs/>
          <w:lang w:val="mk-MK"/>
        </w:rPr>
        <w:t>Центар на Владата</w:t>
      </w:r>
      <w:r>
        <w:rPr>
          <w:rFonts w:cs="Calibri"/>
          <w:bCs/>
          <w:lang w:val="mk-MK"/>
        </w:rPr>
        <w:t xml:space="preserve">“, да се подобри ефикасноста за проверка на квалитетот на материјалите што се доставуваат за разгледување на седниците на </w:t>
      </w:r>
      <w:r w:rsidR="001F11B5">
        <w:rPr>
          <w:rFonts w:cs="Calibri"/>
          <w:bCs/>
          <w:lang w:val="mk-MK"/>
        </w:rPr>
        <w:t>ВРСМ</w:t>
      </w:r>
      <w:r>
        <w:rPr>
          <w:rFonts w:cs="Calibri"/>
          <w:bCs/>
          <w:lang w:val="mk-MK"/>
        </w:rPr>
        <w:t xml:space="preserve">, да се </w:t>
      </w:r>
      <w:r w:rsidRPr="002B0B2E">
        <w:rPr>
          <w:rFonts w:cs="Calibri"/>
          <w:bCs/>
          <w:lang w:val="mk-MK"/>
        </w:rPr>
        <w:t>подобр</w:t>
      </w:r>
      <w:r>
        <w:rPr>
          <w:rFonts w:cs="Calibri"/>
          <w:bCs/>
          <w:lang w:val="mk-MK"/>
        </w:rPr>
        <w:t xml:space="preserve">и </w:t>
      </w:r>
      <w:r w:rsidRPr="002B0B2E">
        <w:rPr>
          <w:rFonts w:cs="Calibri"/>
          <w:bCs/>
          <w:lang w:val="mk-MK"/>
        </w:rPr>
        <w:t>транспарентноста и системот на одлучување</w:t>
      </w:r>
      <w:r>
        <w:rPr>
          <w:rFonts w:cs="Calibri"/>
          <w:bCs/>
          <w:lang w:val="mk-MK"/>
        </w:rPr>
        <w:t xml:space="preserve"> и да се обезбеди непречен проток на сите законски акти со кои се транспонира европското право на линија на пристапните преговори и преземените меѓународни обврски. Во периодот опфатен со оваа </w:t>
      </w:r>
      <w:r w:rsidR="00475216">
        <w:rPr>
          <w:rFonts w:cs="Calibri"/>
          <w:bCs/>
          <w:lang w:val="mk-MK"/>
        </w:rPr>
        <w:t>стратегија</w:t>
      </w:r>
      <w:r>
        <w:rPr>
          <w:rFonts w:cs="Calibri"/>
          <w:bCs/>
          <w:lang w:val="mk-MK"/>
        </w:rPr>
        <w:t xml:space="preserve">, правната рамка за внатрешна организација на </w:t>
      </w:r>
      <w:r w:rsidR="00475216">
        <w:rPr>
          <w:rFonts w:cs="Calibri"/>
          <w:bCs/>
          <w:lang w:val="mk-MK"/>
        </w:rPr>
        <w:t>ГС</w:t>
      </w:r>
      <w:r>
        <w:rPr>
          <w:rFonts w:cs="Calibri"/>
          <w:bCs/>
          <w:lang w:val="mk-MK"/>
        </w:rPr>
        <w:t xml:space="preserve"> </w:t>
      </w:r>
      <w:r w:rsidRPr="00604B7E">
        <w:rPr>
          <w:rFonts w:cs="Calibri"/>
          <w:bCs/>
          <w:lang w:val="mk-MK"/>
        </w:rPr>
        <w:t xml:space="preserve">може да претрпи одредени измени поврзани </w:t>
      </w:r>
      <w:r>
        <w:rPr>
          <w:rFonts w:cs="Calibri"/>
          <w:bCs/>
          <w:lang w:val="mk-MK"/>
        </w:rPr>
        <w:t xml:space="preserve">и </w:t>
      </w:r>
      <w:r w:rsidRPr="00604B7E">
        <w:rPr>
          <w:rFonts w:cs="Calibri"/>
          <w:bCs/>
          <w:lang w:val="mk-MK"/>
        </w:rPr>
        <w:t>со реорганизацијата на државната</w:t>
      </w:r>
      <w:r>
        <w:rPr>
          <w:rFonts w:cs="Calibri"/>
          <w:bCs/>
          <w:lang w:val="mk-MK"/>
        </w:rPr>
        <w:t xml:space="preserve"> управа.</w:t>
      </w:r>
    </w:p>
    <w:p w14:paraId="229A0365" w14:textId="3B7F5B58" w:rsidR="000E66C0" w:rsidRPr="00782920" w:rsidRDefault="00F5796C" w:rsidP="00CA7866">
      <w:pPr>
        <w:spacing w:line="276" w:lineRule="auto"/>
        <w:jc w:val="both"/>
        <w:rPr>
          <w:rFonts w:cstheme="minorHAnsi"/>
        </w:rPr>
      </w:pPr>
      <w:r>
        <w:rPr>
          <w:iCs/>
          <w:lang w:val="mk-MK"/>
        </w:rPr>
        <w:t xml:space="preserve">Законот за буџети ги поврзува плановите за развојни програми на </w:t>
      </w:r>
      <w:r w:rsidR="00335E39">
        <w:rPr>
          <w:iCs/>
          <w:lang w:val="mk-MK"/>
        </w:rPr>
        <w:t xml:space="preserve">ВРСМ </w:t>
      </w:r>
      <w:r>
        <w:rPr>
          <w:iCs/>
          <w:lang w:val="mk-MK"/>
        </w:rPr>
        <w:t>и стратешките планови на институциите со организациската и програмската класификација на Буџетот. Средствата потребни за спроведување на програмите содржани во стратешкиот план треба да бидат во рамките на максималните износи на расходи утврдени со Фискалната стратегија, а стратешкиот план да биде усогласен со Ревидираната фискална стратегија и усвоениот Буџет.</w:t>
      </w:r>
      <w:r w:rsidR="000E66C0" w:rsidRPr="000E66C0">
        <w:rPr>
          <w:rFonts w:eastAsia="Times New Roman" w:cstheme="minorHAnsi"/>
          <w:color w:val="202124"/>
          <w:lang w:val="mk-MK"/>
        </w:rPr>
        <w:t xml:space="preserve"> </w:t>
      </w:r>
      <w:r w:rsidR="000E66C0" w:rsidRPr="00782920">
        <w:rPr>
          <w:rFonts w:eastAsia="Times New Roman" w:cstheme="minorHAnsi"/>
          <w:lang w:val="mk-MK"/>
        </w:rPr>
        <w:t xml:space="preserve">Новиот Закон за буџет усвоен во јули 2022 година, за првпат ја вклучува родовата еднаквост меѓу клучните буџетски принципи, а </w:t>
      </w:r>
      <w:r w:rsidR="000E66C0" w:rsidRPr="00782920">
        <w:rPr>
          <w:rFonts w:eastAsia="Times New Roman" w:cstheme="minorHAnsi"/>
          <w:lang w:val="mk-MK"/>
        </w:rPr>
        <w:lastRenderedPageBreak/>
        <w:t>одредбите за родово одговорно буџетирање  се наведени во членовите поврзани со финансиското планирање и известувањето на буџетските корисници.</w:t>
      </w:r>
    </w:p>
    <w:p w14:paraId="0529E100" w14:textId="55E03016" w:rsidR="00F5796C" w:rsidRDefault="00F5796C" w:rsidP="00F5796C">
      <w:pPr>
        <w:jc w:val="both"/>
        <w:rPr>
          <w:rFonts w:cs="Calibri"/>
          <w:b/>
          <w:lang w:val="mk-MK"/>
        </w:rPr>
      </w:pPr>
      <w:r w:rsidRPr="00DE1AC5">
        <w:rPr>
          <w:iCs/>
          <w:lang w:val="mk-MK"/>
        </w:rPr>
        <w:t xml:space="preserve">Методологијата за стратешко планирање и подготвување на </w:t>
      </w:r>
      <w:r w:rsidR="00475216">
        <w:rPr>
          <w:iCs/>
          <w:lang w:val="mk-MK"/>
        </w:rPr>
        <w:t>ГПРВ</w:t>
      </w:r>
      <w:r>
        <w:rPr>
          <w:rStyle w:val="FootnoteReference"/>
          <w:iCs/>
          <w:lang w:val="mk-MK"/>
        </w:rPr>
        <w:footnoteReference w:id="30"/>
      </w:r>
      <w:r>
        <w:rPr>
          <w:iCs/>
          <w:lang w:val="mk-MK"/>
        </w:rPr>
        <w:t xml:space="preserve"> </w:t>
      </w:r>
      <w:r w:rsidRPr="00C86249">
        <w:rPr>
          <w:iCs/>
          <w:lang w:val="mk-MK"/>
        </w:rPr>
        <w:t>претставува</w:t>
      </w:r>
      <w:r>
        <w:rPr>
          <w:iCs/>
          <w:lang w:val="mk-MK"/>
        </w:rPr>
        <w:t>ат</w:t>
      </w:r>
      <w:r w:rsidRPr="00C86249">
        <w:rPr>
          <w:iCs/>
          <w:lang w:val="mk-MK"/>
        </w:rPr>
        <w:t xml:space="preserve"> </w:t>
      </w:r>
      <w:r>
        <w:rPr>
          <w:iCs/>
          <w:lang w:val="mk-MK"/>
        </w:rPr>
        <w:t xml:space="preserve">солидна </w:t>
      </w:r>
      <w:r w:rsidRPr="00C86249">
        <w:rPr>
          <w:iCs/>
          <w:lang w:val="mk-MK"/>
        </w:rPr>
        <w:t xml:space="preserve">правна рамка за поврзување </w:t>
      </w:r>
      <w:r>
        <w:rPr>
          <w:iCs/>
          <w:lang w:val="mk-MK"/>
        </w:rPr>
        <w:t xml:space="preserve">на </w:t>
      </w:r>
      <w:r w:rsidRPr="00C86249">
        <w:rPr>
          <w:iCs/>
          <w:lang w:val="mk-MK"/>
        </w:rPr>
        <w:t xml:space="preserve">стратешките приоритети на </w:t>
      </w:r>
      <w:r w:rsidR="00335E39">
        <w:rPr>
          <w:iCs/>
          <w:lang w:val="mk-MK"/>
        </w:rPr>
        <w:t>ВРСМ</w:t>
      </w:r>
      <w:r w:rsidR="00335E39" w:rsidRPr="00C86249">
        <w:rPr>
          <w:iCs/>
          <w:lang w:val="mk-MK"/>
        </w:rPr>
        <w:t xml:space="preserve"> </w:t>
      </w:r>
      <w:r w:rsidRPr="00C86249">
        <w:rPr>
          <w:iCs/>
          <w:lang w:val="mk-MK"/>
        </w:rPr>
        <w:t>со буџетскиот процес и со процесот на планирање на ниво на министерствата.</w:t>
      </w:r>
      <w:r w:rsidRPr="00DE1AC5">
        <w:rPr>
          <w:iCs/>
          <w:lang w:val="mk-MK"/>
        </w:rPr>
        <w:t xml:space="preserve"> </w:t>
      </w:r>
      <w:r>
        <w:rPr>
          <w:iCs/>
          <w:lang w:val="mk-MK"/>
        </w:rPr>
        <w:t>Со измената на Методологијата и упатствата од март 2018 година, се воведе обврската за подготвување на годишен план за работа, со кој се овозможи структуриран начин на спроведување на програмите и потпрограмите од стратешкиот план и зајакнување на отчетноста кон граѓаните преку објавување на извештај за негово спроведување. Воедно, с</w:t>
      </w:r>
      <w:r w:rsidRPr="00F5423E">
        <w:rPr>
          <w:iCs/>
          <w:lang w:val="mk-MK"/>
        </w:rPr>
        <w:t xml:space="preserve">поред </w:t>
      </w:r>
      <w:r>
        <w:rPr>
          <w:iCs/>
          <w:lang w:val="mk-MK"/>
        </w:rPr>
        <w:t>у</w:t>
      </w:r>
      <w:r w:rsidRPr="00F5423E">
        <w:rPr>
          <w:iCs/>
          <w:lang w:val="mk-MK"/>
        </w:rPr>
        <w:t>патства</w:t>
      </w:r>
      <w:r>
        <w:rPr>
          <w:iCs/>
          <w:lang w:val="mk-MK"/>
        </w:rPr>
        <w:t>та од 2018 година</w:t>
      </w:r>
      <w:r w:rsidRPr="00F5423E">
        <w:rPr>
          <w:iCs/>
          <w:lang w:val="mk-MK"/>
        </w:rPr>
        <w:t xml:space="preserve">, стратешкиот план содржи и </w:t>
      </w:r>
      <w:r w:rsidRPr="00D83B75">
        <w:rPr>
          <w:iCs/>
          <w:lang w:val="mk-MK"/>
        </w:rPr>
        <w:t>оценка на политиките кои го</w:t>
      </w:r>
      <w:r>
        <w:rPr>
          <w:iCs/>
          <w:lang w:val="mk-MK"/>
        </w:rPr>
        <w:t xml:space="preserve"> </w:t>
      </w:r>
      <w:r w:rsidRPr="00D83B75">
        <w:rPr>
          <w:iCs/>
          <w:lang w:val="mk-MK"/>
        </w:rPr>
        <w:t>дефинираат статусот на жените и мажите во општеството и придонесуваат кон родовата</w:t>
      </w:r>
      <w:r>
        <w:rPr>
          <w:iCs/>
          <w:lang w:val="mk-MK"/>
        </w:rPr>
        <w:t xml:space="preserve"> </w:t>
      </w:r>
      <w:r w:rsidRPr="00D83B75">
        <w:rPr>
          <w:iCs/>
          <w:lang w:val="mk-MK"/>
        </w:rPr>
        <w:t>еднаквост</w:t>
      </w:r>
      <w:r w:rsidRPr="00F5423E">
        <w:rPr>
          <w:iCs/>
          <w:lang w:val="mk-MK"/>
        </w:rPr>
        <w:t>.</w:t>
      </w:r>
    </w:p>
    <w:p w14:paraId="32A96DEE" w14:textId="12CF3F73" w:rsidR="00F5796C" w:rsidRDefault="00F5796C" w:rsidP="00F5796C">
      <w:pPr>
        <w:jc w:val="both"/>
        <w:rPr>
          <w:rFonts w:cs="Calibri"/>
          <w:lang w:val="mk-MK"/>
        </w:rPr>
      </w:pPr>
      <w:r w:rsidRPr="00F575DA">
        <w:rPr>
          <w:rFonts w:cs="Calibri"/>
          <w:b/>
          <w:lang w:val="mk-MK"/>
        </w:rPr>
        <w:t>Надлежни институции за</w:t>
      </w:r>
      <w:r>
        <w:rPr>
          <w:rFonts w:cs="Calibri"/>
          <w:b/>
        </w:rPr>
        <w:t xml:space="preserve"> </w:t>
      </w:r>
      <w:r w:rsidRPr="00604B7E">
        <w:rPr>
          <w:rFonts w:cs="Calibri"/>
          <w:b/>
          <w:lang w:val="mk-MK"/>
        </w:rPr>
        <w:t>координација на</w:t>
      </w:r>
      <w:r w:rsidRPr="00604B7E">
        <w:rPr>
          <w:rFonts w:cs="Calibri"/>
          <w:b/>
        </w:rPr>
        <w:t xml:space="preserve"> </w:t>
      </w:r>
      <w:r w:rsidRPr="00604B7E">
        <w:rPr>
          <w:rFonts w:cs="Calibri"/>
          <w:b/>
          <w:lang w:val="mk-MK"/>
        </w:rPr>
        <w:t>планирањето</w:t>
      </w:r>
      <w:r>
        <w:rPr>
          <w:rFonts w:cs="Calibri"/>
          <w:bCs/>
          <w:lang w:val="mk-MK"/>
        </w:rPr>
        <w:t xml:space="preserve"> се: </w:t>
      </w:r>
      <w:r w:rsidR="00782920" w:rsidRPr="00CA128C">
        <w:rPr>
          <w:rFonts w:cs="Calibri"/>
          <w:lang w:val="mk-MK"/>
        </w:rPr>
        <w:t>ГС</w:t>
      </w:r>
      <w:r>
        <w:rPr>
          <w:rFonts w:cs="Calibri"/>
          <w:lang w:val="mk-MK"/>
        </w:rPr>
        <w:t xml:space="preserve">; </w:t>
      </w:r>
      <w:r w:rsidRPr="00CA128C">
        <w:rPr>
          <w:rFonts w:cs="Calibri"/>
          <w:lang w:val="mk-MK"/>
        </w:rPr>
        <w:t>МФ</w:t>
      </w:r>
      <w:r>
        <w:rPr>
          <w:rFonts w:cs="Calibri"/>
          <w:lang w:val="mk-MK"/>
        </w:rPr>
        <w:t xml:space="preserve">, </w:t>
      </w:r>
      <w:r w:rsidRPr="00CA128C">
        <w:rPr>
          <w:rFonts w:cs="Calibri"/>
          <w:lang w:val="mk-MK"/>
        </w:rPr>
        <w:t>МИОА</w:t>
      </w:r>
      <w:r>
        <w:rPr>
          <w:rFonts w:cs="Calibri"/>
          <w:lang w:val="mk-MK"/>
        </w:rPr>
        <w:t xml:space="preserve">, </w:t>
      </w:r>
      <w:r w:rsidRPr="00CA128C">
        <w:rPr>
          <w:rFonts w:cs="Calibri"/>
          <w:lang w:val="mk-MK"/>
        </w:rPr>
        <w:t>СЕП</w:t>
      </w:r>
      <w:r>
        <w:rPr>
          <w:rFonts w:cs="Calibri"/>
          <w:lang w:val="mk-MK"/>
        </w:rPr>
        <w:t>,</w:t>
      </w:r>
      <w:r w:rsidR="00A6312A">
        <w:rPr>
          <w:rFonts w:cs="Calibri"/>
          <w:lang w:val="mk-MK"/>
        </w:rPr>
        <w:t xml:space="preserve"> </w:t>
      </w:r>
      <w:r w:rsidRPr="00CA128C">
        <w:rPr>
          <w:rFonts w:cs="Calibri"/>
          <w:lang w:val="mk-MK"/>
        </w:rPr>
        <w:t>СЗ</w:t>
      </w:r>
      <w:r w:rsidR="00A6312A">
        <w:rPr>
          <w:rFonts w:cs="Calibri"/>
          <w:lang w:val="mk-MK"/>
        </w:rPr>
        <w:t xml:space="preserve"> и </w:t>
      </w:r>
      <w:r w:rsidR="0012682C">
        <w:rPr>
          <w:rFonts w:cs="Calibri"/>
          <w:lang w:val="mk-MK"/>
        </w:rPr>
        <w:t>КПВРС</w:t>
      </w:r>
      <w:r>
        <w:rPr>
          <w:rFonts w:cs="Calibri"/>
          <w:lang w:val="mk-MK"/>
        </w:rPr>
        <w:t>. Овие институции</w:t>
      </w:r>
      <w:r w:rsidRPr="00DD66A3">
        <w:rPr>
          <w:rFonts w:cs="Calibri"/>
          <w:lang w:val="mk-MK"/>
        </w:rPr>
        <w:t xml:space="preserve"> го сочинуваат </w:t>
      </w:r>
      <w:r>
        <w:rPr>
          <w:rFonts w:cs="Calibri"/>
          <w:lang w:val="mk-MK"/>
        </w:rPr>
        <w:t>т.н. „</w:t>
      </w:r>
      <w:r w:rsidRPr="00DD66A3">
        <w:rPr>
          <w:rFonts w:cs="Calibri"/>
          <w:lang w:val="mk-MK"/>
        </w:rPr>
        <w:t>Центар на Владата</w:t>
      </w:r>
      <w:r>
        <w:rPr>
          <w:rFonts w:cs="Calibri"/>
          <w:lang w:val="mk-MK"/>
        </w:rPr>
        <w:t>“</w:t>
      </w:r>
      <w:r w:rsidRPr="00DD66A3">
        <w:rPr>
          <w:rFonts w:cs="Calibri"/>
          <w:lang w:val="mk-MK"/>
        </w:rPr>
        <w:t xml:space="preserve"> </w:t>
      </w:r>
      <w:r>
        <w:rPr>
          <w:rFonts w:cs="Calibri"/>
          <w:lang w:val="mk-MK"/>
        </w:rPr>
        <w:t xml:space="preserve">и треба </w:t>
      </w:r>
      <w:r w:rsidRPr="00DD66A3">
        <w:rPr>
          <w:rFonts w:cs="Calibri"/>
          <w:lang w:val="mk-MK"/>
        </w:rPr>
        <w:t>да ги извр</w:t>
      </w:r>
      <w:r>
        <w:rPr>
          <w:rFonts w:cs="Calibri"/>
          <w:lang w:val="mk-MK"/>
        </w:rPr>
        <w:t>ш</w:t>
      </w:r>
      <w:r w:rsidRPr="00DD66A3">
        <w:rPr>
          <w:rFonts w:cs="Calibri"/>
          <w:lang w:val="mk-MK"/>
        </w:rPr>
        <w:t>уваат сите функции што се неопходни за добро организиран, конзистентен и компетентен систем на креирање политики</w:t>
      </w:r>
      <w:r>
        <w:rPr>
          <w:rFonts w:cs="Calibri"/>
          <w:lang w:val="mk-MK"/>
        </w:rPr>
        <w:t>. Сепак, к</w:t>
      </w:r>
      <w:r w:rsidRPr="001B0CA7">
        <w:rPr>
          <w:rFonts w:cs="Calibri"/>
          <w:lang w:val="mk-MK"/>
        </w:rPr>
        <w:t xml:space="preserve">оординацијата и соработката меѓу </w:t>
      </w:r>
      <w:r>
        <w:rPr>
          <w:rFonts w:cs="Calibri"/>
          <w:lang w:val="mk-MK"/>
        </w:rPr>
        <w:t xml:space="preserve">нив при </w:t>
      </w:r>
      <w:r w:rsidRPr="001B0CA7">
        <w:rPr>
          <w:rFonts w:cs="Calibri"/>
          <w:lang w:val="mk-MK"/>
        </w:rPr>
        <w:t>подготвување на клучните документи за планирање</w:t>
      </w:r>
      <w:r>
        <w:rPr>
          <w:rFonts w:cs="Calibri"/>
          <w:lang w:val="mk-MK"/>
        </w:rPr>
        <w:t xml:space="preserve"> и при </w:t>
      </w:r>
      <w:r w:rsidRPr="001B0CA7">
        <w:rPr>
          <w:rFonts w:cs="Calibri"/>
          <w:lang w:val="mk-MK"/>
        </w:rPr>
        <w:t>проверк</w:t>
      </w:r>
      <w:r>
        <w:rPr>
          <w:rFonts w:cs="Calibri"/>
          <w:lang w:val="mk-MK"/>
        </w:rPr>
        <w:t>а</w:t>
      </w:r>
      <w:r w:rsidRPr="001B0CA7">
        <w:rPr>
          <w:rFonts w:cs="Calibri"/>
          <w:lang w:val="mk-MK"/>
        </w:rPr>
        <w:t xml:space="preserve"> на квалитетот </w:t>
      </w:r>
      <w:r w:rsidR="00E96F85">
        <w:rPr>
          <w:rFonts w:cs="Calibri"/>
          <w:lang w:val="mk-MK"/>
        </w:rPr>
        <w:t>и</w:t>
      </w:r>
      <w:r w:rsidRPr="001B0CA7">
        <w:rPr>
          <w:rFonts w:cs="Calibri"/>
          <w:lang w:val="mk-MK"/>
        </w:rPr>
        <w:t xml:space="preserve"> кохерентноста на политиките не се целосно обезбедени</w:t>
      </w:r>
      <w:r>
        <w:rPr>
          <w:rFonts w:cs="Calibri"/>
          <w:lang w:val="mk-MK"/>
        </w:rPr>
        <w:t xml:space="preserve"> и</w:t>
      </w:r>
      <w:r w:rsidRPr="001B0CA7">
        <w:rPr>
          <w:rFonts w:cs="Calibri"/>
          <w:lang w:val="mk-MK"/>
        </w:rPr>
        <w:t xml:space="preserve"> не се вршат систематски.</w:t>
      </w:r>
    </w:p>
    <w:p w14:paraId="15C2794F" w14:textId="455F42C7" w:rsidR="00224FFD" w:rsidRPr="008E0E18" w:rsidRDefault="00224FFD" w:rsidP="00224FFD">
      <w:pPr>
        <w:jc w:val="both"/>
        <w:rPr>
          <w:iCs/>
          <w:lang w:val="en-US"/>
        </w:rPr>
      </w:pPr>
      <w:r w:rsidRPr="009A159F">
        <w:rPr>
          <w:iCs/>
          <w:lang w:val="mk-MK"/>
        </w:rPr>
        <w:t>Координација</w:t>
      </w:r>
      <w:r>
        <w:rPr>
          <w:iCs/>
          <w:lang w:val="mk-MK"/>
        </w:rPr>
        <w:t>та</w:t>
      </w:r>
      <w:r w:rsidRPr="009A159F">
        <w:rPr>
          <w:iCs/>
          <w:lang w:val="mk-MK"/>
        </w:rPr>
        <w:t xml:space="preserve"> на процесот на стратешко планирање </w:t>
      </w:r>
      <w:r>
        <w:rPr>
          <w:iCs/>
          <w:lang w:val="mk-MK"/>
        </w:rPr>
        <w:t>ја</w:t>
      </w:r>
      <w:r w:rsidRPr="009A159F">
        <w:rPr>
          <w:iCs/>
          <w:lang w:val="mk-MK"/>
        </w:rPr>
        <w:t xml:space="preserve"> обезбед</w:t>
      </w:r>
      <w:r>
        <w:rPr>
          <w:iCs/>
          <w:lang w:val="mk-MK"/>
        </w:rPr>
        <w:t>ува</w:t>
      </w:r>
      <w:r w:rsidRPr="009A159F">
        <w:rPr>
          <w:iCs/>
          <w:lang w:val="mk-MK"/>
        </w:rPr>
        <w:t xml:space="preserve"> Секторот за стратегија, планирање и следење </w:t>
      </w:r>
      <w:r>
        <w:rPr>
          <w:iCs/>
          <w:lang w:val="mk-MK"/>
        </w:rPr>
        <w:t>на</w:t>
      </w:r>
      <w:r w:rsidRPr="009A159F">
        <w:rPr>
          <w:iCs/>
          <w:lang w:val="mk-MK"/>
        </w:rPr>
        <w:t xml:space="preserve"> ГС преку соодветните организациони единици (сектори или одделенија) за стратешко планирање</w:t>
      </w:r>
      <w:r>
        <w:rPr>
          <w:iCs/>
          <w:lang w:val="mk-MK"/>
        </w:rPr>
        <w:t>, креирање политики и следење</w:t>
      </w:r>
      <w:r w:rsidRPr="009A159F">
        <w:rPr>
          <w:iCs/>
          <w:lang w:val="mk-MK"/>
        </w:rPr>
        <w:t xml:space="preserve"> во министерствата и органите на државната управа</w:t>
      </w:r>
      <w:r>
        <w:rPr>
          <w:iCs/>
          <w:lang w:val="mk-MK"/>
        </w:rPr>
        <w:t>. О</w:t>
      </w:r>
      <w:r w:rsidRPr="007C0410">
        <w:rPr>
          <w:iCs/>
          <w:lang w:val="mk-MK"/>
        </w:rPr>
        <w:t xml:space="preserve">д анализирани 17 институции (15 министерства и </w:t>
      </w:r>
      <w:r w:rsidR="00A6312A">
        <w:rPr>
          <w:iCs/>
          <w:lang w:val="mk-MK"/>
        </w:rPr>
        <w:t xml:space="preserve">три </w:t>
      </w:r>
      <w:r w:rsidRPr="007C0410">
        <w:rPr>
          <w:iCs/>
          <w:lang w:val="mk-MK"/>
        </w:rPr>
        <w:t>секретаријати) во 2018 година</w:t>
      </w:r>
      <w:r>
        <w:rPr>
          <w:rStyle w:val="FootnoteReference"/>
          <w:iCs/>
          <w:lang w:val="mk-MK"/>
        </w:rPr>
        <w:footnoteReference w:id="31"/>
      </w:r>
      <w:r w:rsidRPr="007C0410">
        <w:rPr>
          <w:iCs/>
          <w:lang w:val="mk-MK"/>
        </w:rPr>
        <w:t>, во 15 е институционализирано одделение за стратешко планирање со вкупно 60 вработени, но во дел од институциите тоа е во состав на сектор со други надлежности (контрола на квалитет, креирање политики, односи со јавност).</w:t>
      </w:r>
      <w:r>
        <w:rPr>
          <w:iCs/>
          <w:lang w:val="mk-MK"/>
        </w:rPr>
        <w:t xml:space="preserve"> Во март 2023 година, вкупно 77 административни службеници во министерствата и два секретаријати</w:t>
      </w:r>
      <w:r>
        <w:rPr>
          <w:rStyle w:val="FootnoteReference"/>
          <w:iCs/>
          <w:lang w:val="mk-MK"/>
        </w:rPr>
        <w:footnoteReference w:id="32"/>
      </w:r>
      <w:r>
        <w:rPr>
          <w:iCs/>
          <w:lang w:val="mk-MK"/>
        </w:rPr>
        <w:t xml:space="preserve"> работат на стратешко планирање. В</w:t>
      </w:r>
      <w:r w:rsidRPr="00EC225B">
        <w:rPr>
          <w:iCs/>
          <w:lang w:val="mk-MK"/>
        </w:rPr>
        <w:t xml:space="preserve">о 2021 година </w:t>
      </w:r>
      <w:r w:rsidR="00A6312A">
        <w:rPr>
          <w:iCs/>
          <w:lang w:val="mk-MK"/>
        </w:rPr>
        <w:t>три</w:t>
      </w:r>
      <w:r w:rsidRPr="00EC225B">
        <w:rPr>
          <w:iCs/>
          <w:lang w:val="mk-MK"/>
        </w:rPr>
        <w:t xml:space="preserve"> министерства</w:t>
      </w:r>
      <w:r>
        <w:rPr>
          <w:iCs/>
          <w:lang w:val="mk-MK"/>
        </w:rPr>
        <w:t xml:space="preserve"> и </w:t>
      </w:r>
      <w:r w:rsidR="00A6312A">
        <w:rPr>
          <w:iCs/>
          <w:lang w:val="mk-MK"/>
        </w:rPr>
        <w:t>седум</w:t>
      </w:r>
      <w:r>
        <w:rPr>
          <w:iCs/>
          <w:lang w:val="mk-MK"/>
        </w:rPr>
        <w:t xml:space="preserve"> агенции и управни организации</w:t>
      </w:r>
      <w:r>
        <w:rPr>
          <w:rStyle w:val="FootnoteReference"/>
          <w:iCs/>
          <w:lang w:val="mk-MK"/>
        </w:rPr>
        <w:footnoteReference w:id="33"/>
      </w:r>
      <w:r w:rsidRPr="00EC225B">
        <w:rPr>
          <w:iCs/>
          <w:lang w:val="mk-MK"/>
        </w:rPr>
        <w:t xml:space="preserve"> не доставиле нацрт-стратешки планови до ГС</w:t>
      </w:r>
      <w:r>
        <w:rPr>
          <w:iCs/>
          <w:lang w:val="mk-MK"/>
        </w:rPr>
        <w:t xml:space="preserve">, а подготвувањето на годишни планови и извештаи за нивно спроведување не се </w:t>
      </w:r>
      <w:r>
        <w:rPr>
          <w:iCs/>
          <w:lang w:val="mk-MK"/>
        </w:rPr>
        <w:lastRenderedPageBreak/>
        <w:t xml:space="preserve">следи систематски од страна на ГС. Во 2022 година, </w:t>
      </w:r>
      <w:r w:rsidR="00A6312A">
        <w:rPr>
          <w:iCs/>
          <w:lang w:val="mk-MK"/>
        </w:rPr>
        <w:t xml:space="preserve">две </w:t>
      </w:r>
      <w:r>
        <w:rPr>
          <w:iCs/>
          <w:lang w:val="mk-MK"/>
        </w:rPr>
        <w:t xml:space="preserve">министерства и </w:t>
      </w:r>
      <w:r w:rsidR="00A6312A">
        <w:rPr>
          <w:iCs/>
          <w:lang w:val="mk-MK"/>
        </w:rPr>
        <w:t xml:space="preserve">седум </w:t>
      </w:r>
      <w:r>
        <w:rPr>
          <w:iCs/>
          <w:lang w:val="mk-MK"/>
        </w:rPr>
        <w:t>агенции и управни организации не доставиле нацрт-стратешки планови до ГС</w:t>
      </w:r>
      <w:r>
        <w:rPr>
          <w:rStyle w:val="FootnoteReference"/>
          <w:iCs/>
          <w:lang w:val="mk-MK"/>
        </w:rPr>
        <w:footnoteReference w:id="34"/>
      </w:r>
      <w:r>
        <w:rPr>
          <w:iCs/>
          <w:lang w:val="mk-MK"/>
        </w:rPr>
        <w:t>.</w:t>
      </w:r>
    </w:p>
    <w:p w14:paraId="5C93DE61" w14:textId="5507716A" w:rsidR="00F5796C" w:rsidRDefault="00F5796C" w:rsidP="00F5796C">
      <w:pPr>
        <w:jc w:val="both"/>
        <w:rPr>
          <w:iCs/>
          <w:lang w:val="mk-MK"/>
        </w:rPr>
      </w:pPr>
      <w:r>
        <w:rPr>
          <w:iCs/>
          <w:lang w:val="mk-MK"/>
        </w:rPr>
        <w:t>Во октомври 2019 година воведен е Е</w:t>
      </w:r>
      <w:r w:rsidRPr="002773C9">
        <w:rPr>
          <w:iCs/>
          <w:lang w:val="mk-MK"/>
        </w:rPr>
        <w:t xml:space="preserve">лектронски систем за стратешко планирање и подготовка на </w:t>
      </w:r>
      <w:r>
        <w:rPr>
          <w:iCs/>
          <w:lang w:val="mk-MK"/>
        </w:rPr>
        <w:t>ГПРВ, со што</w:t>
      </w:r>
      <w:r w:rsidRPr="002773C9">
        <w:rPr>
          <w:iCs/>
          <w:lang w:val="mk-MK"/>
        </w:rPr>
        <w:t xml:space="preserve"> </w:t>
      </w:r>
      <w:r>
        <w:rPr>
          <w:iCs/>
          <w:lang w:val="mk-MK"/>
        </w:rPr>
        <w:t xml:space="preserve">се </w:t>
      </w:r>
      <w:r w:rsidRPr="002773C9">
        <w:rPr>
          <w:iCs/>
          <w:lang w:val="mk-MK"/>
        </w:rPr>
        <w:t>овозмож</w:t>
      </w:r>
      <w:r>
        <w:rPr>
          <w:iCs/>
          <w:lang w:val="mk-MK"/>
        </w:rPr>
        <w:t xml:space="preserve">и </w:t>
      </w:r>
      <w:r w:rsidRPr="002773C9">
        <w:rPr>
          <w:iCs/>
          <w:lang w:val="mk-MK"/>
        </w:rPr>
        <w:t xml:space="preserve">електронско подготвување и следење на </w:t>
      </w:r>
      <w:r>
        <w:rPr>
          <w:iCs/>
          <w:lang w:val="mk-MK"/>
        </w:rPr>
        <w:t>ГПРВ</w:t>
      </w:r>
      <w:r w:rsidRPr="002773C9">
        <w:rPr>
          <w:iCs/>
          <w:lang w:val="mk-MK"/>
        </w:rPr>
        <w:t xml:space="preserve">. </w:t>
      </w:r>
      <w:r>
        <w:rPr>
          <w:iCs/>
          <w:lang w:val="mk-MK"/>
        </w:rPr>
        <w:t xml:space="preserve">Сепак, </w:t>
      </w:r>
      <w:r>
        <w:rPr>
          <w:b/>
          <w:bCs/>
          <w:iCs/>
          <w:lang w:val="mk-MK"/>
        </w:rPr>
        <w:t>п</w:t>
      </w:r>
      <w:r w:rsidRPr="00F575DA">
        <w:rPr>
          <w:b/>
          <w:bCs/>
          <w:iCs/>
          <w:lang w:val="mk-MK"/>
        </w:rPr>
        <w:t>ланирањето на ГПРВ и на секторските стратегии</w:t>
      </w:r>
      <w:r>
        <w:rPr>
          <w:iCs/>
          <w:lang w:val="mk-MK"/>
        </w:rPr>
        <w:t xml:space="preserve"> е со незадоволителен квалитет бидејќи дури </w:t>
      </w:r>
      <w:r w:rsidRPr="005E3779">
        <w:rPr>
          <w:iCs/>
          <w:lang w:val="mk-MK"/>
        </w:rPr>
        <w:t>56% од планираните стратегии во ГПРВ за 2020 се пренесени во ГПРВ за 2021 година, 58% од планираните предлози на закони во ГПРВ за 2020 се пренесени во 2021 година</w:t>
      </w:r>
      <w:r>
        <w:rPr>
          <w:iCs/>
          <w:lang w:val="mk-MK"/>
        </w:rPr>
        <w:t>, а</w:t>
      </w:r>
      <w:r w:rsidRPr="005E3779">
        <w:rPr>
          <w:iCs/>
          <w:lang w:val="mk-MK"/>
        </w:rPr>
        <w:t xml:space="preserve"> само 15% од законите </w:t>
      </w:r>
      <w:r>
        <w:rPr>
          <w:iCs/>
          <w:lang w:val="mk-MK"/>
        </w:rPr>
        <w:t xml:space="preserve">во 2020 година, односно 20% во 2021 година </w:t>
      </w:r>
      <w:r w:rsidRPr="005E3779">
        <w:rPr>
          <w:iCs/>
          <w:lang w:val="mk-MK"/>
        </w:rPr>
        <w:t xml:space="preserve">поднесени до Собранието </w:t>
      </w:r>
      <w:r w:rsidR="002C7FE7">
        <w:rPr>
          <w:iCs/>
          <w:lang w:val="mk-MK"/>
        </w:rPr>
        <w:t xml:space="preserve">на РСМ </w:t>
      </w:r>
      <w:r w:rsidRPr="005E3779">
        <w:rPr>
          <w:iCs/>
          <w:lang w:val="mk-MK"/>
        </w:rPr>
        <w:t xml:space="preserve">од страна на </w:t>
      </w:r>
      <w:r w:rsidR="002F55EA">
        <w:rPr>
          <w:iCs/>
          <w:lang w:val="mk-MK"/>
        </w:rPr>
        <w:t>ВРСМ</w:t>
      </w:r>
      <w:r w:rsidR="002F55EA" w:rsidRPr="005E3779">
        <w:rPr>
          <w:iCs/>
          <w:lang w:val="mk-MK"/>
        </w:rPr>
        <w:t xml:space="preserve"> </w:t>
      </w:r>
      <w:r w:rsidRPr="005E3779">
        <w:rPr>
          <w:iCs/>
          <w:lang w:val="mk-MK"/>
        </w:rPr>
        <w:t xml:space="preserve">како предлагач, </w:t>
      </w:r>
      <w:r>
        <w:rPr>
          <w:iCs/>
          <w:lang w:val="mk-MK"/>
        </w:rPr>
        <w:t>се</w:t>
      </w:r>
      <w:r w:rsidRPr="005E3779">
        <w:rPr>
          <w:iCs/>
          <w:lang w:val="mk-MK"/>
        </w:rPr>
        <w:t xml:space="preserve"> вклучени во ГПРВ за таа година.</w:t>
      </w:r>
    </w:p>
    <w:p w14:paraId="2FC71717" w14:textId="1A7DEDB9" w:rsidR="00F5796C" w:rsidRDefault="00F5796C" w:rsidP="00F5796C">
      <w:pPr>
        <w:jc w:val="both"/>
        <w:rPr>
          <w:iCs/>
          <w:lang w:val="mk-MK"/>
        </w:rPr>
      </w:pPr>
      <w:r>
        <w:rPr>
          <w:iCs/>
          <w:lang w:val="mk-MK"/>
        </w:rPr>
        <w:t xml:space="preserve">Ваквите резултати покажуваат слаб квалитет во целокупниот процес на стратешко планирање и координација. Една од причините е секако долгиот период на вонредна состојба во која се наоѓаше земјата во </w:t>
      </w:r>
      <w:r w:rsidRPr="00DB0EAA">
        <w:rPr>
          <w:iCs/>
          <w:lang w:val="mk-MK"/>
        </w:rPr>
        <w:t>истовремени услови на распуштено Собрание</w:t>
      </w:r>
      <w:r>
        <w:rPr>
          <w:iCs/>
          <w:lang w:val="mk-MK"/>
        </w:rPr>
        <w:t xml:space="preserve">, техничка влада и ковид пандемија. Во тој период постапката за донесување закони во </w:t>
      </w:r>
      <w:r w:rsidR="001D1515">
        <w:rPr>
          <w:iCs/>
          <w:color w:val="FF0000"/>
          <w:lang w:val="mk-MK"/>
        </w:rPr>
        <w:t>СРСМ</w:t>
      </w:r>
      <w:r w:rsidRPr="008079C1">
        <w:rPr>
          <w:iCs/>
          <w:color w:val="FF0000"/>
          <w:lang w:val="mk-MK"/>
        </w:rPr>
        <w:t xml:space="preserve"> </w:t>
      </w:r>
      <w:r>
        <w:rPr>
          <w:iCs/>
          <w:lang w:val="mk-MK"/>
        </w:rPr>
        <w:t xml:space="preserve">беше заменета со носење на уредби на </w:t>
      </w:r>
      <w:r w:rsidR="00A6312A">
        <w:rPr>
          <w:iCs/>
          <w:lang w:val="mk-MK"/>
        </w:rPr>
        <w:t xml:space="preserve">ВРСМ </w:t>
      </w:r>
      <w:r>
        <w:rPr>
          <w:iCs/>
          <w:lang w:val="mk-MK"/>
        </w:rPr>
        <w:t xml:space="preserve">со законска сила чие донесување во услови на вонредна состојба не се планира, туку се врши </w:t>
      </w:r>
      <w:r w:rsidR="00E96F85">
        <w:rPr>
          <w:iCs/>
        </w:rPr>
        <w:t>ad hoc</w:t>
      </w:r>
      <w:r w:rsidR="00E96F85">
        <w:rPr>
          <w:iCs/>
          <w:lang w:val="mk-MK"/>
        </w:rPr>
        <w:t xml:space="preserve"> </w:t>
      </w:r>
      <w:r>
        <w:rPr>
          <w:iCs/>
          <w:lang w:val="mk-MK"/>
        </w:rPr>
        <w:t>според моментната состојба</w:t>
      </w:r>
      <w:r>
        <w:rPr>
          <w:iCs/>
        </w:rPr>
        <w:t>.</w:t>
      </w:r>
    </w:p>
    <w:p w14:paraId="6266B80D" w14:textId="231D16CF" w:rsidR="006A45D7" w:rsidRDefault="006A45D7" w:rsidP="006A45D7">
      <w:pPr>
        <w:jc w:val="both"/>
        <w:rPr>
          <w:iCs/>
        </w:rPr>
      </w:pPr>
      <w:r>
        <w:rPr>
          <w:iCs/>
          <w:lang w:val="mk-MK"/>
        </w:rPr>
        <w:t xml:space="preserve">Заради </w:t>
      </w:r>
      <w:r w:rsidRPr="005E3779">
        <w:rPr>
          <w:iCs/>
        </w:rPr>
        <w:t>унифицира</w:t>
      </w:r>
      <w:r>
        <w:rPr>
          <w:iCs/>
          <w:lang w:val="mk-MK"/>
        </w:rPr>
        <w:t>ње на</w:t>
      </w:r>
      <w:r w:rsidRPr="005E3779">
        <w:rPr>
          <w:iCs/>
        </w:rPr>
        <w:t xml:space="preserve"> систем</w:t>
      </w:r>
      <w:r>
        <w:rPr>
          <w:iCs/>
          <w:lang w:val="mk-MK"/>
        </w:rPr>
        <w:t>от</w:t>
      </w:r>
      <w:r w:rsidRPr="005E3779">
        <w:rPr>
          <w:iCs/>
        </w:rPr>
        <w:t xml:space="preserve"> за подготовка на секторски стратегии и </w:t>
      </w:r>
      <w:r w:rsidR="00EC7C0D">
        <w:rPr>
          <w:iCs/>
          <w:lang w:val="mk-MK"/>
        </w:rPr>
        <w:t>постигну</w:t>
      </w:r>
      <w:r>
        <w:rPr>
          <w:iCs/>
          <w:lang w:val="mk-MK"/>
        </w:rPr>
        <w:t>в</w:t>
      </w:r>
      <w:r w:rsidR="00EC7C0D">
        <w:rPr>
          <w:iCs/>
          <w:lang w:val="mk-MK"/>
        </w:rPr>
        <w:t>а</w:t>
      </w:r>
      <w:r>
        <w:rPr>
          <w:iCs/>
          <w:lang w:val="mk-MK"/>
        </w:rPr>
        <w:t xml:space="preserve">ње </w:t>
      </w:r>
      <w:r w:rsidRPr="005E3779">
        <w:rPr>
          <w:iCs/>
        </w:rPr>
        <w:t xml:space="preserve">повисок степен на реализација на стратешките приоритети и приоритетните цели на </w:t>
      </w:r>
      <w:r w:rsidR="00A6312A">
        <w:rPr>
          <w:iCs/>
          <w:lang w:val="mk-MK"/>
        </w:rPr>
        <w:t>ВРСМ</w:t>
      </w:r>
      <w:r w:rsidRPr="005E3779">
        <w:rPr>
          <w:iCs/>
        </w:rPr>
        <w:t xml:space="preserve">, во мај 2022 година </w:t>
      </w:r>
      <w:r w:rsidR="002F55EA">
        <w:rPr>
          <w:iCs/>
          <w:lang w:val="mk-MK"/>
        </w:rPr>
        <w:t>ВРСМ</w:t>
      </w:r>
      <w:r w:rsidR="002F55EA" w:rsidRPr="005E3779">
        <w:rPr>
          <w:iCs/>
        </w:rPr>
        <w:t xml:space="preserve"> </w:t>
      </w:r>
      <w:r w:rsidRPr="005E3779">
        <w:rPr>
          <w:iCs/>
        </w:rPr>
        <w:t xml:space="preserve">усвои Методологија за начинот на подготвување, спроведување, следење, известување и оценување  на секторските стратегии и Упатство за структурата, содржината и начинот на подготвување, спроведување, следење, известување и оценување на секторските и мултисекторските стратегии, кои произлегуваат од мерките на Стратегијата за </w:t>
      </w:r>
      <w:r w:rsidR="00A6312A">
        <w:rPr>
          <w:iCs/>
          <w:lang w:val="mk-MK"/>
        </w:rPr>
        <w:t>РЈА</w:t>
      </w:r>
      <w:r>
        <w:rPr>
          <w:iCs/>
          <w:lang w:val="mk-MK"/>
        </w:rPr>
        <w:t xml:space="preserve"> </w:t>
      </w:r>
      <w:r w:rsidRPr="005E3779">
        <w:rPr>
          <w:iCs/>
        </w:rPr>
        <w:t>2018-2022 за обезбедување на механизам за усогласување на долгорочното со среднорочното планирање и годишното планирање.</w:t>
      </w:r>
      <w:r>
        <w:rPr>
          <w:iCs/>
          <w:lang w:val="mk-MK"/>
        </w:rPr>
        <w:t xml:space="preserve"> </w:t>
      </w:r>
      <w:r w:rsidRPr="006B1358">
        <w:rPr>
          <w:iCs/>
          <w:lang w:val="mk-MK"/>
        </w:rPr>
        <w:t xml:space="preserve">Донесувањето на Методологијата и Упатството е голем чекор напред кон развивање на ефективен систем за подготовка на комплементарни и кохерентни </w:t>
      </w:r>
      <w:r w:rsidR="00E96F85" w:rsidRPr="00B5617C">
        <w:rPr>
          <w:iCs/>
          <w:lang w:val="mk-MK"/>
        </w:rPr>
        <w:t>секторски</w:t>
      </w:r>
      <w:r w:rsidR="00E96F85">
        <w:rPr>
          <w:iCs/>
          <w:lang w:val="mk-MK"/>
        </w:rPr>
        <w:t xml:space="preserve"> </w:t>
      </w:r>
      <w:r w:rsidRPr="006B1358">
        <w:rPr>
          <w:iCs/>
          <w:lang w:val="mk-MK"/>
        </w:rPr>
        <w:t>стратегии, обезбедување на потребната компактна структура и содржина на планските документи и развивање SMART индикатори и цели. Воведна дводневна обука за административните службеници од организационите единици за стратешко планирање во ресорните министерства беше организирана во јули 2022 година</w:t>
      </w:r>
      <w:r>
        <w:rPr>
          <w:iCs/>
          <w:lang w:val="mk-MK"/>
        </w:rPr>
        <w:t>, а новата правна рамка целосно се применува на секторските стратегии чија подготовка започна во втората половина на 2022 година</w:t>
      </w:r>
      <w:r>
        <w:rPr>
          <w:rStyle w:val="FootnoteReference"/>
          <w:iCs/>
          <w:lang w:val="mk-MK"/>
        </w:rPr>
        <w:footnoteReference w:id="35"/>
      </w:r>
      <w:r>
        <w:rPr>
          <w:iCs/>
          <w:lang w:val="mk-MK"/>
        </w:rPr>
        <w:t>. Со натамошното градење на капацитетите</w:t>
      </w:r>
      <w:r w:rsidRPr="005E3779">
        <w:rPr>
          <w:iCs/>
        </w:rPr>
        <w:t xml:space="preserve"> </w:t>
      </w:r>
      <w:r>
        <w:rPr>
          <w:iCs/>
          <w:lang w:val="mk-MK"/>
        </w:rPr>
        <w:t xml:space="preserve">во текот на 2023 година </w:t>
      </w:r>
      <w:r w:rsidRPr="005E3779">
        <w:rPr>
          <w:iCs/>
        </w:rPr>
        <w:t xml:space="preserve">се очекува </w:t>
      </w:r>
      <w:r w:rsidRPr="00DB0EAA">
        <w:rPr>
          <w:iCs/>
        </w:rPr>
        <w:t>подобрување на состојбите во оваа област.</w:t>
      </w:r>
    </w:p>
    <w:p w14:paraId="19AFC66F" w14:textId="726BD0AC" w:rsidR="006A45D7" w:rsidRDefault="006A45D7" w:rsidP="006A45D7">
      <w:pPr>
        <w:jc w:val="both"/>
        <w:rPr>
          <w:rFonts w:eastAsia="Calibri"/>
          <w:lang w:val="mk-MK"/>
        </w:rPr>
      </w:pPr>
      <w:r w:rsidRPr="00F575DA">
        <w:rPr>
          <w:b/>
          <w:bCs/>
          <w:lang w:val="mk-MK"/>
        </w:rPr>
        <w:t>Планирањето и следењето на европската интеграција</w:t>
      </w:r>
      <w:r w:rsidRPr="00843F72">
        <w:rPr>
          <w:lang w:val="mk-MK"/>
        </w:rPr>
        <w:t xml:space="preserve"> има слабости во регулаторната и во методолошката рамка, како и во </w:t>
      </w:r>
      <w:r>
        <w:rPr>
          <w:lang w:val="mk-MK"/>
        </w:rPr>
        <w:t>самото</w:t>
      </w:r>
      <w:r w:rsidRPr="00843F72">
        <w:rPr>
          <w:lang w:val="mk-MK"/>
        </w:rPr>
        <w:t xml:space="preserve"> спроведување.</w:t>
      </w:r>
      <w:r>
        <w:rPr>
          <w:lang w:val="mk-MK"/>
        </w:rPr>
        <w:t xml:space="preserve"> Во</w:t>
      </w:r>
      <w:r w:rsidRPr="007C0410">
        <w:t xml:space="preserve"> </w:t>
      </w:r>
      <w:r w:rsidRPr="007C0410">
        <w:rPr>
          <w:lang w:val="mk-MK"/>
        </w:rPr>
        <w:t xml:space="preserve">2017 година 12% од законите планирани во НПАА биле доставени и усвоени во </w:t>
      </w:r>
      <w:r w:rsidR="001D1515">
        <w:rPr>
          <w:lang w:val="mk-MK"/>
        </w:rPr>
        <w:t>СРСМ</w:t>
      </w:r>
      <w:r w:rsidRPr="007C0410">
        <w:rPr>
          <w:lang w:val="mk-MK"/>
        </w:rPr>
        <w:t>, а во 2021 година 28%</w:t>
      </w:r>
      <w:r>
        <w:rPr>
          <w:lang w:val="mk-MK"/>
        </w:rPr>
        <w:t xml:space="preserve">. </w:t>
      </w:r>
      <w:r w:rsidRPr="00843F72">
        <w:rPr>
          <w:lang w:val="mk-MK"/>
        </w:rPr>
        <w:t xml:space="preserve"> НПАА за 2021-2025 година </w:t>
      </w:r>
      <w:r>
        <w:rPr>
          <w:lang w:val="mk-MK"/>
        </w:rPr>
        <w:t>е</w:t>
      </w:r>
      <w:r w:rsidRPr="00843F72">
        <w:rPr>
          <w:lang w:val="mk-MK"/>
        </w:rPr>
        <w:t xml:space="preserve"> </w:t>
      </w:r>
      <w:r>
        <w:rPr>
          <w:lang w:val="mk-MK"/>
        </w:rPr>
        <w:lastRenderedPageBreak/>
        <w:t>усвоена</w:t>
      </w:r>
      <w:r w:rsidRPr="00843F72">
        <w:rPr>
          <w:lang w:val="mk-MK"/>
        </w:rPr>
        <w:t xml:space="preserve"> од </w:t>
      </w:r>
      <w:r w:rsidR="00A6312A">
        <w:rPr>
          <w:lang w:val="mk-MK"/>
        </w:rPr>
        <w:t>ВРСМ</w:t>
      </w:r>
      <w:r w:rsidR="00A6312A" w:rsidRPr="00843F72">
        <w:rPr>
          <w:lang w:val="mk-MK"/>
        </w:rPr>
        <w:t xml:space="preserve"> </w:t>
      </w:r>
      <w:r w:rsidRPr="00843F72">
        <w:rPr>
          <w:lang w:val="mk-MK"/>
        </w:rPr>
        <w:t xml:space="preserve">во јуни 2021 година, </w:t>
      </w:r>
      <w:r>
        <w:rPr>
          <w:lang w:val="mk-MK"/>
        </w:rPr>
        <w:t>односно</w:t>
      </w:r>
      <w:r w:rsidRPr="00843F72">
        <w:rPr>
          <w:lang w:val="mk-MK"/>
        </w:rPr>
        <w:t xml:space="preserve"> 18 месеци по истекувањето на претходн</w:t>
      </w:r>
      <w:r>
        <w:rPr>
          <w:lang w:val="mk-MK"/>
        </w:rPr>
        <w:t>ата програма</w:t>
      </w:r>
      <w:r w:rsidRPr="00843F72">
        <w:rPr>
          <w:lang w:val="mk-MK"/>
        </w:rPr>
        <w:t xml:space="preserve">, со што се создаде празнина во владиното планирање за </w:t>
      </w:r>
      <w:r>
        <w:rPr>
          <w:lang w:val="mk-MK"/>
        </w:rPr>
        <w:t>европските интеграции</w:t>
      </w:r>
      <w:r w:rsidRPr="00843F72">
        <w:rPr>
          <w:lang w:val="mk-MK"/>
        </w:rPr>
        <w:t xml:space="preserve">. </w:t>
      </w:r>
      <w:r>
        <w:rPr>
          <w:lang w:val="mk-MK"/>
        </w:rPr>
        <w:t xml:space="preserve">Постапките и </w:t>
      </w:r>
      <w:r w:rsidRPr="00843F72">
        <w:rPr>
          <w:lang w:val="mk-MK"/>
        </w:rPr>
        <w:t>алатки</w:t>
      </w:r>
      <w:r>
        <w:rPr>
          <w:lang w:val="mk-MK"/>
        </w:rPr>
        <w:t>те</w:t>
      </w:r>
      <w:r w:rsidRPr="00843F72">
        <w:rPr>
          <w:lang w:val="mk-MK"/>
        </w:rPr>
        <w:t xml:space="preserve"> за ефективно транспонирање на правото на ЕУ</w:t>
      </w:r>
      <w:r>
        <w:rPr>
          <w:lang w:val="mk-MK"/>
        </w:rPr>
        <w:t xml:space="preserve"> (</w:t>
      </w:r>
      <w:r w:rsidRPr="00843F72">
        <w:rPr>
          <w:lang w:val="mk-MK"/>
        </w:rPr>
        <w:t>кореспондентни табели (КТ) и меѓуминистерски консултации</w:t>
      </w:r>
      <w:r>
        <w:rPr>
          <w:lang w:val="mk-MK"/>
        </w:rPr>
        <w:t>)</w:t>
      </w:r>
      <w:r w:rsidRPr="00843F72">
        <w:rPr>
          <w:lang w:val="mk-MK"/>
        </w:rPr>
        <w:t xml:space="preserve"> е добро институционализирано и </w:t>
      </w:r>
      <w:r>
        <w:rPr>
          <w:lang w:val="mk-MK"/>
        </w:rPr>
        <w:t xml:space="preserve">се </w:t>
      </w:r>
      <w:r w:rsidRPr="00843F72">
        <w:rPr>
          <w:lang w:val="mk-MK"/>
        </w:rPr>
        <w:t>спроведува</w:t>
      </w:r>
      <w:r>
        <w:rPr>
          <w:lang w:val="mk-MK"/>
        </w:rPr>
        <w:t>ат</w:t>
      </w:r>
      <w:r w:rsidRPr="00843F72">
        <w:rPr>
          <w:lang w:val="mk-MK"/>
        </w:rPr>
        <w:t xml:space="preserve"> во прак</w:t>
      </w:r>
      <w:r>
        <w:rPr>
          <w:lang w:val="mk-MK"/>
        </w:rPr>
        <w:t xml:space="preserve">са, но </w:t>
      </w:r>
      <w:r w:rsidRPr="00843F72">
        <w:rPr>
          <w:lang w:val="mk-MK"/>
        </w:rPr>
        <w:t>организирањето на преводот на правото на ЕУ не е соодветно</w:t>
      </w:r>
      <w:r w:rsidR="00E96F85">
        <w:rPr>
          <w:lang w:val="mk-MK"/>
        </w:rPr>
        <w:t xml:space="preserve">, </w:t>
      </w:r>
      <w:r w:rsidRPr="00843F72">
        <w:rPr>
          <w:lang w:val="mk-MK"/>
        </w:rPr>
        <w:t>навремено планирано и обезбедено.</w:t>
      </w:r>
      <w:r>
        <w:rPr>
          <w:lang w:val="mk-MK"/>
        </w:rPr>
        <w:t xml:space="preserve"> Сегашната </w:t>
      </w:r>
      <w:r w:rsidRPr="00843F72">
        <w:rPr>
          <w:lang w:val="mk-MK"/>
        </w:rPr>
        <w:t xml:space="preserve"> </w:t>
      </w:r>
      <w:r>
        <w:rPr>
          <w:lang w:val="mk-MK"/>
        </w:rPr>
        <w:t xml:space="preserve">регулаторна и методолошка рамка не овозможува </w:t>
      </w:r>
      <w:r w:rsidRPr="00BB2D6A">
        <w:rPr>
          <w:rFonts w:eastAsia="Calibri"/>
          <w:lang w:val="mk-MK"/>
        </w:rPr>
        <w:t>развој, следење и известување за НПАА</w:t>
      </w:r>
      <w:r>
        <w:rPr>
          <w:rFonts w:eastAsia="Calibri"/>
          <w:lang w:val="mk-MK"/>
        </w:rPr>
        <w:t>.</w:t>
      </w:r>
      <w:r w:rsidRPr="00B25DDA">
        <w:rPr>
          <w:rFonts w:eastAsia="Calibri"/>
          <w:lang w:val="mk-MK"/>
        </w:rPr>
        <w:t xml:space="preserve"> </w:t>
      </w:r>
    </w:p>
    <w:p w14:paraId="075C3F88" w14:textId="394141F0" w:rsidR="006A45D7" w:rsidRDefault="006A45D7" w:rsidP="006A45D7">
      <w:pPr>
        <w:jc w:val="both"/>
        <w:rPr>
          <w:rFonts w:cstheme="minorHAnsi"/>
          <w:lang w:val="mk-MK"/>
        </w:rPr>
      </w:pPr>
      <w:r w:rsidRPr="0017630C">
        <w:rPr>
          <w:rFonts w:cstheme="minorHAnsi"/>
          <w:shd w:val="clear" w:color="auto" w:fill="FFFFFF"/>
          <w:lang w:val="mk-MK"/>
        </w:rPr>
        <w:t xml:space="preserve">На 5 септември 2022 година, </w:t>
      </w:r>
      <w:r w:rsidR="00A6312A">
        <w:rPr>
          <w:rFonts w:cstheme="minorHAnsi"/>
          <w:shd w:val="clear" w:color="auto" w:fill="FFFFFF"/>
          <w:lang w:val="mk-MK"/>
        </w:rPr>
        <w:t>ВРСМ</w:t>
      </w:r>
      <w:r w:rsidR="00A6312A" w:rsidRPr="0017630C">
        <w:rPr>
          <w:rFonts w:cstheme="minorHAnsi"/>
          <w:shd w:val="clear" w:color="auto" w:fill="FFFFFF"/>
          <w:lang w:val="mk-MK"/>
        </w:rPr>
        <w:t xml:space="preserve"> </w:t>
      </w:r>
      <w:r w:rsidRPr="0017630C">
        <w:rPr>
          <w:rFonts w:cstheme="minorHAnsi"/>
          <w:shd w:val="clear" w:color="auto" w:fill="FFFFFF"/>
          <w:lang w:val="mk-MK"/>
        </w:rPr>
        <w:t xml:space="preserve">донесе Одлука за воспоставување структура за преговори за пристапување на </w:t>
      </w:r>
      <w:r w:rsidR="00A6312A">
        <w:rPr>
          <w:rFonts w:cstheme="minorHAnsi"/>
          <w:shd w:val="clear" w:color="auto" w:fill="FFFFFF"/>
          <w:lang w:val="mk-MK"/>
        </w:rPr>
        <w:t>РСМ</w:t>
      </w:r>
      <w:r w:rsidRPr="0017630C">
        <w:rPr>
          <w:rFonts w:cstheme="minorHAnsi"/>
          <w:shd w:val="clear" w:color="auto" w:fill="FFFFFF"/>
          <w:lang w:val="mk-MK"/>
        </w:rPr>
        <w:t xml:space="preserve"> во </w:t>
      </w:r>
      <w:r w:rsidR="00A6312A">
        <w:rPr>
          <w:rFonts w:cstheme="minorHAnsi"/>
          <w:shd w:val="clear" w:color="auto" w:fill="FFFFFF"/>
          <w:lang w:val="mk-MK"/>
        </w:rPr>
        <w:t>ЕУ</w:t>
      </w:r>
      <w:r w:rsidRPr="0017630C">
        <w:rPr>
          <w:rFonts w:cstheme="minorHAnsi"/>
          <w:shd w:val="clear" w:color="auto" w:fill="FFFFFF"/>
          <w:lang w:val="mk-MK"/>
        </w:rPr>
        <w:t>, со која се</w:t>
      </w:r>
      <w:r w:rsidRPr="0017630C">
        <w:rPr>
          <w:rFonts w:cstheme="minorHAnsi"/>
          <w:shd w:val="clear" w:color="auto" w:fill="FFFFFF"/>
        </w:rPr>
        <w:t xml:space="preserve"> ревидира координативниот механизам за одвивање на преговорите со Унијата</w:t>
      </w:r>
      <w:r>
        <w:rPr>
          <w:rFonts w:cstheme="minorHAnsi"/>
          <w:color w:val="333333"/>
          <w:shd w:val="clear" w:color="auto" w:fill="FFFFFF"/>
          <w:lang w:val="mk-MK"/>
        </w:rPr>
        <w:t xml:space="preserve">. </w:t>
      </w:r>
      <w:r w:rsidRPr="008C187C">
        <w:rPr>
          <w:rFonts w:cstheme="minorHAnsi"/>
          <w:lang w:val="mk-MK"/>
        </w:rPr>
        <w:t>Единствен секретаријат на преговарачкиот процес е СЕП</w:t>
      </w:r>
      <w:r>
        <w:rPr>
          <w:rFonts w:cstheme="minorHAnsi"/>
          <w:lang w:val="mk-MK"/>
        </w:rPr>
        <w:t xml:space="preserve">, кој е </w:t>
      </w:r>
      <w:r w:rsidRPr="008C187C">
        <w:rPr>
          <w:rFonts w:cstheme="minorHAnsi"/>
          <w:lang w:val="mk-MK"/>
        </w:rPr>
        <w:t>и депозитар на целокупната документација поврзана со пристапните преговори</w:t>
      </w:r>
      <w:r>
        <w:rPr>
          <w:rFonts w:cstheme="minorHAnsi"/>
          <w:lang w:val="mk-MK"/>
        </w:rPr>
        <w:t xml:space="preserve"> и </w:t>
      </w:r>
      <w:r w:rsidRPr="008C187C">
        <w:rPr>
          <w:rFonts w:cstheme="minorHAnsi"/>
          <w:lang w:val="mk-MK"/>
        </w:rPr>
        <w:t>има координатор во сите работни групи</w:t>
      </w:r>
      <w:r>
        <w:rPr>
          <w:rFonts w:cstheme="minorHAnsi"/>
          <w:lang w:val="mk-MK"/>
        </w:rPr>
        <w:t xml:space="preserve">, а </w:t>
      </w:r>
      <w:r w:rsidRPr="008C187C">
        <w:rPr>
          <w:rFonts w:cstheme="minorHAnsi"/>
          <w:lang w:val="mk-MK"/>
        </w:rPr>
        <w:t xml:space="preserve">надлежен </w:t>
      </w:r>
      <w:r>
        <w:rPr>
          <w:rFonts w:cstheme="minorHAnsi"/>
          <w:lang w:val="mk-MK"/>
        </w:rPr>
        <w:t xml:space="preserve">е и </w:t>
      </w:r>
      <w:r w:rsidRPr="008C187C">
        <w:rPr>
          <w:rFonts w:cstheme="minorHAnsi"/>
          <w:lang w:val="mk-MK"/>
        </w:rPr>
        <w:t>за методолошките и процесните аспекти и координација со останатите тела на структурата за преговори</w:t>
      </w:r>
      <w:r>
        <w:rPr>
          <w:rFonts w:cstheme="minorHAnsi"/>
          <w:lang w:val="mk-MK"/>
        </w:rPr>
        <w:t>. Воедно, СЕП е надлежен  за</w:t>
      </w:r>
      <w:r w:rsidRPr="008C187C">
        <w:rPr>
          <w:rFonts w:cstheme="minorHAnsi"/>
          <w:lang w:val="mk-MK"/>
        </w:rPr>
        <w:t xml:space="preserve"> подготовката на потребните правни акти со кои </w:t>
      </w:r>
      <w:r w:rsidRPr="0017630C">
        <w:rPr>
          <w:rFonts w:cstheme="minorHAnsi"/>
          <w:lang w:val="mk-MK"/>
        </w:rPr>
        <w:t>ќе се дефинираат процедурите на работење на телата</w:t>
      </w:r>
      <w:r>
        <w:rPr>
          <w:rFonts w:cstheme="minorHAnsi"/>
          <w:lang w:val="mk-MK"/>
        </w:rPr>
        <w:t>.</w:t>
      </w:r>
    </w:p>
    <w:p w14:paraId="78FE0883" w14:textId="68D2CCB2" w:rsidR="006A45D7" w:rsidRDefault="006A45D7" w:rsidP="006A45D7">
      <w:pPr>
        <w:jc w:val="both"/>
        <w:rPr>
          <w:rFonts w:cstheme="minorHAnsi"/>
          <w:lang w:val="mk-MK"/>
        </w:rPr>
      </w:pPr>
      <w:r w:rsidRPr="00C21AEE">
        <w:rPr>
          <w:rFonts w:eastAsia="Times New Roman" w:cstheme="minorHAnsi"/>
          <w:color w:val="202124"/>
          <w:lang w:val="mk-MK"/>
        </w:rPr>
        <w:t xml:space="preserve">Министерството за труд и социјална политика </w:t>
      </w:r>
      <w:r>
        <w:rPr>
          <w:rFonts w:eastAsia="Times New Roman" w:cstheme="minorHAnsi"/>
          <w:color w:val="202124"/>
          <w:lang w:val="mk-MK"/>
        </w:rPr>
        <w:t xml:space="preserve">во 2022 година </w:t>
      </w:r>
      <w:r w:rsidRPr="00C21AEE">
        <w:rPr>
          <w:rFonts w:eastAsia="Times New Roman" w:cstheme="minorHAnsi"/>
          <w:color w:val="202124"/>
          <w:lang w:val="mk-MK"/>
        </w:rPr>
        <w:t>отвори ресурсен центар за родово одговорно креирање политики и буџетирање за да го зголеми капацитетот на јавната администрација за спроведување на мерките поврзани со Директивата на ЕУ 2006/54/ЕЗ</w:t>
      </w:r>
      <w:r>
        <w:rPr>
          <w:iCs/>
          <w:vertAlign w:val="superscript"/>
        </w:rPr>
        <w:footnoteReference w:id="36"/>
      </w:r>
      <w:r w:rsidRPr="00C21AEE">
        <w:rPr>
          <w:rFonts w:eastAsia="Times New Roman" w:cstheme="minorHAnsi"/>
          <w:color w:val="202124"/>
          <w:lang w:val="mk-MK"/>
        </w:rPr>
        <w:t xml:space="preserve">. Оваа Директива е важна за вклучување на родовата перспектива во институционалното планирање, програмирање </w:t>
      </w:r>
      <w:r w:rsidR="00E96F85">
        <w:rPr>
          <w:rFonts w:eastAsia="Times New Roman" w:cstheme="minorHAnsi"/>
          <w:color w:val="202124"/>
          <w:lang w:val="mk-MK"/>
        </w:rPr>
        <w:t>на</w:t>
      </w:r>
      <w:r w:rsidRPr="00C21AEE">
        <w:rPr>
          <w:rFonts w:eastAsia="Times New Roman" w:cstheme="minorHAnsi"/>
          <w:color w:val="202124"/>
          <w:lang w:val="mk-MK"/>
        </w:rPr>
        <w:t xml:space="preserve"> активности и имплементација на еднакви можности и еднаков третман во вработувањето и професијата</w:t>
      </w:r>
      <w:r>
        <w:rPr>
          <w:iCs/>
          <w:vertAlign w:val="superscript"/>
        </w:rPr>
        <w:footnoteReference w:id="37"/>
      </w:r>
      <w:r>
        <w:rPr>
          <w:rFonts w:eastAsia="Times New Roman" w:cstheme="minorHAnsi"/>
          <w:color w:val="202124"/>
          <w:lang w:val="mk-MK"/>
        </w:rPr>
        <w:t xml:space="preserve">. </w:t>
      </w:r>
    </w:p>
    <w:p w14:paraId="44998E10" w14:textId="2612D996" w:rsidR="006A45D7" w:rsidRDefault="006A45D7" w:rsidP="006A45D7">
      <w:pPr>
        <w:jc w:val="both"/>
        <w:rPr>
          <w:bCs/>
          <w:iCs/>
          <w:lang w:val="mk-MK"/>
        </w:rPr>
      </w:pPr>
      <w:r>
        <w:rPr>
          <w:rFonts w:cs="Calibri"/>
          <w:bCs/>
          <w:lang w:val="mk-MK"/>
        </w:rPr>
        <w:t>Многу важни фази од п</w:t>
      </w:r>
      <w:r w:rsidRPr="00F575DA">
        <w:rPr>
          <w:rFonts w:cs="Calibri"/>
          <w:bCs/>
          <w:lang w:val="mk-MK"/>
        </w:rPr>
        <w:t xml:space="preserve">роцесот за </w:t>
      </w:r>
      <w:r w:rsidRPr="00F575DA">
        <w:rPr>
          <w:bCs/>
          <w:lang w:val="mk-MK"/>
        </w:rPr>
        <w:t>креирање</w:t>
      </w:r>
      <w:r w:rsidRPr="00F575DA" w:rsidDel="00C96E88">
        <w:rPr>
          <w:rFonts w:cs="Calibri"/>
          <w:bCs/>
          <w:lang w:val="mk-MK"/>
        </w:rPr>
        <w:t xml:space="preserve"> </w:t>
      </w:r>
      <w:r w:rsidRPr="00F575DA">
        <w:rPr>
          <w:rFonts w:cs="Calibri"/>
          <w:bCs/>
          <w:lang w:val="mk-MK"/>
        </w:rPr>
        <w:t>на политики и координација</w:t>
      </w:r>
      <w:r w:rsidRPr="000713B5">
        <w:rPr>
          <w:rFonts w:cs="Calibri"/>
          <w:bCs/>
          <w:lang w:val="mk-MK"/>
        </w:rPr>
        <w:t xml:space="preserve"> и подготовка на закони</w:t>
      </w:r>
      <w:r>
        <w:rPr>
          <w:rFonts w:cs="Calibri"/>
          <w:bCs/>
          <w:lang w:val="mk-MK"/>
        </w:rPr>
        <w:t xml:space="preserve"> претставуваат </w:t>
      </w:r>
      <w:r w:rsidRPr="00E96F85">
        <w:rPr>
          <w:b/>
          <w:bCs/>
          <w:lang w:val="mk-MK"/>
        </w:rPr>
        <w:t>ПВР и јавните консултации</w:t>
      </w:r>
      <w:r w:rsidRPr="00E96F85">
        <w:rPr>
          <w:sz w:val="24"/>
          <w:szCs w:val="24"/>
          <w:lang w:val="mk-MK"/>
        </w:rPr>
        <w:t>.</w:t>
      </w:r>
      <w:r w:rsidRPr="003730AE">
        <w:rPr>
          <w:lang w:val="mk-MK"/>
        </w:rPr>
        <w:t xml:space="preserve"> </w:t>
      </w:r>
      <w:r>
        <w:rPr>
          <w:lang w:val="mk-MK"/>
        </w:rPr>
        <w:t>К</w:t>
      </w:r>
      <w:r w:rsidRPr="00843F72">
        <w:rPr>
          <w:lang w:val="mk-MK"/>
        </w:rPr>
        <w:t xml:space="preserve">валитетот на </w:t>
      </w:r>
      <w:r>
        <w:rPr>
          <w:lang w:val="mk-MK"/>
        </w:rPr>
        <w:t xml:space="preserve">спроведување на овие постапки е незадоволителен што го детерминира и квалитетот на политиките и донесените одлуки на </w:t>
      </w:r>
      <w:r w:rsidR="00A6312A">
        <w:rPr>
          <w:lang w:val="mk-MK"/>
        </w:rPr>
        <w:t>ВРСМ</w:t>
      </w:r>
      <w:r>
        <w:rPr>
          <w:lang w:val="mk-MK"/>
        </w:rPr>
        <w:t>. И</w:t>
      </w:r>
      <w:r w:rsidRPr="00843F72">
        <w:rPr>
          <w:lang w:val="mk-MK"/>
        </w:rPr>
        <w:t>звештаите за ПВР</w:t>
      </w:r>
      <w:r>
        <w:rPr>
          <w:lang w:val="mk-MK"/>
        </w:rPr>
        <w:t xml:space="preserve"> се подготвуваат во крајната фаза на подготовка на предлозите на закони, тие</w:t>
      </w:r>
      <w:r w:rsidRPr="00843F72">
        <w:rPr>
          <w:lang w:val="mk-MK"/>
        </w:rPr>
        <w:t xml:space="preserve"> </w:t>
      </w:r>
      <w:r>
        <w:rPr>
          <w:lang w:val="mk-MK"/>
        </w:rPr>
        <w:t xml:space="preserve">се често нецелосни, се случува и потполно да отсуствуваат. </w:t>
      </w:r>
      <w:r>
        <w:rPr>
          <w:bCs/>
          <w:iCs/>
          <w:lang w:val="mk-MK"/>
        </w:rPr>
        <w:t>П</w:t>
      </w:r>
      <w:r w:rsidRPr="005E3779">
        <w:rPr>
          <w:bCs/>
          <w:iCs/>
          <w:lang w:val="mk-MK"/>
        </w:rPr>
        <w:t>остојат примери на делумно, нецелосно пополнети извештаи кои содржат скромни информации од спроведениот процес на ПВР и истите не обезбедуваат релевантни информации за позитивните и негативните влијанија од можните начини за решавање на проблемот, како и за предложениот начин за постигнување на целта заради која се предлага предлогот на закон</w:t>
      </w:r>
      <w:r w:rsidRPr="005E3779">
        <w:rPr>
          <w:bCs/>
          <w:iCs/>
          <w:vertAlign w:val="superscript"/>
          <w:lang w:val="mk-MK"/>
        </w:rPr>
        <w:footnoteReference w:id="38"/>
      </w:r>
      <w:r w:rsidRPr="005E3779">
        <w:rPr>
          <w:bCs/>
          <w:iCs/>
          <w:lang w:val="mk-MK"/>
        </w:rPr>
        <w:t>.</w:t>
      </w:r>
      <w:r w:rsidRPr="00A84234">
        <w:t xml:space="preserve"> </w:t>
      </w:r>
      <w:r>
        <w:rPr>
          <w:lang w:val="mk-MK"/>
        </w:rPr>
        <w:t>В</w:t>
      </w:r>
      <w:r w:rsidRPr="002419DC">
        <w:rPr>
          <w:lang w:val="mk-MK"/>
        </w:rPr>
        <w:t>о практика</w:t>
      </w:r>
      <w:r w:rsidRPr="00843F72">
        <w:rPr>
          <w:lang w:val="mk-MK"/>
        </w:rPr>
        <w:t xml:space="preserve">, </w:t>
      </w:r>
      <w:r w:rsidRPr="00EB1704">
        <w:rPr>
          <w:lang w:val="mk-MK"/>
        </w:rPr>
        <w:t xml:space="preserve">отсуствуваат </w:t>
      </w:r>
      <w:r>
        <w:rPr>
          <w:lang w:val="mk-MK"/>
        </w:rPr>
        <w:t xml:space="preserve">и </w:t>
      </w:r>
      <w:r w:rsidRPr="00EB1704">
        <w:rPr>
          <w:lang w:val="mk-MK"/>
        </w:rPr>
        <w:t>информации за  проценката на фискалните импликации врз буџетот кои треба да бидат содржани во Извештајот за ПВР.</w:t>
      </w:r>
      <w:r>
        <w:rPr>
          <w:lang w:val="mk-MK"/>
        </w:rPr>
        <w:t xml:space="preserve"> </w:t>
      </w:r>
      <w:r w:rsidRPr="00A84234">
        <w:rPr>
          <w:bCs/>
          <w:iCs/>
          <w:lang w:val="mk-MK"/>
        </w:rPr>
        <w:t xml:space="preserve">Исто така, забележан е пад на трендот на </w:t>
      </w:r>
      <w:r>
        <w:rPr>
          <w:bCs/>
          <w:iCs/>
          <w:lang w:val="mk-MK"/>
        </w:rPr>
        <w:t xml:space="preserve">задолжителната </w:t>
      </w:r>
      <w:r w:rsidRPr="00A84234">
        <w:rPr>
          <w:bCs/>
          <w:iCs/>
          <w:lang w:val="mk-MK"/>
        </w:rPr>
        <w:t>објава на Извештаите за ПВР и предлог законите за консултации со засегнатите страни на ЕНЕР.</w:t>
      </w:r>
      <w:r>
        <w:rPr>
          <w:bCs/>
          <w:iCs/>
          <w:lang w:val="mk-MK"/>
        </w:rPr>
        <w:t xml:space="preserve"> </w:t>
      </w:r>
    </w:p>
    <w:p w14:paraId="6CB11C9C" w14:textId="77777777" w:rsidR="00E96F85" w:rsidRPr="005B7236" w:rsidRDefault="00E96F85" w:rsidP="00E96F85">
      <w:pPr>
        <w:jc w:val="both"/>
        <w:rPr>
          <w:b/>
          <w:iCs/>
          <w:lang w:val="mk-MK"/>
        </w:rPr>
      </w:pPr>
      <w:r w:rsidRPr="00B5617C">
        <w:rPr>
          <w:b/>
          <w:iCs/>
          <w:lang w:val="mk-MK"/>
        </w:rPr>
        <w:t>Табела 1 – Преглед на почитување на задолжителните елементи од процесот на ПВР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418"/>
        <w:gridCol w:w="1706"/>
        <w:gridCol w:w="1740"/>
        <w:gridCol w:w="1748"/>
        <w:gridCol w:w="1759"/>
      </w:tblGrid>
      <w:tr w:rsidR="00A51747" w:rsidRPr="00B96D35" w14:paraId="0C33237D" w14:textId="77777777" w:rsidTr="00A51747">
        <w:trPr>
          <w:trHeight w:val="1007"/>
        </w:trPr>
        <w:tc>
          <w:tcPr>
            <w:tcW w:w="871" w:type="dxa"/>
            <w:shd w:val="clear" w:color="auto" w:fill="DEEAF6" w:themeFill="accent5" w:themeFillTint="33"/>
            <w:vAlign w:val="center"/>
          </w:tcPr>
          <w:p w14:paraId="7C72BFE9" w14:textId="77777777" w:rsidR="00A51747" w:rsidRPr="00B96D35" w:rsidRDefault="00A51747" w:rsidP="00A51747">
            <w:pPr>
              <w:rPr>
                <w:rFonts w:cstheme="minorHAnsi"/>
                <w:bCs/>
                <w:sz w:val="20"/>
                <w:szCs w:val="20"/>
                <w:lang w:val="mk-MK"/>
              </w:rPr>
            </w:pPr>
            <w:r w:rsidRPr="00B96D35">
              <w:rPr>
                <w:rFonts w:cstheme="minorHAnsi"/>
                <w:bCs/>
                <w:sz w:val="20"/>
                <w:szCs w:val="20"/>
                <w:lang w:val="mk-MK"/>
              </w:rPr>
              <w:lastRenderedPageBreak/>
              <w:t>Година</w:t>
            </w:r>
          </w:p>
        </w:tc>
        <w:tc>
          <w:tcPr>
            <w:tcW w:w="1418" w:type="dxa"/>
            <w:shd w:val="clear" w:color="auto" w:fill="DEEAF6" w:themeFill="accent5" w:themeFillTint="33"/>
          </w:tcPr>
          <w:p w14:paraId="5939400F" w14:textId="3C320597" w:rsidR="00A51747" w:rsidRPr="00B96D35" w:rsidRDefault="00A51747" w:rsidP="00E063CF">
            <w:pPr>
              <w:jc w:val="center"/>
              <w:rPr>
                <w:rFonts w:cstheme="minorHAnsi"/>
                <w:bCs/>
                <w:sz w:val="20"/>
                <w:szCs w:val="20"/>
                <w:lang w:val="mk-MK"/>
              </w:rPr>
            </w:pPr>
            <w:r w:rsidRPr="004444BC">
              <w:rPr>
                <w:rFonts w:cstheme="minorHAnsi"/>
                <w:bCs/>
                <w:sz w:val="20"/>
                <w:szCs w:val="20"/>
                <w:lang w:val="mk-MK"/>
              </w:rPr>
              <w:t>Вкупно закони у</w:t>
            </w:r>
            <w:r>
              <w:rPr>
                <w:rFonts w:cstheme="minorHAnsi"/>
                <w:bCs/>
                <w:sz w:val="20"/>
                <w:szCs w:val="20"/>
                <w:lang w:val="mk-MK"/>
              </w:rPr>
              <w:t>тврдени</w:t>
            </w:r>
            <w:r w:rsidRPr="004444BC">
              <w:rPr>
                <w:rFonts w:cstheme="minorHAnsi"/>
                <w:bCs/>
                <w:sz w:val="20"/>
                <w:szCs w:val="20"/>
                <w:lang w:val="mk-MK"/>
              </w:rPr>
              <w:t xml:space="preserve"> од </w:t>
            </w:r>
            <w:r w:rsidR="002F55EA">
              <w:rPr>
                <w:rFonts w:cstheme="minorHAnsi"/>
                <w:bCs/>
                <w:sz w:val="20"/>
                <w:szCs w:val="20"/>
                <w:lang w:val="mk-MK"/>
              </w:rPr>
              <w:t>ВРСМ</w:t>
            </w:r>
          </w:p>
        </w:tc>
        <w:tc>
          <w:tcPr>
            <w:tcW w:w="1706" w:type="dxa"/>
            <w:shd w:val="clear" w:color="auto" w:fill="DEEAF6" w:themeFill="accent5" w:themeFillTint="33"/>
          </w:tcPr>
          <w:p w14:paraId="045B6761" w14:textId="660D513D" w:rsidR="00A51747" w:rsidRPr="00B96D35" w:rsidRDefault="00A51747" w:rsidP="00E063CF">
            <w:pPr>
              <w:jc w:val="center"/>
              <w:rPr>
                <w:rFonts w:cstheme="minorHAnsi"/>
                <w:bCs/>
                <w:sz w:val="20"/>
                <w:szCs w:val="20"/>
                <w:lang w:val="sq-AL"/>
              </w:rPr>
            </w:pPr>
            <w:r w:rsidRPr="00B96D35">
              <w:rPr>
                <w:rFonts w:cstheme="minorHAnsi"/>
                <w:bCs/>
                <w:sz w:val="20"/>
                <w:szCs w:val="20"/>
                <w:lang w:val="mk-MK"/>
              </w:rPr>
              <w:t xml:space="preserve">Вкупно закони </w:t>
            </w:r>
            <w:r>
              <w:rPr>
                <w:rFonts w:cstheme="minorHAnsi"/>
                <w:bCs/>
                <w:sz w:val="20"/>
                <w:szCs w:val="20"/>
                <w:lang w:val="mk-MK"/>
              </w:rPr>
              <w:t>утврдени</w:t>
            </w:r>
            <w:r w:rsidRPr="00B96D35">
              <w:rPr>
                <w:rFonts w:cstheme="minorHAnsi"/>
                <w:bCs/>
                <w:sz w:val="20"/>
                <w:szCs w:val="20"/>
                <w:lang w:val="mk-MK"/>
              </w:rPr>
              <w:t xml:space="preserve"> од </w:t>
            </w:r>
            <w:r w:rsidR="002F55EA">
              <w:rPr>
                <w:rFonts w:cstheme="minorHAnsi"/>
                <w:bCs/>
                <w:sz w:val="20"/>
                <w:szCs w:val="20"/>
                <w:lang w:val="mk-MK"/>
              </w:rPr>
              <w:t>ВРСМ</w:t>
            </w:r>
            <w:r w:rsidR="002F55EA" w:rsidRPr="00B96D35">
              <w:rPr>
                <w:rFonts w:cstheme="minorHAnsi"/>
                <w:bCs/>
                <w:sz w:val="20"/>
                <w:szCs w:val="20"/>
                <w:lang w:val="mk-MK"/>
              </w:rPr>
              <w:t xml:space="preserve"> </w:t>
            </w:r>
            <w:r w:rsidRPr="00B96D35">
              <w:rPr>
                <w:rFonts w:cstheme="minorHAnsi"/>
                <w:bCs/>
                <w:sz w:val="20"/>
                <w:szCs w:val="20"/>
                <w:lang w:val="mk-MK"/>
              </w:rPr>
              <w:t>кои подлежат на ПВР</w:t>
            </w:r>
          </w:p>
        </w:tc>
        <w:tc>
          <w:tcPr>
            <w:tcW w:w="1740" w:type="dxa"/>
            <w:shd w:val="clear" w:color="auto" w:fill="DEEAF6" w:themeFill="accent5" w:themeFillTint="33"/>
          </w:tcPr>
          <w:p w14:paraId="4199A53E" w14:textId="27F273C5" w:rsidR="00A51747" w:rsidRPr="00B96D35" w:rsidRDefault="00A51747" w:rsidP="00E063CF">
            <w:pPr>
              <w:jc w:val="center"/>
              <w:rPr>
                <w:rFonts w:cstheme="minorHAnsi"/>
                <w:bCs/>
                <w:sz w:val="20"/>
                <w:szCs w:val="20"/>
                <w:lang w:val="sq-AL"/>
              </w:rPr>
            </w:pPr>
            <w:r w:rsidRPr="00B96D35">
              <w:rPr>
                <w:rFonts w:cstheme="minorHAnsi"/>
                <w:bCs/>
                <w:sz w:val="20"/>
                <w:szCs w:val="20"/>
                <w:lang w:val="mk-MK"/>
              </w:rPr>
              <w:t xml:space="preserve">Доставени предлог закони до </w:t>
            </w:r>
            <w:r w:rsidR="002F55EA">
              <w:rPr>
                <w:rFonts w:cstheme="minorHAnsi"/>
                <w:bCs/>
                <w:sz w:val="20"/>
                <w:szCs w:val="20"/>
                <w:lang w:val="mk-MK"/>
              </w:rPr>
              <w:t>ВРСМ</w:t>
            </w:r>
            <w:r w:rsidR="002F55EA" w:rsidRPr="00B96D35">
              <w:rPr>
                <w:rFonts w:cstheme="minorHAnsi"/>
                <w:bCs/>
                <w:sz w:val="20"/>
                <w:szCs w:val="20"/>
                <w:lang w:val="mk-MK"/>
              </w:rPr>
              <w:t xml:space="preserve"> </w:t>
            </w:r>
            <w:r w:rsidRPr="00B96D35">
              <w:rPr>
                <w:rFonts w:cstheme="minorHAnsi"/>
                <w:bCs/>
                <w:sz w:val="20"/>
                <w:szCs w:val="20"/>
                <w:lang w:val="mk-MK"/>
              </w:rPr>
              <w:t>со Извештај за ПВР</w:t>
            </w:r>
          </w:p>
        </w:tc>
        <w:tc>
          <w:tcPr>
            <w:tcW w:w="1748" w:type="dxa"/>
            <w:shd w:val="clear" w:color="auto" w:fill="DEEAF6" w:themeFill="accent5" w:themeFillTint="33"/>
          </w:tcPr>
          <w:p w14:paraId="3E650D6C" w14:textId="765E2CF7" w:rsidR="00A51747" w:rsidRPr="00B96D35" w:rsidRDefault="00A51747" w:rsidP="00E063CF">
            <w:pPr>
              <w:jc w:val="center"/>
              <w:rPr>
                <w:rFonts w:cstheme="minorHAnsi"/>
                <w:bCs/>
                <w:sz w:val="20"/>
                <w:szCs w:val="20"/>
                <w:lang w:val="sq-AL"/>
              </w:rPr>
            </w:pPr>
            <w:r w:rsidRPr="00B96D35">
              <w:rPr>
                <w:rFonts w:cstheme="minorHAnsi"/>
                <w:bCs/>
                <w:sz w:val="20"/>
                <w:szCs w:val="20"/>
                <w:lang w:val="mk-MK"/>
              </w:rPr>
              <w:t>Објавени документи на ЕНЕР</w:t>
            </w:r>
          </w:p>
        </w:tc>
        <w:tc>
          <w:tcPr>
            <w:tcW w:w="1759" w:type="dxa"/>
            <w:shd w:val="clear" w:color="auto" w:fill="DEEAF6" w:themeFill="accent5" w:themeFillTint="33"/>
          </w:tcPr>
          <w:p w14:paraId="45C0B02A" w14:textId="15EFEC87" w:rsidR="00A51747" w:rsidRPr="00B96D35" w:rsidRDefault="00A51747" w:rsidP="00E063CF">
            <w:pPr>
              <w:jc w:val="center"/>
              <w:rPr>
                <w:rFonts w:cstheme="minorHAnsi"/>
                <w:bCs/>
                <w:sz w:val="20"/>
                <w:szCs w:val="20"/>
                <w:lang w:val="sq-AL"/>
              </w:rPr>
            </w:pPr>
            <w:r w:rsidRPr="00B96D35">
              <w:rPr>
                <w:rFonts w:cstheme="minorHAnsi"/>
                <w:bCs/>
                <w:sz w:val="20"/>
                <w:szCs w:val="20"/>
                <w:lang w:val="mk-MK"/>
              </w:rPr>
              <w:t>Доставени нацрт Извештаи за ПВР до МИОА на мислење</w:t>
            </w:r>
          </w:p>
        </w:tc>
      </w:tr>
      <w:tr w:rsidR="00A51747" w:rsidRPr="00B96D35" w14:paraId="76E550B0" w14:textId="77777777" w:rsidTr="00A51747">
        <w:trPr>
          <w:trHeight w:val="451"/>
        </w:trPr>
        <w:tc>
          <w:tcPr>
            <w:tcW w:w="871" w:type="dxa"/>
            <w:shd w:val="clear" w:color="auto" w:fill="9CC2E5" w:themeFill="accent5" w:themeFillTint="99"/>
            <w:vAlign w:val="center"/>
          </w:tcPr>
          <w:p w14:paraId="20E518ED" w14:textId="77777777" w:rsidR="00A51747" w:rsidRPr="00B96D35" w:rsidRDefault="00A51747" w:rsidP="00A51747">
            <w:pPr>
              <w:rPr>
                <w:rFonts w:cstheme="minorHAnsi"/>
                <w:b/>
                <w:sz w:val="20"/>
                <w:szCs w:val="20"/>
                <w:lang w:val="mk-MK"/>
              </w:rPr>
            </w:pPr>
            <w:r w:rsidRPr="00B96D35">
              <w:rPr>
                <w:rFonts w:cstheme="minorHAnsi"/>
                <w:b/>
                <w:sz w:val="20"/>
                <w:szCs w:val="20"/>
                <w:lang w:val="mk-MK"/>
              </w:rPr>
              <w:t>2014</w:t>
            </w:r>
          </w:p>
        </w:tc>
        <w:tc>
          <w:tcPr>
            <w:tcW w:w="1418" w:type="dxa"/>
          </w:tcPr>
          <w:p w14:paraId="0FF9FD83" w14:textId="77777777" w:rsidR="00A51747" w:rsidRPr="008E0E18" w:rsidRDefault="00A51747" w:rsidP="00A51747">
            <w:pPr>
              <w:jc w:val="center"/>
              <w:rPr>
                <w:rFonts w:cstheme="minorHAnsi"/>
                <w:sz w:val="20"/>
                <w:szCs w:val="20"/>
                <w:lang w:val="mk-MK"/>
              </w:rPr>
            </w:pPr>
            <w:r w:rsidRPr="008E0E18">
              <w:rPr>
                <w:rFonts w:eastAsia="Calibri" w:cstheme="minorHAnsi"/>
                <w:sz w:val="20"/>
                <w:szCs w:val="20"/>
              </w:rPr>
              <w:t>350</w:t>
            </w:r>
          </w:p>
        </w:tc>
        <w:tc>
          <w:tcPr>
            <w:tcW w:w="1706" w:type="dxa"/>
            <w:shd w:val="clear" w:color="auto" w:fill="auto"/>
            <w:vAlign w:val="center"/>
          </w:tcPr>
          <w:p w14:paraId="047F5406"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335</w:t>
            </w:r>
          </w:p>
        </w:tc>
        <w:tc>
          <w:tcPr>
            <w:tcW w:w="1740" w:type="dxa"/>
            <w:shd w:val="clear" w:color="auto" w:fill="auto"/>
            <w:vAlign w:val="center"/>
          </w:tcPr>
          <w:p w14:paraId="23C71DF5"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77 (22%)</w:t>
            </w:r>
          </w:p>
        </w:tc>
        <w:tc>
          <w:tcPr>
            <w:tcW w:w="1748" w:type="dxa"/>
            <w:shd w:val="clear" w:color="auto" w:fill="auto"/>
            <w:vAlign w:val="center"/>
          </w:tcPr>
          <w:p w14:paraId="28D50730"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114 (32,6%)</w:t>
            </w:r>
          </w:p>
        </w:tc>
        <w:tc>
          <w:tcPr>
            <w:tcW w:w="1759" w:type="dxa"/>
            <w:shd w:val="clear" w:color="auto" w:fill="auto"/>
            <w:vAlign w:val="center"/>
          </w:tcPr>
          <w:p w14:paraId="0F818559"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40 (11,4%)</w:t>
            </w:r>
          </w:p>
        </w:tc>
      </w:tr>
      <w:tr w:rsidR="00A51747" w:rsidRPr="00B96D35" w14:paraId="236893C0" w14:textId="77777777" w:rsidTr="00A51747">
        <w:trPr>
          <w:trHeight w:val="400"/>
        </w:trPr>
        <w:tc>
          <w:tcPr>
            <w:tcW w:w="871" w:type="dxa"/>
            <w:shd w:val="clear" w:color="auto" w:fill="9CC2E5" w:themeFill="accent5" w:themeFillTint="99"/>
            <w:vAlign w:val="center"/>
          </w:tcPr>
          <w:p w14:paraId="56557A54" w14:textId="77777777" w:rsidR="00A51747" w:rsidRPr="00B96D35" w:rsidRDefault="00A51747" w:rsidP="00A51747">
            <w:pPr>
              <w:rPr>
                <w:rFonts w:cstheme="minorHAnsi"/>
                <w:b/>
                <w:sz w:val="20"/>
                <w:szCs w:val="20"/>
                <w:lang w:val="mk-MK"/>
              </w:rPr>
            </w:pPr>
            <w:r w:rsidRPr="00B96D35">
              <w:rPr>
                <w:rFonts w:cstheme="minorHAnsi"/>
                <w:b/>
                <w:sz w:val="20"/>
                <w:szCs w:val="20"/>
                <w:lang w:val="mk-MK"/>
              </w:rPr>
              <w:t>2015</w:t>
            </w:r>
          </w:p>
        </w:tc>
        <w:tc>
          <w:tcPr>
            <w:tcW w:w="1418" w:type="dxa"/>
          </w:tcPr>
          <w:p w14:paraId="2842D53D" w14:textId="77777777" w:rsidR="00A51747" w:rsidRPr="008E0E18" w:rsidRDefault="00A51747" w:rsidP="00A51747">
            <w:pPr>
              <w:jc w:val="center"/>
              <w:rPr>
                <w:rFonts w:cstheme="minorHAnsi"/>
                <w:sz w:val="20"/>
                <w:szCs w:val="20"/>
              </w:rPr>
            </w:pPr>
            <w:r w:rsidRPr="008E0E18">
              <w:rPr>
                <w:rFonts w:cstheme="minorHAnsi"/>
                <w:sz w:val="20"/>
                <w:szCs w:val="14"/>
              </w:rPr>
              <w:t>61</w:t>
            </w:r>
            <w:r w:rsidRPr="008E0E18">
              <w:rPr>
                <w:rFonts w:cstheme="minorHAnsi"/>
                <w:sz w:val="20"/>
                <w:szCs w:val="14"/>
                <w:lang w:val="en-US"/>
              </w:rPr>
              <w:t>4</w:t>
            </w:r>
          </w:p>
        </w:tc>
        <w:tc>
          <w:tcPr>
            <w:tcW w:w="1706" w:type="dxa"/>
            <w:shd w:val="clear" w:color="auto" w:fill="auto"/>
            <w:vAlign w:val="center"/>
          </w:tcPr>
          <w:p w14:paraId="26FB4E24" w14:textId="77777777" w:rsidR="00A51747" w:rsidRPr="00B96D35" w:rsidRDefault="00A51747" w:rsidP="00A51747">
            <w:pPr>
              <w:jc w:val="center"/>
              <w:rPr>
                <w:rFonts w:cstheme="minorHAnsi"/>
                <w:sz w:val="20"/>
                <w:szCs w:val="20"/>
                <w:lang w:val="mk-MK"/>
              </w:rPr>
            </w:pPr>
            <w:r w:rsidRPr="00B96D35">
              <w:rPr>
                <w:rFonts w:cstheme="minorHAnsi"/>
                <w:sz w:val="20"/>
                <w:szCs w:val="20"/>
              </w:rPr>
              <w:t>566</w:t>
            </w:r>
          </w:p>
        </w:tc>
        <w:tc>
          <w:tcPr>
            <w:tcW w:w="1740" w:type="dxa"/>
            <w:shd w:val="clear" w:color="auto" w:fill="auto"/>
            <w:vAlign w:val="center"/>
          </w:tcPr>
          <w:p w14:paraId="11F191C6" w14:textId="77777777" w:rsidR="00A51747" w:rsidRPr="00B96D35" w:rsidRDefault="00A51747" w:rsidP="00A51747">
            <w:pPr>
              <w:jc w:val="center"/>
              <w:rPr>
                <w:rFonts w:cstheme="minorHAnsi"/>
                <w:sz w:val="20"/>
                <w:szCs w:val="20"/>
                <w:lang w:val="mk-MK"/>
              </w:rPr>
            </w:pPr>
            <w:r w:rsidRPr="00B96D35">
              <w:rPr>
                <w:rFonts w:cstheme="minorHAnsi"/>
                <w:sz w:val="20"/>
                <w:szCs w:val="20"/>
              </w:rPr>
              <w:t>234</w:t>
            </w:r>
            <w:r w:rsidRPr="00B96D35">
              <w:rPr>
                <w:rFonts w:cstheme="minorHAnsi"/>
                <w:sz w:val="20"/>
                <w:szCs w:val="20"/>
                <w:lang w:val="mk-MK"/>
              </w:rPr>
              <w:t xml:space="preserve"> (</w:t>
            </w:r>
            <w:r w:rsidRPr="00B96D35">
              <w:rPr>
                <w:rFonts w:cstheme="minorHAnsi"/>
                <w:sz w:val="20"/>
                <w:szCs w:val="20"/>
              </w:rPr>
              <w:t>41,3%</w:t>
            </w:r>
            <w:r w:rsidRPr="00B96D35">
              <w:rPr>
                <w:rFonts w:cstheme="minorHAnsi"/>
                <w:sz w:val="20"/>
                <w:szCs w:val="20"/>
                <w:lang w:val="mk-MK"/>
              </w:rPr>
              <w:t>)</w:t>
            </w:r>
          </w:p>
        </w:tc>
        <w:tc>
          <w:tcPr>
            <w:tcW w:w="1748" w:type="dxa"/>
            <w:shd w:val="clear" w:color="auto" w:fill="auto"/>
            <w:vAlign w:val="center"/>
          </w:tcPr>
          <w:p w14:paraId="7B721279" w14:textId="77777777" w:rsidR="00A51747" w:rsidRPr="00B96D35" w:rsidRDefault="00A51747" w:rsidP="00A51747">
            <w:pPr>
              <w:jc w:val="center"/>
              <w:rPr>
                <w:rFonts w:cstheme="minorHAnsi"/>
                <w:sz w:val="20"/>
                <w:szCs w:val="20"/>
                <w:lang w:val="mk-MK"/>
              </w:rPr>
            </w:pPr>
            <w:r w:rsidRPr="00B96D35">
              <w:rPr>
                <w:rFonts w:cstheme="minorHAnsi"/>
                <w:sz w:val="20"/>
                <w:szCs w:val="20"/>
              </w:rPr>
              <w:t>136</w:t>
            </w:r>
            <w:r w:rsidRPr="00B96D35">
              <w:rPr>
                <w:rFonts w:cstheme="minorHAnsi"/>
                <w:sz w:val="20"/>
                <w:szCs w:val="20"/>
                <w:lang w:val="mk-MK"/>
              </w:rPr>
              <w:t xml:space="preserve"> (</w:t>
            </w:r>
            <w:r w:rsidRPr="00B96D35">
              <w:rPr>
                <w:rFonts w:cstheme="minorHAnsi"/>
                <w:sz w:val="20"/>
                <w:szCs w:val="20"/>
              </w:rPr>
              <w:t>24%</w:t>
            </w:r>
            <w:r w:rsidRPr="00B96D35">
              <w:rPr>
                <w:rFonts w:cstheme="minorHAnsi"/>
                <w:sz w:val="20"/>
                <w:szCs w:val="20"/>
                <w:lang w:val="mk-MK"/>
              </w:rPr>
              <w:t>)</w:t>
            </w:r>
          </w:p>
        </w:tc>
        <w:tc>
          <w:tcPr>
            <w:tcW w:w="1759" w:type="dxa"/>
            <w:shd w:val="clear" w:color="auto" w:fill="auto"/>
            <w:vAlign w:val="center"/>
          </w:tcPr>
          <w:p w14:paraId="623B98FA" w14:textId="77777777" w:rsidR="00A51747" w:rsidRPr="00B96D35" w:rsidRDefault="00A51747" w:rsidP="00A51747">
            <w:pPr>
              <w:jc w:val="center"/>
              <w:rPr>
                <w:rFonts w:cstheme="minorHAnsi"/>
                <w:sz w:val="20"/>
                <w:szCs w:val="20"/>
                <w:lang w:val="mk-MK"/>
              </w:rPr>
            </w:pPr>
            <w:r w:rsidRPr="00B96D35">
              <w:rPr>
                <w:rFonts w:cstheme="minorHAnsi"/>
                <w:sz w:val="20"/>
                <w:szCs w:val="20"/>
              </w:rPr>
              <w:t>80</w:t>
            </w:r>
            <w:r w:rsidRPr="00B96D35">
              <w:rPr>
                <w:rFonts w:cstheme="minorHAnsi"/>
                <w:sz w:val="20"/>
                <w:szCs w:val="20"/>
                <w:lang w:val="mk-MK"/>
              </w:rPr>
              <w:t xml:space="preserve"> (</w:t>
            </w:r>
            <w:r w:rsidRPr="00B96D35">
              <w:rPr>
                <w:rFonts w:cstheme="minorHAnsi"/>
                <w:sz w:val="20"/>
                <w:szCs w:val="20"/>
              </w:rPr>
              <w:t>14,1%</w:t>
            </w:r>
            <w:r w:rsidRPr="00B96D35">
              <w:rPr>
                <w:rFonts w:cstheme="minorHAnsi"/>
                <w:sz w:val="20"/>
                <w:szCs w:val="20"/>
                <w:lang w:val="mk-MK"/>
              </w:rPr>
              <w:t>)</w:t>
            </w:r>
          </w:p>
        </w:tc>
      </w:tr>
      <w:tr w:rsidR="00A51747" w:rsidRPr="00B96D35" w14:paraId="54E05A68" w14:textId="77777777" w:rsidTr="00A51747">
        <w:trPr>
          <w:trHeight w:val="421"/>
        </w:trPr>
        <w:tc>
          <w:tcPr>
            <w:tcW w:w="871" w:type="dxa"/>
            <w:shd w:val="clear" w:color="auto" w:fill="9CC2E5" w:themeFill="accent5" w:themeFillTint="99"/>
            <w:vAlign w:val="center"/>
          </w:tcPr>
          <w:p w14:paraId="7DF8F9EC" w14:textId="77777777" w:rsidR="00A51747" w:rsidRPr="00B96D35" w:rsidRDefault="00A51747" w:rsidP="00A51747">
            <w:pPr>
              <w:rPr>
                <w:rFonts w:cstheme="minorHAnsi"/>
                <w:b/>
                <w:sz w:val="20"/>
                <w:szCs w:val="20"/>
                <w:lang w:val="mk-MK"/>
              </w:rPr>
            </w:pPr>
            <w:r w:rsidRPr="00B96D35">
              <w:rPr>
                <w:rFonts w:cstheme="minorHAnsi"/>
                <w:b/>
                <w:sz w:val="20"/>
                <w:szCs w:val="20"/>
                <w:lang w:val="mk-MK"/>
              </w:rPr>
              <w:t>2016</w:t>
            </w:r>
          </w:p>
        </w:tc>
        <w:tc>
          <w:tcPr>
            <w:tcW w:w="1418" w:type="dxa"/>
            <w:tcBorders>
              <w:bottom w:val="single" w:sz="4" w:space="0" w:color="auto"/>
            </w:tcBorders>
          </w:tcPr>
          <w:p w14:paraId="5398D662" w14:textId="77777777" w:rsidR="00A51747" w:rsidRPr="008E0E18" w:rsidRDefault="00A51747" w:rsidP="00A51747">
            <w:pPr>
              <w:jc w:val="center"/>
              <w:rPr>
                <w:rFonts w:cstheme="minorHAnsi"/>
                <w:sz w:val="20"/>
                <w:szCs w:val="20"/>
              </w:rPr>
            </w:pPr>
            <w:r w:rsidRPr="008E0E18">
              <w:rPr>
                <w:rFonts w:cstheme="minorHAnsi"/>
                <w:sz w:val="20"/>
                <w:szCs w:val="14"/>
                <w:lang w:val="en-US"/>
              </w:rPr>
              <w:t>284</w:t>
            </w:r>
          </w:p>
        </w:tc>
        <w:tc>
          <w:tcPr>
            <w:tcW w:w="1706" w:type="dxa"/>
            <w:shd w:val="clear" w:color="auto" w:fill="auto"/>
            <w:vAlign w:val="center"/>
          </w:tcPr>
          <w:p w14:paraId="29654CFD" w14:textId="77777777" w:rsidR="00A51747" w:rsidRPr="00B96D35" w:rsidRDefault="00A51747" w:rsidP="00A51747">
            <w:pPr>
              <w:jc w:val="center"/>
              <w:rPr>
                <w:rFonts w:cstheme="minorHAnsi"/>
                <w:sz w:val="20"/>
                <w:szCs w:val="20"/>
                <w:lang w:val="mk-MK"/>
              </w:rPr>
            </w:pPr>
            <w:r w:rsidRPr="00B96D35">
              <w:rPr>
                <w:rFonts w:cstheme="minorHAnsi"/>
                <w:sz w:val="20"/>
                <w:szCs w:val="20"/>
              </w:rPr>
              <w:t>252</w:t>
            </w:r>
          </w:p>
        </w:tc>
        <w:tc>
          <w:tcPr>
            <w:tcW w:w="1740" w:type="dxa"/>
            <w:shd w:val="clear" w:color="auto" w:fill="auto"/>
            <w:vAlign w:val="center"/>
          </w:tcPr>
          <w:p w14:paraId="2E474227" w14:textId="77777777" w:rsidR="00A51747" w:rsidRPr="00B96D35" w:rsidRDefault="00A51747" w:rsidP="00A51747">
            <w:pPr>
              <w:jc w:val="center"/>
              <w:rPr>
                <w:rFonts w:cstheme="minorHAnsi"/>
                <w:sz w:val="20"/>
                <w:szCs w:val="20"/>
                <w:lang w:val="mk-MK"/>
              </w:rPr>
            </w:pPr>
            <w:r w:rsidRPr="00B96D35">
              <w:rPr>
                <w:rFonts w:cstheme="minorHAnsi"/>
                <w:sz w:val="20"/>
                <w:szCs w:val="20"/>
              </w:rPr>
              <w:t>135</w:t>
            </w:r>
            <w:r w:rsidRPr="00B96D35">
              <w:rPr>
                <w:rFonts w:cstheme="minorHAnsi"/>
                <w:sz w:val="20"/>
                <w:szCs w:val="20"/>
                <w:lang w:val="mk-MK"/>
              </w:rPr>
              <w:t xml:space="preserve"> (</w:t>
            </w:r>
            <w:r w:rsidRPr="00B96D35">
              <w:rPr>
                <w:rFonts w:cstheme="minorHAnsi"/>
                <w:sz w:val="20"/>
                <w:szCs w:val="20"/>
              </w:rPr>
              <w:t>53,6%</w:t>
            </w:r>
            <w:r w:rsidRPr="00B96D35">
              <w:rPr>
                <w:rFonts w:cstheme="minorHAnsi"/>
                <w:sz w:val="20"/>
                <w:szCs w:val="20"/>
                <w:lang w:val="mk-MK"/>
              </w:rPr>
              <w:t>)</w:t>
            </w:r>
          </w:p>
        </w:tc>
        <w:tc>
          <w:tcPr>
            <w:tcW w:w="1748" w:type="dxa"/>
            <w:shd w:val="clear" w:color="auto" w:fill="auto"/>
            <w:vAlign w:val="center"/>
          </w:tcPr>
          <w:p w14:paraId="7EC1AD81" w14:textId="77777777" w:rsidR="00A51747" w:rsidRPr="00B96D35" w:rsidRDefault="00A51747" w:rsidP="00A51747">
            <w:pPr>
              <w:jc w:val="center"/>
              <w:rPr>
                <w:rFonts w:cstheme="minorHAnsi"/>
                <w:sz w:val="20"/>
                <w:szCs w:val="20"/>
                <w:lang w:val="mk-MK"/>
              </w:rPr>
            </w:pPr>
            <w:r w:rsidRPr="00B96D35">
              <w:rPr>
                <w:rFonts w:cstheme="minorHAnsi"/>
                <w:sz w:val="20"/>
                <w:szCs w:val="20"/>
              </w:rPr>
              <w:t>21</w:t>
            </w:r>
            <w:r w:rsidRPr="00B96D35">
              <w:rPr>
                <w:rFonts w:cstheme="minorHAnsi"/>
                <w:sz w:val="20"/>
                <w:szCs w:val="20"/>
                <w:lang w:val="mk-MK"/>
              </w:rPr>
              <w:t xml:space="preserve"> (</w:t>
            </w:r>
            <w:r w:rsidRPr="00B96D35">
              <w:rPr>
                <w:rFonts w:cstheme="minorHAnsi"/>
                <w:sz w:val="20"/>
                <w:szCs w:val="20"/>
              </w:rPr>
              <w:t>8,3%</w:t>
            </w:r>
            <w:r w:rsidRPr="00B96D35">
              <w:rPr>
                <w:rFonts w:cstheme="minorHAnsi"/>
                <w:sz w:val="20"/>
                <w:szCs w:val="20"/>
                <w:lang w:val="mk-MK"/>
              </w:rPr>
              <w:t>)</w:t>
            </w:r>
          </w:p>
        </w:tc>
        <w:tc>
          <w:tcPr>
            <w:tcW w:w="1759" w:type="dxa"/>
            <w:shd w:val="clear" w:color="auto" w:fill="auto"/>
            <w:vAlign w:val="center"/>
          </w:tcPr>
          <w:p w14:paraId="672A17CF" w14:textId="77777777" w:rsidR="00A51747" w:rsidRPr="00B96D35" w:rsidRDefault="00A51747" w:rsidP="00A51747">
            <w:pPr>
              <w:jc w:val="center"/>
              <w:rPr>
                <w:rFonts w:cstheme="minorHAnsi"/>
                <w:sz w:val="20"/>
                <w:szCs w:val="20"/>
                <w:lang w:val="mk-MK"/>
              </w:rPr>
            </w:pPr>
            <w:r w:rsidRPr="00B96D35">
              <w:rPr>
                <w:rFonts w:cstheme="minorHAnsi"/>
                <w:sz w:val="20"/>
                <w:szCs w:val="20"/>
              </w:rPr>
              <w:t>76</w:t>
            </w:r>
            <w:r w:rsidRPr="00B96D35">
              <w:rPr>
                <w:rFonts w:cstheme="minorHAnsi"/>
                <w:sz w:val="20"/>
                <w:szCs w:val="20"/>
                <w:lang w:val="mk-MK"/>
              </w:rPr>
              <w:t xml:space="preserve"> (</w:t>
            </w:r>
            <w:r w:rsidRPr="00B96D35">
              <w:rPr>
                <w:rFonts w:cstheme="minorHAnsi"/>
                <w:sz w:val="20"/>
                <w:szCs w:val="20"/>
              </w:rPr>
              <w:t>30,2%</w:t>
            </w:r>
            <w:r w:rsidRPr="00B96D35">
              <w:rPr>
                <w:rFonts w:cstheme="minorHAnsi"/>
                <w:sz w:val="20"/>
                <w:szCs w:val="20"/>
                <w:lang w:val="mk-MK"/>
              </w:rPr>
              <w:t>)</w:t>
            </w:r>
          </w:p>
        </w:tc>
      </w:tr>
      <w:tr w:rsidR="00A51747" w:rsidRPr="00B96D35" w14:paraId="4BB1D502" w14:textId="77777777" w:rsidTr="00A51747">
        <w:trPr>
          <w:trHeight w:val="421"/>
        </w:trPr>
        <w:tc>
          <w:tcPr>
            <w:tcW w:w="871" w:type="dxa"/>
            <w:shd w:val="clear" w:color="auto" w:fill="9CC2E5" w:themeFill="accent5" w:themeFillTint="99"/>
            <w:vAlign w:val="center"/>
          </w:tcPr>
          <w:p w14:paraId="3DF92B70" w14:textId="77777777" w:rsidR="00A51747" w:rsidRPr="00B96D35" w:rsidRDefault="00A51747" w:rsidP="00A51747">
            <w:pPr>
              <w:rPr>
                <w:rFonts w:cstheme="minorHAnsi"/>
                <w:b/>
                <w:sz w:val="20"/>
                <w:szCs w:val="20"/>
              </w:rPr>
            </w:pPr>
            <w:r w:rsidRPr="00B96D35">
              <w:rPr>
                <w:rFonts w:cstheme="minorHAnsi"/>
                <w:b/>
                <w:sz w:val="20"/>
                <w:szCs w:val="20"/>
              </w:rPr>
              <w:t>2017</w:t>
            </w:r>
          </w:p>
        </w:tc>
        <w:tc>
          <w:tcPr>
            <w:tcW w:w="1418" w:type="dxa"/>
            <w:tcBorders>
              <w:right w:val="single" w:sz="4" w:space="0" w:color="auto"/>
            </w:tcBorders>
          </w:tcPr>
          <w:p w14:paraId="1B04317F" w14:textId="77777777" w:rsidR="00A51747" w:rsidRPr="008E0E18" w:rsidRDefault="00A51747" w:rsidP="00A51747">
            <w:pPr>
              <w:jc w:val="center"/>
              <w:rPr>
                <w:rFonts w:cstheme="minorHAnsi"/>
                <w:sz w:val="20"/>
                <w:szCs w:val="20"/>
              </w:rPr>
            </w:pPr>
            <w:r w:rsidRPr="008E0E18">
              <w:rPr>
                <w:rFonts w:cstheme="minorHAnsi"/>
                <w:sz w:val="20"/>
                <w:szCs w:val="20"/>
              </w:rPr>
              <w:t>72</w:t>
            </w:r>
          </w:p>
        </w:tc>
        <w:tc>
          <w:tcPr>
            <w:tcW w:w="1706" w:type="dxa"/>
            <w:tcBorders>
              <w:top w:val="nil"/>
              <w:left w:val="single" w:sz="4" w:space="0" w:color="auto"/>
              <w:bottom w:val="single" w:sz="8" w:space="0" w:color="auto"/>
              <w:right w:val="single" w:sz="8" w:space="0" w:color="auto"/>
            </w:tcBorders>
            <w:vAlign w:val="center"/>
          </w:tcPr>
          <w:p w14:paraId="0AEB8565" w14:textId="77777777" w:rsidR="00A51747" w:rsidRPr="00B96D35" w:rsidRDefault="00A51747" w:rsidP="00A51747">
            <w:pPr>
              <w:jc w:val="center"/>
              <w:rPr>
                <w:rFonts w:cstheme="minorHAnsi"/>
                <w:sz w:val="20"/>
                <w:szCs w:val="20"/>
              </w:rPr>
            </w:pPr>
            <w:r w:rsidRPr="00B96D35">
              <w:rPr>
                <w:rFonts w:cstheme="minorHAnsi"/>
                <w:sz w:val="20"/>
                <w:szCs w:val="20"/>
              </w:rPr>
              <w:t>54</w:t>
            </w:r>
          </w:p>
        </w:tc>
        <w:tc>
          <w:tcPr>
            <w:tcW w:w="1740" w:type="dxa"/>
            <w:tcBorders>
              <w:top w:val="nil"/>
              <w:left w:val="nil"/>
              <w:bottom w:val="single" w:sz="8" w:space="0" w:color="auto"/>
              <w:right w:val="single" w:sz="8" w:space="0" w:color="auto"/>
            </w:tcBorders>
            <w:vAlign w:val="center"/>
          </w:tcPr>
          <w:p w14:paraId="08692646" w14:textId="77777777" w:rsidR="00A51747" w:rsidRPr="00B96D35" w:rsidRDefault="00A51747" w:rsidP="00A51747">
            <w:pPr>
              <w:jc w:val="center"/>
              <w:rPr>
                <w:rFonts w:cstheme="minorHAnsi"/>
                <w:sz w:val="20"/>
                <w:szCs w:val="20"/>
              </w:rPr>
            </w:pPr>
            <w:r w:rsidRPr="00B96D35">
              <w:rPr>
                <w:rFonts w:cstheme="minorHAnsi"/>
                <w:sz w:val="20"/>
                <w:szCs w:val="20"/>
              </w:rPr>
              <w:t>43 (80%)</w:t>
            </w:r>
          </w:p>
        </w:tc>
        <w:tc>
          <w:tcPr>
            <w:tcW w:w="1748" w:type="dxa"/>
            <w:tcBorders>
              <w:top w:val="nil"/>
              <w:left w:val="nil"/>
              <w:bottom w:val="single" w:sz="8" w:space="0" w:color="auto"/>
              <w:right w:val="single" w:sz="8" w:space="0" w:color="auto"/>
            </w:tcBorders>
            <w:vAlign w:val="center"/>
          </w:tcPr>
          <w:p w14:paraId="44EDEFD8" w14:textId="77777777" w:rsidR="00A51747" w:rsidRPr="00B96D35" w:rsidRDefault="00A51747" w:rsidP="00A51747">
            <w:pPr>
              <w:jc w:val="center"/>
              <w:rPr>
                <w:rFonts w:cstheme="minorHAnsi"/>
                <w:sz w:val="20"/>
                <w:szCs w:val="20"/>
              </w:rPr>
            </w:pPr>
            <w:r w:rsidRPr="00B96D35">
              <w:rPr>
                <w:rFonts w:cstheme="minorHAnsi"/>
                <w:sz w:val="20"/>
                <w:szCs w:val="20"/>
              </w:rPr>
              <w:t>45(83 %)</w:t>
            </w:r>
          </w:p>
        </w:tc>
        <w:tc>
          <w:tcPr>
            <w:tcW w:w="1759" w:type="dxa"/>
            <w:tcBorders>
              <w:top w:val="nil"/>
              <w:left w:val="nil"/>
              <w:bottom w:val="single" w:sz="8" w:space="0" w:color="auto"/>
              <w:right w:val="single" w:sz="8" w:space="0" w:color="auto"/>
            </w:tcBorders>
            <w:vAlign w:val="center"/>
          </w:tcPr>
          <w:p w14:paraId="771715F2" w14:textId="77777777" w:rsidR="00A51747" w:rsidRPr="00B96D35" w:rsidRDefault="00A51747" w:rsidP="00A51747">
            <w:pPr>
              <w:jc w:val="center"/>
              <w:rPr>
                <w:rFonts w:cstheme="minorHAnsi"/>
                <w:sz w:val="20"/>
                <w:szCs w:val="20"/>
              </w:rPr>
            </w:pPr>
            <w:r w:rsidRPr="00B96D35">
              <w:rPr>
                <w:rFonts w:cstheme="minorHAnsi"/>
                <w:sz w:val="20"/>
                <w:szCs w:val="20"/>
              </w:rPr>
              <w:t>32 (59 %)</w:t>
            </w:r>
          </w:p>
        </w:tc>
      </w:tr>
      <w:tr w:rsidR="00A51747" w:rsidRPr="00B96D35" w14:paraId="38F4665D" w14:textId="77777777" w:rsidTr="00A51747">
        <w:trPr>
          <w:trHeight w:val="421"/>
        </w:trPr>
        <w:tc>
          <w:tcPr>
            <w:tcW w:w="871" w:type="dxa"/>
            <w:shd w:val="clear" w:color="auto" w:fill="9CC2E5" w:themeFill="accent5" w:themeFillTint="99"/>
            <w:vAlign w:val="center"/>
          </w:tcPr>
          <w:p w14:paraId="00457D61" w14:textId="77777777" w:rsidR="00A51747" w:rsidRPr="00B96D35" w:rsidRDefault="00A51747" w:rsidP="00A51747">
            <w:pPr>
              <w:rPr>
                <w:rFonts w:cstheme="minorHAnsi"/>
                <w:b/>
                <w:sz w:val="20"/>
                <w:szCs w:val="20"/>
                <w:lang w:val="mk-MK"/>
              </w:rPr>
            </w:pPr>
            <w:r w:rsidRPr="00B96D35">
              <w:rPr>
                <w:rFonts w:cstheme="minorHAnsi"/>
                <w:b/>
                <w:sz w:val="20"/>
                <w:szCs w:val="20"/>
                <w:lang w:val="mk-MK"/>
              </w:rPr>
              <w:t>2018</w:t>
            </w:r>
          </w:p>
        </w:tc>
        <w:tc>
          <w:tcPr>
            <w:tcW w:w="1418" w:type="dxa"/>
            <w:tcBorders>
              <w:bottom w:val="single" w:sz="4" w:space="0" w:color="auto"/>
              <w:right w:val="single" w:sz="4" w:space="0" w:color="auto"/>
            </w:tcBorders>
          </w:tcPr>
          <w:p w14:paraId="04E7A8F1" w14:textId="77777777" w:rsidR="00A51747" w:rsidRPr="008E0E18" w:rsidRDefault="00A51747" w:rsidP="00A51747">
            <w:pPr>
              <w:jc w:val="center"/>
              <w:rPr>
                <w:rFonts w:cstheme="minorHAnsi"/>
                <w:sz w:val="20"/>
                <w:szCs w:val="20"/>
              </w:rPr>
            </w:pPr>
            <w:r w:rsidRPr="008E0E18">
              <w:rPr>
                <w:rFonts w:cstheme="minorHAnsi"/>
                <w:sz w:val="20"/>
                <w:szCs w:val="16"/>
              </w:rPr>
              <w:t>133</w:t>
            </w:r>
          </w:p>
        </w:tc>
        <w:tc>
          <w:tcPr>
            <w:tcW w:w="1706" w:type="dxa"/>
            <w:tcBorders>
              <w:top w:val="nil"/>
              <w:left w:val="single" w:sz="4" w:space="0" w:color="auto"/>
              <w:bottom w:val="single" w:sz="4" w:space="0" w:color="auto"/>
              <w:right w:val="single" w:sz="8" w:space="0" w:color="auto"/>
            </w:tcBorders>
            <w:vAlign w:val="center"/>
          </w:tcPr>
          <w:p w14:paraId="4648C998" w14:textId="77777777" w:rsidR="00A51747" w:rsidRPr="00B96D35" w:rsidRDefault="00A51747" w:rsidP="00A51747">
            <w:pPr>
              <w:jc w:val="center"/>
              <w:rPr>
                <w:rFonts w:cstheme="minorHAnsi"/>
                <w:sz w:val="20"/>
                <w:szCs w:val="20"/>
              </w:rPr>
            </w:pPr>
            <w:r w:rsidRPr="00B96D35">
              <w:rPr>
                <w:rFonts w:cstheme="minorHAnsi"/>
                <w:sz w:val="20"/>
                <w:szCs w:val="20"/>
              </w:rPr>
              <w:t>109</w:t>
            </w:r>
          </w:p>
        </w:tc>
        <w:tc>
          <w:tcPr>
            <w:tcW w:w="1740" w:type="dxa"/>
            <w:tcBorders>
              <w:top w:val="nil"/>
              <w:left w:val="nil"/>
              <w:bottom w:val="single" w:sz="4" w:space="0" w:color="auto"/>
              <w:right w:val="single" w:sz="8" w:space="0" w:color="auto"/>
            </w:tcBorders>
            <w:vAlign w:val="center"/>
          </w:tcPr>
          <w:p w14:paraId="716A9C3A" w14:textId="77777777" w:rsidR="00A51747" w:rsidRPr="00B96D35" w:rsidRDefault="00A51747" w:rsidP="00A51747">
            <w:pPr>
              <w:jc w:val="center"/>
              <w:rPr>
                <w:rFonts w:cstheme="minorHAnsi"/>
                <w:sz w:val="20"/>
                <w:szCs w:val="20"/>
              </w:rPr>
            </w:pPr>
            <w:r w:rsidRPr="00B96D35">
              <w:rPr>
                <w:rFonts w:cstheme="minorHAnsi"/>
                <w:sz w:val="20"/>
                <w:szCs w:val="20"/>
              </w:rPr>
              <w:t>9</w:t>
            </w:r>
            <w:r w:rsidRPr="00B96D35">
              <w:rPr>
                <w:rFonts w:cstheme="minorHAnsi"/>
                <w:sz w:val="20"/>
                <w:szCs w:val="20"/>
                <w:lang w:val="mk-MK"/>
              </w:rPr>
              <w:t>4</w:t>
            </w:r>
            <w:r w:rsidRPr="00B96D35">
              <w:rPr>
                <w:rFonts w:cstheme="minorHAnsi"/>
                <w:sz w:val="20"/>
                <w:szCs w:val="20"/>
              </w:rPr>
              <w:t xml:space="preserve"> (86%)</w:t>
            </w:r>
          </w:p>
        </w:tc>
        <w:tc>
          <w:tcPr>
            <w:tcW w:w="1748" w:type="dxa"/>
            <w:tcBorders>
              <w:top w:val="nil"/>
              <w:left w:val="nil"/>
              <w:bottom w:val="single" w:sz="4" w:space="0" w:color="auto"/>
              <w:right w:val="single" w:sz="8" w:space="0" w:color="auto"/>
            </w:tcBorders>
            <w:vAlign w:val="center"/>
          </w:tcPr>
          <w:p w14:paraId="21F8461F" w14:textId="77777777" w:rsidR="00A51747" w:rsidRPr="00B96D35" w:rsidRDefault="00A51747" w:rsidP="00A51747">
            <w:pPr>
              <w:jc w:val="center"/>
              <w:rPr>
                <w:rFonts w:cstheme="minorHAnsi"/>
                <w:sz w:val="20"/>
                <w:szCs w:val="20"/>
              </w:rPr>
            </w:pPr>
            <w:r w:rsidRPr="00B96D35">
              <w:rPr>
                <w:rFonts w:cstheme="minorHAnsi"/>
                <w:sz w:val="20"/>
                <w:szCs w:val="20"/>
              </w:rPr>
              <w:t>9</w:t>
            </w:r>
            <w:r w:rsidRPr="00B96D35">
              <w:rPr>
                <w:rFonts w:cstheme="minorHAnsi"/>
                <w:sz w:val="20"/>
                <w:szCs w:val="20"/>
                <w:lang w:val="mk-MK"/>
              </w:rPr>
              <w:t>4</w:t>
            </w:r>
            <w:r w:rsidRPr="00B96D35">
              <w:rPr>
                <w:rFonts w:cstheme="minorHAnsi"/>
                <w:sz w:val="20"/>
                <w:szCs w:val="20"/>
              </w:rPr>
              <w:t xml:space="preserve"> (86%)</w:t>
            </w:r>
          </w:p>
        </w:tc>
        <w:tc>
          <w:tcPr>
            <w:tcW w:w="1759" w:type="dxa"/>
            <w:tcBorders>
              <w:top w:val="nil"/>
              <w:left w:val="nil"/>
              <w:bottom w:val="single" w:sz="4" w:space="0" w:color="auto"/>
              <w:right w:val="single" w:sz="8" w:space="0" w:color="auto"/>
            </w:tcBorders>
            <w:vAlign w:val="center"/>
          </w:tcPr>
          <w:p w14:paraId="4CA6E036" w14:textId="77777777" w:rsidR="00A51747" w:rsidRPr="00B96D35" w:rsidRDefault="00A51747" w:rsidP="00A51747">
            <w:pPr>
              <w:jc w:val="center"/>
              <w:rPr>
                <w:rFonts w:cstheme="minorHAnsi"/>
                <w:sz w:val="20"/>
                <w:szCs w:val="20"/>
              </w:rPr>
            </w:pPr>
            <w:r w:rsidRPr="00B96D35">
              <w:rPr>
                <w:rFonts w:cstheme="minorHAnsi"/>
                <w:sz w:val="20"/>
                <w:szCs w:val="20"/>
              </w:rPr>
              <w:t>7</w:t>
            </w:r>
            <w:r w:rsidRPr="00B96D35">
              <w:rPr>
                <w:rFonts w:cstheme="minorHAnsi"/>
                <w:sz w:val="20"/>
                <w:szCs w:val="20"/>
                <w:lang w:val="mk-MK"/>
              </w:rPr>
              <w:t>9</w:t>
            </w:r>
            <w:r w:rsidRPr="00B96D35">
              <w:rPr>
                <w:rFonts w:cstheme="minorHAnsi"/>
                <w:sz w:val="20"/>
                <w:szCs w:val="20"/>
              </w:rPr>
              <w:t xml:space="preserve"> (72%)</w:t>
            </w:r>
          </w:p>
        </w:tc>
      </w:tr>
      <w:tr w:rsidR="00A51747" w:rsidRPr="00B96D35" w14:paraId="30B36C8D" w14:textId="77777777" w:rsidTr="00A51747">
        <w:trPr>
          <w:trHeight w:val="421"/>
        </w:trPr>
        <w:tc>
          <w:tcPr>
            <w:tcW w:w="871" w:type="dxa"/>
            <w:shd w:val="clear" w:color="auto" w:fill="9CC2E5" w:themeFill="accent5" w:themeFillTint="99"/>
            <w:vAlign w:val="center"/>
          </w:tcPr>
          <w:p w14:paraId="1307C319" w14:textId="77777777" w:rsidR="00A51747" w:rsidRPr="00B96D35" w:rsidRDefault="00A51747" w:rsidP="00A51747">
            <w:pPr>
              <w:rPr>
                <w:rFonts w:cstheme="minorHAnsi"/>
                <w:b/>
                <w:sz w:val="20"/>
                <w:szCs w:val="20"/>
              </w:rPr>
            </w:pPr>
            <w:r w:rsidRPr="00B96D35">
              <w:rPr>
                <w:rFonts w:cstheme="minorHAnsi"/>
                <w:b/>
                <w:sz w:val="20"/>
                <w:szCs w:val="20"/>
                <w:lang w:val="mk-MK"/>
              </w:rPr>
              <w:t>201</w:t>
            </w:r>
            <w:r w:rsidRPr="00B96D35">
              <w:rPr>
                <w:rFonts w:cstheme="minorHAnsi"/>
                <w:b/>
                <w:sz w:val="20"/>
                <w:szCs w:val="20"/>
              </w:rPr>
              <w:t>9</w:t>
            </w:r>
          </w:p>
        </w:tc>
        <w:tc>
          <w:tcPr>
            <w:tcW w:w="1418" w:type="dxa"/>
            <w:tcBorders>
              <w:right w:val="single" w:sz="4" w:space="0" w:color="auto"/>
            </w:tcBorders>
          </w:tcPr>
          <w:p w14:paraId="2BD44A3C" w14:textId="77777777" w:rsidR="00A51747" w:rsidRPr="008E0E18" w:rsidRDefault="00A51747" w:rsidP="00A51747">
            <w:pPr>
              <w:jc w:val="center"/>
              <w:rPr>
                <w:rFonts w:cstheme="minorHAnsi"/>
                <w:sz w:val="20"/>
                <w:szCs w:val="20"/>
              </w:rPr>
            </w:pPr>
            <w:r w:rsidRPr="008E0E18">
              <w:rPr>
                <w:rFonts w:cstheme="minorHAnsi"/>
                <w:sz w:val="20"/>
                <w:szCs w:val="16"/>
              </w:rPr>
              <w:t>2</w:t>
            </w:r>
            <w:r w:rsidRPr="008E0E18">
              <w:rPr>
                <w:rFonts w:cstheme="minorHAnsi"/>
                <w:sz w:val="20"/>
                <w:szCs w:val="16"/>
                <w:lang w:val="sq-AL"/>
              </w:rPr>
              <w:t>79</w:t>
            </w:r>
          </w:p>
        </w:tc>
        <w:tc>
          <w:tcPr>
            <w:tcW w:w="1706" w:type="dxa"/>
            <w:tcBorders>
              <w:top w:val="single" w:sz="4" w:space="0" w:color="auto"/>
              <w:left w:val="single" w:sz="4" w:space="0" w:color="auto"/>
              <w:bottom w:val="single" w:sz="4" w:space="0" w:color="auto"/>
              <w:right w:val="single" w:sz="4" w:space="0" w:color="auto"/>
            </w:tcBorders>
            <w:vAlign w:val="center"/>
          </w:tcPr>
          <w:p w14:paraId="0A30A376" w14:textId="77777777" w:rsidR="00A51747" w:rsidRPr="00B96D35" w:rsidRDefault="00A51747" w:rsidP="00A51747">
            <w:pPr>
              <w:jc w:val="center"/>
              <w:rPr>
                <w:rFonts w:cstheme="minorHAnsi"/>
                <w:sz w:val="20"/>
                <w:szCs w:val="20"/>
                <w:lang w:val="mk-MK"/>
              </w:rPr>
            </w:pPr>
            <w:r w:rsidRPr="00B96D35">
              <w:rPr>
                <w:rFonts w:cstheme="minorHAnsi"/>
                <w:sz w:val="20"/>
                <w:szCs w:val="20"/>
              </w:rPr>
              <w:t>24</w:t>
            </w:r>
            <w:r w:rsidRPr="00B96D35">
              <w:rPr>
                <w:rFonts w:cstheme="minorHAnsi"/>
                <w:sz w:val="20"/>
                <w:szCs w:val="20"/>
                <w:lang w:val="mk-MK"/>
              </w:rPr>
              <w:t>2</w:t>
            </w:r>
          </w:p>
        </w:tc>
        <w:tc>
          <w:tcPr>
            <w:tcW w:w="1740" w:type="dxa"/>
            <w:tcBorders>
              <w:top w:val="single" w:sz="4" w:space="0" w:color="auto"/>
              <w:left w:val="single" w:sz="4" w:space="0" w:color="auto"/>
              <w:bottom w:val="single" w:sz="4" w:space="0" w:color="auto"/>
              <w:right w:val="single" w:sz="4" w:space="0" w:color="auto"/>
            </w:tcBorders>
            <w:vAlign w:val="center"/>
          </w:tcPr>
          <w:p w14:paraId="06FB9A2C" w14:textId="77777777" w:rsidR="00A51747" w:rsidRPr="00B96D35" w:rsidRDefault="00A51747" w:rsidP="00A51747">
            <w:pPr>
              <w:jc w:val="center"/>
              <w:rPr>
                <w:rFonts w:cstheme="minorHAnsi"/>
                <w:sz w:val="20"/>
                <w:szCs w:val="20"/>
              </w:rPr>
            </w:pPr>
            <w:r w:rsidRPr="00B96D35">
              <w:rPr>
                <w:rFonts w:cstheme="minorHAnsi"/>
                <w:sz w:val="20"/>
                <w:szCs w:val="20"/>
              </w:rPr>
              <w:t>1</w:t>
            </w:r>
            <w:r w:rsidRPr="00B96D35">
              <w:rPr>
                <w:rFonts w:cstheme="minorHAnsi"/>
                <w:sz w:val="20"/>
                <w:szCs w:val="20"/>
                <w:lang w:val="mk-MK"/>
              </w:rPr>
              <w:t>86 (77%)</w:t>
            </w:r>
          </w:p>
        </w:tc>
        <w:tc>
          <w:tcPr>
            <w:tcW w:w="1748" w:type="dxa"/>
            <w:tcBorders>
              <w:top w:val="single" w:sz="4" w:space="0" w:color="auto"/>
              <w:left w:val="single" w:sz="4" w:space="0" w:color="auto"/>
              <w:bottom w:val="single" w:sz="4" w:space="0" w:color="auto"/>
              <w:right w:val="single" w:sz="4" w:space="0" w:color="auto"/>
            </w:tcBorders>
            <w:vAlign w:val="center"/>
          </w:tcPr>
          <w:p w14:paraId="7D563537"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124 (51%)</w:t>
            </w:r>
          </w:p>
        </w:tc>
        <w:tc>
          <w:tcPr>
            <w:tcW w:w="1759" w:type="dxa"/>
            <w:tcBorders>
              <w:top w:val="single" w:sz="4" w:space="0" w:color="auto"/>
              <w:left w:val="single" w:sz="4" w:space="0" w:color="auto"/>
              <w:bottom w:val="single" w:sz="4" w:space="0" w:color="auto"/>
              <w:right w:val="single" w:sz="4" w:space="0" w:color="auto"/>
            </w:tcBorders>
            <w:vAlign w:val="center"/>
          </w:tcPr>
          <w:p w14:paraId="6F4477C3" w14:textId="77777777" w:rsidR="00A51747" w:rsidRPr="00B96D35" w:rsidRDefault="00A51747" w:rsidP="00A51747">
            <w:pPr>
              <w:jc w:val="center"/>
              <w:rPr>
                <w:rFonts w:cstheme="minorHAnsi"/>
                <w:sz w:val="20"/>
                <w:szCs w:val="20"/>
                <w:lang w:val="mk-MK"/>
              </w:rPr>
            </w:pPr>
            <w:r w:rsidRPr="00B96D35">
              <w:rPr>
                <w:rFonts w:cstheme="minorHAnsi"/>
                <w:sz w:val="20"/>
                <w:szCs w:val="20"/>
              </w:rPr>
              <w:t>157</w:t>
            </w:r>
            <w:r w:rsidRPr="00B96D35">
              <w:rPr>
                <w:rFonts w:cstheme="minorHAnsi"/>
                <w:sz w:val="20"/>
                <w:szCs w:val="20"/>
                <w:lang w:val="mk-MK"/>
              </w:rPr>
              <w:t xml:space="preserve"> (65%)</w:t>
            </w:r>
          </w:p>
        </w:tc>
      </w:tr>
      <w:tr w:rsidR="00A51747" w:rsidRPr="00B96D35" w14:paraId="382EF9E5" w14:textId="77777777" w:rsidTr="00A51747">
        <w:trPr>
          <w:trHeight w:val="421"/>
        </w:trPr>
        <w:tc>
          <w:tcPr>
            <w:tcW w:w="87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E5828AC" w14:textId="77777777" w:rsidR="00A51747" w:rsidRPr="00B96D35" w:rsidRDefault="00A51747" w:rsidP="00A51747">
            <w:pPr>
              <w:rPr>
                <w:rFonts w:cstheme="minorHAnsi"/>
                <w:b/>
                <w:sz w:val="20"/>
                <w:szCs w:val="20"/>
              </w:rPr>
            </w:pPr>
            <w:r w:rsidRPr="00B96D35">
              <w:rPr>
                <w:rFonts w:cstheme="minorHAnsi"/>
                <w:b/>
                <w:sz w:val="20"/>
                <w:szCs w:val="20"/>
              </w:rPr>
              <w:t>2020</w:t>
            </w:r>
          </w:p>
        </w:tc>
        <w:tc>
          <w:tcPr>
            <w:tcW w:w="1418" w:type="dxa"/>
            <w:tcBorders>
              <w:top w:val="single" w:sz="4" w:space="0" w:color="auto"/>
              <w:left w:val="nil"/>
              <w:bottom w:val="single" w:sz="4" w:space="0" w:color="auto"/>
              <w:right w:val="single" w:sz="4" w:space="0" w:color="auto"/>
            </w:tcBorders>
          </w:tcPr>
          <w:p w14:paraId="471D4B51" w14:textId="77777777" w:rsidR="00A51747" w:rsidRPr="008E0E18" w:rsidRDefault="00A51747" w:rsidP="00A51747">
            <w:pPr>
              <w:jc w:val="center"/>
              <w:rPr>
                <w:rFonts w:cstheme="minorHAnsi"/>
                <w:sz w:val="20"/>
                <w:szCs w:val="20"/>
                <w:lang w:val="mk-MK"/>
              </w:rPr>
            </w:pPr>
            <w:r w:rsidRPr="008E0E18">
              <w:rPr>
                <w:rFonts w:cstheme="minorHAnsi"/>
                <w:sz w:val="20"/>
                <w:szCs w:val="16"/>
                <w:lang w:val="ru-RU"/>
              </w:rPr>
              <w:t>134</w:t>
            </w:r>
          </w:p>
        </w:tc>
        <w:tc>
          <w:tcPr>
            <w:tcW w:w="1706" w:type="dxa"/>
            <w:tcBorders>
              <w:top w:val="single" w:sz="4" w:space="0" w:color="auto"/>
              <w:left w:val="single" w:sz="4" w:space="0" w:color="auto"/>
              <w:bottom w:val="single" w:sz="4" w:space="0" w:color="auto"/>
              <w:right w:val="single" w:sz="8" w:space="0" w:color="auto"/>
            </w:tcBorders>
            <w:vAlign w:val="center"/>
          </w:tcPr>
          <w:p w14:paraId="49DF2D94" w14:textId="77777777" w:rsidR="00A51747" w:rsidRPr="00B96D35" w:rsidRDefault="00A51747" w:rsidP="00A51747">
            <w:pPr>
              <w:jc w:val="center"/>
              <w:rPr>
                <w:rFonts w:cstheme="minorHAnsi"/>
                <w:sz w:val="20"/>
                <w:szCs w:val="20"/>
              </w:rPr>
            </w:pPr>
            <w:r w:rsidRPr="00B96D35">
              <w:rPr>
                <w:rFonts w:cstheme="minorHAnsi"/>
                <w:sz w:val="20"/>
                <w:szCs w:val="20"/>
                <w:lang w:val="mk-MK"/>
              </w:rPr>
              <w:t>12</w:t>
            </w:r>
            <w:r w:rsidRPr="00B96D35">
              <w:rPr>
                <w:rFonts w:cstheme="minorHAnsi"/>
                <w:sz w:val="20"/>
                <w:szCs w:val="20"/>
              </w:rPr>
              <w:t>1</w:t>
            </w:r>
          </w:p>
        </w:tc>
        <w:tc>
          <w:tcPr>
            <w:tcW w:w="1740" w:type="dxa"/>
            <w:tcBorders>
              <w:top w:val="single" w:sz="4" w:space="0" w:color="auto"/>
              <w:left w:val="nil"/>
              <w:bottom w:val="single" w:sz="4" w:space="0" w:color="auto"/>
              <w:right w:val="single" w:sz="8" w:space="0" w:color="auto"/>
            </w:tcBorders>
            <w:vAlign w:val="center"/>
          </w:tcPr>
          <w:p w14:paraId="11E467BA"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6</w:t>
            </w:r>
            <w:r w:rsidRPr="00B96D35">
              <w:rPr>
                <w:rFonts w:cstheme="minorHAnsi"/>
                <w:sz w:val="20"/>
                <w:szCs w:val="20"/>
              </w:rPr>
              <w:t>3</w:t>
            </w:r>
            <w:r w:rsidRPr="00B96D35">
              <w:rPr>
                <w:rFonts w:cstheme="minorHAnsi"/>
                <w:sz w:val="20"/>
                <w:szCs w:val="20"/>
                <w:lang w:val="mk-MK"/>
              </w:rPr>
              <w:t xml:space="preserve"> (52,06%)</w:t>
            </w:r>
          </w:p>
        </w:tc>
        <w:tc>
          <w:tcPr>
            <w:tcW w:w="1748" w:type="dxa"/>
            <w:tcBorders>
              <w:top w:val="single" w:sz="4" w:space="0" w:color="auto"/>
              <w:left w:val="nil"/>
              <w:bottom w:val="single" w:sz="4" w:space="0" w:color="auto"/>
              <w:right w:val="single" w:sz="8" w:space="0" w:color="auto"/>
            </w:tcBorders>
            <w:vAlign w:val="center"/>
          </w:tcPr>
          <w:p w14:paraId="026BFFB3"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5</w:t>
            </w:r>
            <w:r w:rsidRPr="00B96D35">
              <w:rPr>
                <w:rFonts w:cstheme="minorHAnsi"/>
                <w:sz w:val="20"/>
                <w:szCs w:val="20"/>
              </w:rPr>
              <w:t>8</w:t>
            </w:r>
            <w:r w:rsidRPr="00B96D35">
              <w:rPr>
                <w:rFonts w:cstheme="minorHAnsi"/>
                <w:sz w:val="20"/>
                <w:szCs w:val="20"/>
                <w:lang w:val="mk-MK"/>
              </w:rPr>
              <w:t xml:space="preserve"> (</w:t>
            </w:r>
            <w:r w:rsidRPr="00B96D35">
              <w:rPr>
                <w:rFonts w:cstheme="minorHAnsi"/>
                <w:sz w:val="20"/>
                <w:szCs w:val="20"/>
              </w:rPr>
              <w:t>47</w:t>
            </w:r>
            <w:r w:rsidRPr="00B96D35">
              <w:rPr>
                <w:rFonts w:cstheme="minorHAnsi"/>
                <w:sz w:val="20"/>
                <w:szCs w:val="20"/>
                <w:lang w:val="mk-MK"/>
              </w:rPr>
              <w:t>,</w:t>
            </w:r>
            <w:r w:rsidRPr="00B96D35">
              <w:rPr>
                <w:rFonts w:cstheme="minorHAnsi"/>
                <w:sz w:val="20"/>
                <w:szCs w:val="20"/>
              </w:rPr>
              <w:t>93</w:t>
            </w:r>
            <w:r w:rsidRPr="00B96D35">
              <w:rPr>
                <w:rFonts w:cstheme="minorHAnsi"/>
                <w:sz w:val="20"/>
                <w:szCs w:val="20"/>
                <w:lang w:val="mk-MK"/>
              </w:rPr>
              <w:t>%)</w:t>
            </w:r>
          </w:p>
        </w:tc>
        <w:tc>
          <w:tcPr>
            <w:tcW w:w="1759" w:type="dxa"/>
            <w:tcBorders>
              <w:top w:val="single" w:sz="4" w:space="0" w:color="auto"/>
              <w:left w:val="nil"/>
              <w:bottom w:val="single" w:sz="4" w:space="0" w:color="auto"/>
              <w:right w:val="single" w:sz="8" w:space="0" w:color="auto"/>
            </w:tcBorders>
            <w:vAlign w:val="center"/>
          </w:tcPr>
          <w:p w14:paraId="043D2131"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5</w:t>
            </w:r>
            <w:r w:rsidRPr="00B96D35">
              <w:rPr>
                <w:rFonts w:cstheme="minorHAnsi"/>
                <w:sz w:val="20"/>
                <w:szCs w:val="20"/>
              </w:rPr>
              <w:t>8</w:t>
            </w:r>
            <w:r w:rsidRPr="00B96D35">
              <w:rPr>
                <w:rFonts w:cstheme="minorHAnsi"/>
                <w:sz w:val="20"/>
                <w:szCs w:val="20"/>
                <w:lang w:val="mk-MK"/>
              </w:rPr>
              <w:t xml:space="preserve"> (47,93%)</w:t>
            </w:r>
          </w:p>
        </w:tc>
      </w:tr>
      <w:tr w:rsidR="00A51747" w:rsidRPr="00B96D35" w14:paraId="7F71914D" w14:textId="77777777" w:rsidTr="00A51747">
        <w:trPr>
          <w:trHeight w:val="421"/>
        </w:trPr>
        <w:tc>
          <w:tcPr>
            <w:tcW w:w="87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D358D49" w14:textId="77777777" w:rsidR="00A51747" w:rsidRPr="00B96D35" w:rsidRDefault="00A51747" w:rsidP="00A51747">
            <w:pPr>
              <w:rPr>
                <w:rFonts w:cstheme="minorHAnsi"/>
                <w:b/>
                <w:sz w:val="20"/>
                <w:szCs w:val="20"/>
              </w:rPr>
            </w:pPr>
            <w:r w:rsidRPr="00B96D35">
              <w:rPr>
                <w:rFonts w:cstheme="minorHAnsi"/>
                <w:b/>
                <w:sz w:val="20"/>
                <w:szCs w:val="20"/>
              </w:rPr>
              <w:t>2021</w:t>
            </w:r>
          </w:p>
        </w:tc>
        <w:tc>
          <w:tcPr>
            <w:tcW w:w="1418" w:type="dxa"/>
            <w:tcBorders>
              <w:top w:val="single" w:sz="4" w:space="0" w:color="auto"/>
              <w:left w:val="single" w:sz="4" w:space="0" w:color="auto"/>
              <w:bottom w:val="single" w:sz="4" w:space="0" w:color="auto"/>
              <w:right w:val="single" w:sz="4" w:space="0" w:color="auto"/>
            </w:tcBorders>
          </w:tcPr>
          <w:p w14:paraId="0A7A28E7" w14:textId="77777777" w:rsidR="00A51747" w:rsidRPr="008E0E18" w:rsidRDefault="00A51747" w:rsidP="00A51747">
            <w:pPr>
              <w:jc w:val="center"/>
              <w:rPr>
                <w:rFonts w:cstheme="minorHAnsi"/>
                <w:sz w:val="20"/>
                <w:szCs w:val="20"/>
              </w:rPr>
            </w:pPr>
            <w:r w:rsidRPr="008E0E18">
              <w:rPr>
                <w:rFonts w:cstheme="minorHAnsi"/>
                <w:sz w:val="20"/>
                <w:szCs w:val="16"/>
                <w:lang w:val="ru-RU"/>
              </w:rPr>
              <w:t>13</w:t>
            </w:r>
            <w:r w:rsidRPr="008E0E18">
              <w:rPr>
                <w:rFonts w:cstheme="minorHAnsi"/>
                <w:sz w:val="20"/>
                <w:szCs w:val="16"/>
                <w:lang w:val="en-US"/>
              </w:rPr>
              <w:t>7</w:t>
            </w:r>
          </w:p>
        </w:tc>
        <w:tc>
          <w:tcPr>
            <w:tcW w:w="1706" w:type="dxa"/>
            <w:tcBorders>
              <w:top w:val="single" w:sz="4" w:space="0" w:color="auto"/>
              <w:left w:val="single" w:sz="4" w:space="0" w:color="auto"/>
              <w:bottom w:val="single" w:sz="4" w:space="0" w:color="auto"/>
              <w:right w:val="single" w:sz="4" w:space="0" w:color="auto"/>
            </w:tcBorders>
            <w:vAlign w:val="center"/>
          </w:tcPr>
          <w:p w14:paraId="0B7FD14E" w14:textId="77777777" w:rsidR="00A51747" w:rsidRPr="00B96D35" w:rsidRDefault="00A51747" w:rsidP="00A51747">
            <w:pPr>
              <w:jc w:val="center"/>
              <w:rPr>
                <w:rFonts w:cstheme="minorHAnsi"/>
                <w:sz w:val="20"/>
                <w:szCs w:val="20"/>
              </w:rPr>
            </w:pPr>
            <w:r w:rsidRPr="00B96D35">
              <w:rPr>
                <w:rFonts w:cstheme="minorHAnsi"/>
                <w:sz w:val="20"/>
                <w:szCs w:val="20"/>
              </w:rPr>
              <w:t>111</w:t>
            </w:r>
          </w:p>
        </w:tc>
        <w:tc>
          <w:tcPr>
            <w:tcW w:w="1740" w:type="dxa"/>
            <w:tcBorders>
              <w:top w:val="single" w:sz="4" w:space="0" w:color="auto"/>
              <w:left w:val="single" w:sz="4" w:space="0" w:color="auto"/>
              <w:bottom w:val="single" w:sz="4" w:space="0" w:color="auto"/>
              <w:right w:val="single" w:sz="4" w:space="0" w:color="auto"/>
            </w:tcBorders>
            <w:vAlign w:val="center"/>
          </w:tcPr>
          <w:p w14:paraId="418D5755" w14:textId="77777777" w:rsidR="00A51747" w:rsidRPr="00B96D35" w:rsidRDefault="00A51747" w:rsidP="00A51747">
            <w:pPr>
              <w:jc w:val="center"/>
              <w:rPr>
                <w:rFonts w:cstheme="minorHAnsi"/>
                <w:sz w:val="20"/>
                <w:szCs w:val="20"/>
              </w:rPr>
            </w:pPr>
            <w:r w:rsidRPr="00B96D35">
              <w:rPr>
                <w:rFonts w:cstheme="minorHAnsi"/>
                <w:sz w:val="20"/>
                <w:szCs w:val="20"/>
              </w:rPr>
              <w:t>62 (55</w:t>
            </w:r>
            <w:r w:rsidRPr="00B96D35">
              <w:rPr>
                <w:rFonts w:cstheme="minorHAnsi"/>
                <w:sz w:val="20"/>
                <w:szCs w:val="20"/>
                <w:lang w:val="mk-MK"/>
              </w:rPr>
              <w:t>,</w:t>
            </w:r>
            <w:r w:rsidRPr="00B96D35">
              <w:rPr>
                <w:rFonts w:cstheme="minorHAnsi"/>
                <w:sz w:val="20"/>
                <w:szCs w:val="20"/>
              </w:rPr>
              <w:t>85%)</w:t>
            </w:r>
          </w:p>
        </w:tc>
        <w:tc>
          <w:tcPr>
            <w:tcW w:w="1748" w:type="dxa"/>
            <w:tcBorders>
              <w:top w:val="single" w:sz="4" w:space="0" w:color="auto"/>
              <w:left w:val="single" w:sz="4" w:space="0" w:color="auto"/>
              <w:bottom w:val="single" w:sz="4" w:space="0" w:color="auto"/>
              <w:right w:val="single" w:sz="4" w:space="0" w:color="auto"/>
            </w:tcBorders>
            <w:vAlign w:val="center"/>
          </w:tcPr>
          <w:p w14:paraId="665C21FB" w14:textId="77777777" w:rsidR="00A51747" w:rsidRPr="00B96D35" w:rsidRDefault="00A51747" w:rsidP="00A51747">
            <w:pPr>
              <w:jc w:val="center"/>
              <w:rPr>
                <w:rFonts w:cstheme="minorHAnsi"/>
                <w:sz w:val="20"/>
                <w:szCs w:val="20"/>
              </w:rPr>
            </w:pPr>
            <w:r w:rsidRPr="00B96D35">
              <w:rPr>
                <w:rFonts w:cstheme="minorHAnsi"/>
                <w:sz w:val="20"/>
                <w:szCs w:val="20"/>
                <w:lang w:val="mk-MK"/>
              </w:rPr>
              <w:t>4</w:t>
            </w:r>
            <w:r w:rsidRPr="00B96D35">
              <w:rPr>
                <w:rFonts w:cstheme="minorHAnsi"/>
                <w:sz w:val="20"/>
                <w:szCs w:val="20"/>
              </w:rPr>
              <w:t>1 (36,94%)</w:t>
            </w:r>
          </w:p>
        </w:tc>
        <w:tc>
          <w:tcPr>
            <w:tcW w:w="1759" w:type="dxa"/>
            <w:tcBorders>
              <w:top w:val="single" w:sz="4" w:space="0" w:color="auto"/>
              <w:left w:val="single" w:sz="4" w:space="0" w:color="auto"/>
              <w:bottom w:val="single" w:sz="4" w:space="0" w:color="auto"/>
              <w:right w:val="single" w:sz="4" w:space="0" w:color="auto"/>
            </w:tcBorders>
            <w:vAlign w:val="center"/>
          </w:tcPr>
          <w:p w14:paraId="77908CAC" w14:textId="77777777" w:rsidR="00A51747" w:rsidRPr="00B96D35" w:rsidRDefault="00A51747" w:rsidP="00A51747">
            <w:pPr>
              <w:jc w:val="center"/>
              <w:rPr>
                <w:rFonts w:cstheme="minorHAnsi"/>
                <w:sz w:val="20"/>
                <w:szCs w:val="20"/>
                <w:lang w:val="mk-MK"/>
              </w:rPr>
            </w:pPr>
            <w:r w:rsidRPr="00B96D35">
              <w:rPr>
                <w:rFonts w:cstheme="minorHAnsi"/>
                <w:sz w:val="20"/>
                <w:szCs w:val="20"/>
                <w:lang w:val="mk-MK"/>
              </w:rPr>
              <w:t>49 (44,14%)</w:t>
            </w:r>
          </w:p>
        </w:tc>
      </w:tr>
      <w:tr w:rsidR="00A51747" w:rsidRPr="00B96D35" w14:paraId="24BD39C0" w14:textId="77777777" w:rsidTr="00A51747">
        <w:trPr>
          <w:trHeight w:val="421"/>
        </w:trPr>
        <w:tc>
          <w:tcPr>
            <w:tcW w:w="87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2E029B0" w14:textId="77777777" w:rsidR="00A51747" w:rsidRPr="008E0E18" w:rsidRDefault="00A51747" w:rsidP="00A51747">
            <w:pPr>
              <w:rPr>
                <w:rFonts w:cstheme="minorHAnsi"/>
                <w:b/>
                <w:sz w:val="20"/>
                <w:szCs w:val="20"/>
                <w:lang w:val="mk-MK"/>
              </w:rPr>
            </w:pPr>
            <w:r>
              <w:rPr>
                <w:rFonts w:cstheme="minorHAnsi"/>
                <w:b/>
                <w:sz w:val="20"/>
                <w:szCs w:val="20"/>
                <w:lang w:val="mk-MK"/>
              </w:rPr>
              <w:t>2022</w:t>
            </w:r>
          </w:p>
        </w:tc>
        <w:tc>
          <w:tcPr>
            <w:tcW w:w="1418" w:type="dxa"/>
            <w:tcBorders>
              <w:top w:val="single" w:sz="4" w:space="0" w:color="auto"/>
              <w:left w:val="single" w:sz="4" w:space="0" w:color="auto"/>
              <w:bottom w:val="single" w:sz="4" w:space="0" w:color="auto"/>
              <w:right w:val="single" w:sz="4" w:space="0" w:color="auto"/>
            </w:tcBorders>
          </w:tcPr>
          <w:p w14:paraId="2CAC2260" w14:textId="77777777" w:rsidR="00A51747" w:rsidRPr="008E0E18" w:rsidRDefault="00A51747" w:rsidP="00A51747">
            <w:pPr>
              <w:jc w:val="center"/>
              <w:rPr>
                <w:rFonts w:cstheme="minorHAnsi"/>
                <w:sz w:val="20"/>
                <w:szCs w:val="20"/>
              </w:rPr>
            </w:pPr>
            <w:r w:rsidRPr="008E0E18">
              <w:rPr>
                <w:rFonts w:cstheme="minorHAnsi"/>
                <w:sz w:val="20"/>
                <w:szCs w:val="16"/>
                <w:lang w:val="ru-RU"/>
              </w:rPr>
              <w:t>102</w:t>
            </w:r>
          </w:p>
        </w:tc>
        <w:tc>
          <w:tcPr>
            <w:tcW w:w="1706" w:type="dxa"/>
            <w:tcBorders>
              <w:top w:val="single" w:sz="4" w:space="0" w:color="auto"/>
              <w:left w:val="single" w:sz="4" w:space="0" w:color="auto"/>
              <w:bottom w:val="single" w:sz="4" w:space="0" w:color="auto"/>
              <w:right w:val="single" w:sz="4" w:space="0" w:color="auto"/>
            </w:tcBorders>
            <w:vAlign w:val="center"/>
          </w:tcPr>
          <w:p w14:paraId="62AF83C1" w14:textId="77777777" w:rsidR="00A51747" w:rsidRPr="008E0E18" w:rsidRDefault="00A51747" w:rsidP="00A51747">
            <w:pPr>
              <w:jc w:val="center"/>
              <w:rPr>
                <w:rFonts w:cstheme="minorHAnsi"/>
                <w:sz w:val="20"/>
                <w:szCs w:val="20"/>
              </w:rPr>
            </w:pPr>
            <w:r w:rsidRPr="008E0E18">
              <w:rPr>
                <w:rFonts w:eastAsia="Calibri" w:cstheme="minorHAnsi"/>
                <w:sz w:val="20"/>
                <w:szCs w:val="20"/>
                <w:lang w:val="en-US"/>
              </w:rPr>
              <w:t>68</w:t>
            </w:r>
          </w:p>
        </w:tc>
        <w:tc>
          <w:tcPr>
            <w:tcW w:w="1740" w:type="dxa"/>
            <w:tcBorders>
              <w:top w:val="single" w:sz="4" w:space="0" w:color="auto"/>
              <w:left w:val="single" w:sz="4" w:space="0" w:color="auto"/>
              <w:bottom w:val="single" w:sz="4" w:space="0" w:color="auto"/>
              <w:right w:val="single" w:sz="4" w:space="0" w:color="auto"/>
            </w:tcBorders>
            <w:vAlign w:val="center"/>
          </w:tcPr>
          <w:p w14:paraId="025E7CE0" w14:textId="77777777" w:rsidR="00A51747" w:rsidRPr="008E0E18" w:rsidRDefault="00A51747" w:rsidP="00A51747">
            <w:pPr>
              <w:jc w:val="center"/>
              <w:rPr>
                <w:rFonts w:cstheme="minorHAnsi"/>
                <w:sz w:val="20"/>
                <w:szCs w:val="20"/>
              </w:rPr>
            </w:pPr>
            <w:r w:rsidRPr="008E0E18">
              <w:rPr>
                <w:rFonts w:eastAsia="Calibri" w:cstheme="minorHAnsi"/>
                <w:sz w:val="20"/>
                <w:szCs w:val="20"/>
              </w:rPr>
              <w:t>37</w:t>
            </w:r>
            <w:r w:rsidRPr="008E0E18">
              <w:rPr>
                <w:rFonts w:eastAsia="Calibri" w:cstheme="minorHAnsi"/>
                <w:sz w:val="20"/>
                <w:szCs w:val="20"/>
                <w:lang w:val="en-US"/>
              </w:rPr>
              <w:t xml:space="preserve"> </w:t>
            </w:r>
            <w:r w:rsidRPr="008E0E18">
              <w:rPr>
                <w:rFonts w:eastAsia="Calibri" w:cstheme="minorHAnsi"/>
                <w:sz w:val="20"/>
                <w:szCs w:val="20"/>
              </w:rPr>
              <w:t>(54,4%)</w:t>
            </w:r>
          </w:p>
        </w:tc>
        <w:tc>
          <w:tcPr>
            <w:tcW w:w="1748" w:type="dxa"/>
            <w:tcBorders>
              <w:top w:val="single" w:sz="4" w:space="0" w:color="auto"/>
              <w:left w:val="single" w:sz="4" w:space="0" w:color="auto"/>
              <w:bottom w:val="single" w:sz="4" w:space="0" w:color="auto"/>
              <w:right w:val="single" w:sz="4" w:space="0" w:color="auto"/>
            </w:tcBorders>
            <w:vAlign w:val="center"/>
          </w:tcPr>
          <w:p w14:paraId="7DE95737" w14:textId="77777777" w:rsidR="00A51747" w:rsidRPr="008E0E18" w:rsidRDefault="00A51747" w:rsidP="00A51747">
            <w:pPr>
              <w:jc w:val="center"/>
              <w:rPr>
                <w:rFonts w:cstheme="minorHAnsi"/>
                <w:sz w:val="20"/>
                <w:szCs w:val="20"/>
                <w:lang w:val="mk-MK"/>
              </w:rPr>
            </w:pPr>
            <w:r w:rsidRPr="008E0E18">
              <w:rPr>
                <w:rFonts w:eastAsia="Calibri" w:cstheme="minorHAnsi"/>
                <w:sz w:val="20"/>
                <w:szCs w:val="20"/>
              </w:rPr>
              <w:t xml:space="preserve">25 </w:t>
            </w:r>
            <w:r w:rsidRPr="008E0E18">
              <w:rPr>
                <w:rFonts w:eastAsia="Calibri" w:cstheme="minorHAnsi"/>
                <w:sz w:val="20"/>
                <w:szCs w:val="20"/>
                <w:lang w:val="en-US"/>
              </w:rPr>
              <w:t>(</w:t>
            </w:r>
            <w:r w:rsidRPr="008E0E18">
              <w:rPr>
                <w:rFonts w:eastAsia="Calibri" w:cstheme="minorHAnsi"/>
                <w:sz w:val="20"/>
                <w:szCs w:val="20"/>
              </w:rPr>
              <w:t>36,76%)</w:t>
            </w:r>
          </w:p>
        </w:tc>
        <w:tc>
          <w:tcPr>
            <w:tcW w:w="1759" w:type="dxa"/>
            <w:tcBorders>
              <w:top w:val="single" w:sz="4" w:space="0" w:color="auto"/>
              <w:left w:val="single" w:sz="4" w:space="0" w:color="auto"/>
              <w:bottom w:val="single" w:sz="4" w:space="0" w:color="auto"/>
              <w:right w:val="single" w:sz="4" w:space="0" w:color="auto"/>
            </w:tcBorders>
            <w:vAlign w:val="center"/>
          </w:tcPr>
          <w:p w14:paraId="7BC3E1E0" w14:textId="77777777" w:rsidR="00A51747" w:rsidRPr="008E0E18" w:rsidRDefault="00A51747" w:rsidP="00A51747">
            <w:pPr>
              <w:jc w:val="center"/>
              <w:rPr>
                <w:rFonts w:cstheme="minorHAnsi"/>
                <w:sz w:val="20"/>
                <w:szCs w:val="20"/>
                <w:lang w:val="mk-MK"/>
              </w:rPr>
            </w:pPr>
            <w:r w:rsidRPr="008E0E18">
              <w:rPr>
                <w:rFonts w:eastAsia="Calibri" w:cstheme="minorHAnsi"/>
                <w:sz w:val="20"/>
                <w:szCs w:val="20"/>
              </w:rPr>
              <w:t>29</w:t>
            </w:r>
            <w:r w:rsidRPr="008E0E18">
              <w:rPr>
                <w:rFonts w:eastAsia="Calibri" w:cstheme="minorHAnsi"/>
                <w:sz w:val="20"/>
                <w:szCs w:val="20"/>
                <w:lang w:val="en-US"/>
              </w:rPr>
              <w:t xml:space="preserve"> (</w:t>
            </w:r>
            <w:r w:rsidRPr="008E0E18">
              <w:rPr>
                <w:rFonts w:eastAsia="Calibri" w:cstheme="minorHAnsi"/>
                <w:sz w:val="20"/>
                <w:szCs w:val="20"/>
              </w:rPr>
              <w:t>42,65%)</w:t>
            </w:r>
          </w:p>
        </w:tc>
      </w:tr>
    </w:tbl>
    <w:p w14:paraId="0ACC5EB1" w14:textId="7213FA54" w:rsidR="00A51747" w:rsidRDefault="00A51747" w:rsidP="006A45D7">
      <w:pPr>
        <w:jc w:val="both"/>
        <w:rPr>
          <w:bCs/>
          <w:iCs/>
          <w:lang w:val="mk-MK"/>
        </w:rPr>
      </w:pPr>
    </w:p>
    <w:p w14:paraId="713B8825" w14:textId="6757F514" w:rsidR="00A51747" w:rsidRPr="008F5554" w:rsidRDefault="00A51747" w:rsidP="00A51747">
      <w:pPr>
        <w:jc w:val="both"/>
        <w:rPr>
          <w:lang w:val="mk-MK"/>
        </w:rPr>
      </w:pPr>
      <w:r>
        <w:rPr>
          <w:lang w:val="mk-MK"/>
        </w:rPr>
        <w:t>П</w:t>
      </w:r>
      <w:r w:rsidRPr="008E78B2">
        <w:rPr>
          <w:lang w:val="mk-MK"/>
        </w:rPr>
        <w:t xml:space="preserve">одобрувањето на квалитетот и влијанието на </w:t>
      </w:r>
      <w:r>
        <w:rPr>
          <w:lang w:val="mk-MK"/>
        </w:rPr>
        <w:t xml:space="preserve">контролната функција на МИОА и ГС врз спроведувње на </w:t>
      </w:r>
      <w:r w:rsidRPr="008E78B2">
        <w:rPr>
          <w:lang w:val="mk-MK"/>
        </w:rPr>
        <w:t>процесот на ПВР е важен инструмент за подобрување на севкупниот квалитет на ПВР.</w:t>
      </w:r>
      <w:r>
        <w:rPr>
          <w:lang w:val="mk-MK"/>
        </w:rPr>
        <w:t xml:space="preserve"> </w:t>
      </w:r>
      <w:r w:rsidRPr="00845AA5">
        <w:rPr>
          <w:lang w:val="mk-MK"/>
        </w:rPr>
        <w:t>Г</w:t>
      </w:r>
      <w:r w:rsidR="00315411">
        <w:rPr>
          <w:lang w:val="mk-MK"/>
        </w:rPr>
        <w:t>С</w:t>
      </w:r>
      <w:r w:rsidRPr="00845AA5">
        <w:rPr>
          <w:lang w:val="mk-MK"/>
        </w:rPr>
        <w:t xml:space="preserve">, согласно Деловникот за работа на </w:t>
      </w:r>
      <w:r w:rsidR="00A6312A">
        <w:rPr>
          <w:lang w:val="mk-MK"/>
        </w:rPr>
        <w:t>ВРСМ</w:t>
      </w:r>
      <w:r w:rsidRPr="00845AA5">
        <w:rPr>
          <w:lang w:val="mk-MK"/>
        </w:rPr>
        <w:t xml:space="preserve">, се грижи предлозите на закони што се доставуваат до </w:t>
      </w:r>
      <w:r w:rsidR="002F55EA">
        <w:rPr>
          <w:lang w:val="mk-MK"/>
        </w:rPr>
        <w:t>ВРСМ</w:t>
      </w:r>
      <w:r w:rsidR="002F55EA" w:rsidRPr="00845AA5">
        <w:rPr>
          <w:lang w:val="mk-MK"/>
        </w:rPr>
        <w:t xml:space="preserve"> </w:t>
      </w:r>
      <w:r w:rsidRPr="00845AA5">
        <w:rPr>
          <w:lang w:val="mk-MK"/>
        </w:rPr>
        <w:t xml:space="preserve">да содржат </w:t>
      </w:r>
      <w:r w:rsidR="00E063CF">
        <w:rPr>
          <w:lang w:val="mk-MK"/>
        </w:rPr>
        <w:t>ПВР</w:t>
      </w:r>
      <w:r w:rsidRPr="00845AA5">
        <w:rPr>
          <w:lang w:val="mk-MK"/>
        </w:rPr>
        <w:t>.</w:t>
      </w:r>
      <w:r>
        <w:rPr>
          <w:lang w:val="mk-MK"/>
        </w:rPr>
        <w:t xml:space="preserve"> </w:t>
      </w:r>
      <w:r w:rsidRPr="00843F72">
        <w:rPr>
          <w:lang w:val="mk-MK"/>
        </w:rPr>
        <w:t>МИОА, како</w:t>
      </w:r>
      <w:r>
        <w:rPr>
          <w:lang w:val="mk-MK"/>
        </w:rPr>
        <w:t xml:space="preserve"> </w:t>
      </w:r>
      <w:r w:rsidRPr="00843F72">
        <w:rPr>
          <w:lang w:val="mk-MK"/>
        </w:rPr>
        <w:t>орган</w:t>
      </w:r>
      <w:r>
        <w:rPr>
          <w:lang w:val="mk-MK"/>
        </w:rPr>
        <w:t xml:space="preserve"> надлежен</w:t>
      </w:r>
      <w:r w:rsidRPr="00843F72">
        <w:rPr>
          <w:lang w:val="mk-MK"/>
        </w:rPr>
        <w:t xml:space="preserve"> за контрола на содржината на </w:t>
      </w:r>
      <w:r>
        <w:rPr>
          <w:lang w:val="mk-MK"/>
        </w:rPr>
        <w:t>И</w:t>
      </w:r>
      <w:r w:rsidRPr="00843F72">
        <w:rPr>
          <w:lang w:val="mk-MK"/>
        </w:rPr>
        <w:t xml:space="preserve">звештаите за ПВР и надгледување на целокупното управување со системот </w:t>
      </w:r>
      <w:r>
        <w:rPr>
          <w:lang w:val="mk-MK"/>
        </w:rPr>
        <w:t>м</w:t>
      </w:r>
      <w:r w:rsidRPr="00843F72">
        <w:rPr>
          <w:lang w:val="mk-MK"/>
        </w:rPr>
        <w:t xml:space="preserve">оже само да даде мислење </w:t>
      </w:r>
      <w:r>
        <w:rPr>
          <w:lang w:val="mk-MK"/>
        </w:rPr>
        <w:t xml:space="preserve">на Извештајот за </w:t>
      </w:r>
      <w:r w:rsidRPr="00843F72">
        <w:rPr>
          <w:lang w:val="mk-MK"/>
        </w:rPr>
        <w:t>ПВР</w:t>
      </w:r>
      <w:r>
        <w:rPr>
          <w:lang w:val="mk-MK"/>
        </w:rPr>
        <w:t xml:space="preserve"> со укажување за подобрување на Извештајот</w:t>
      </w:r>
      <w:r w:rsidRPr="00843F72">
        <w:rPr>
          <w:lang w:val="mk-MK"/>
        </w:rPr>
        <w:t>, кое не е обврзувачко</w:t>
      </w:r>
      <w:r>
        <w:rPr>
          <w:lang w:val="mk-MK"/>
        </w:rPr>
        <w:t xml:space="preserve">. МИОА нема надлежност да </w:t>
      </w:r>
      <w:r w:rsidRPr="00843F72">
        <w:rPr>
          <w:lang w:val="mk-MK"/>
        </w:rPr>
        <w:t xml:space="preserve">ги врати </w:t>
      </w:r>
      <w:r>
        <w:rPr>
          <w:lang w:val="mk-MK"/>
        </w:rPr>
        <w:t>И</w:t>
      </w:r>
      <w:r w:rsidRPr="00843F72">
        <w:rPr>
          <w:lang w:val="mk-MK"/>
        </w:rPr>
        <w:t xml:space="preserve">звештаите </w:t>
      </w:r>
      <w:r>
        <w:rPr>
          <w:lang w:val="mk-MK"/>
        </w:rPr>
        <w:t>за</w:t>
      </w:r>
      <w:r w:rsidRPr="00843F72">
        <w:rPr>
          <w:lang w:val="mk-MK"/>
        </w:rPr>
        <w:t xml:space="preserve"> ПВР на ресорните министерства </w:t>
      </w:r>
      <w:r>
        <w:rPr>
          <w:lang w:val="mk-MK"/>
        </w:rPr>
        <w:t xml:space="preserve">со </w:t>
      </w:r>
      <w:r w:rsidRPr="00843F72">
        <w:rPr>
          <w:lang w:val="mk-MK"/>
        </w:rPr>
        <w:t xml:space="preserve">барање за понатамошно </w:t>
      </w:r>
      <w:r>
        <w:rPr>
          <w:lang w:val="mk-MK"/>
        </w:rPr>
        <w:t xml:space="preserve">доработување. Бројот на вработени во МИОА кои вршат анализа на процесот на ПВР е ограничен, што влијае на ефикасноста на контролната функција. </w:t>
      </w:r>
    </w:p>
    <w:p w14:paraId="13E2DE71" w14:textId="5888AA72" w:rsidR="00A51747" w:rsidRDefault="00A51747" w:rsidP="00A51747">
      <w:pPr>
        <w:spacing w:line="276" w:lineRule="auto"/>
        <w:jc w:val="both"/>
        <w:rPr>
          <w:rFonts w:eastAsia="Times New Roman" w:cstheme="minorHAnsi"/>
          <w:color w:val="202124"/>
          <w:lang w:val="mk-MK"/>
        </w:rPr>
      </w:pPr>
      <w:r>
        <w:rPr>
          <w:rFonts w:eastAsia="Times New Roman" w:cstheme="minorHAnsi"/>
          <w:color w:val="202124"/>
          <w:lang w:val="mk-MK"/>
        </w:rPr>
        <w:t xml:space="preserve">Квалитетот на проценката на влијанијата (економски, фискални, социјални, административни и врз животната средина), како дел од Извештајот за ПВР треба значително да се подобри. </w:t>
      </w:r>
      <w:r w:rsidRPr="00C21AEE">
        <w:rPr>
          <w:rFonts w:eastAsia="Times New Roman" w:cstheme="minorHAnsi"/>
          <w:color w:val="202124"/>
          <w:lang w:val="mk-MK"/>
        </w:rPr>
        <w:t>Со цел да се даде видливост на прашањето за родовата еднаквост</w:t>
      </w:r>
      <w:r>
        <w:rPr>
          <w:rFonts w:eastAsia="Times New Roman" w:cstheme="minorHAnsi"/>
          <w:color w:val="202124"/>
          <w:lang w:val="mk-MK"/>
        </w:rPr>
        <w:t>, како дел од проценката на социјално влијание</w:t>
      </w:r>
      <w:r w:rsidRPr="00C21AEE">
        <w:rPr>
          <w:rFonts w:eastAsia="Times New Roman" w:cstheme="minorHAnsi"/>
          <w:color w:val="202124"/>
          <w:lang w:val="mk-MK"/>
        </w:rPr>
        <w:t xml:space="preserve"> во текот на процесот на ПВР, беа одржани обуки за интеграција на родовите аспекти во креирањето политики за службеници од ресорните министерства кои работат на креирање политики и ПВР</w:t>
      </w:r>
      <w:r>
        <w:rPr>
          <w:rStyle w:val="FootnoteReference"/>
          <w:lang w:val="mk-MK"/>
        </w:rPr>
        <w:footnoteReference w:id="39"/>
      </w:r>
      <w:r w:rsidRPr="00C21AEE">
        <w:rPr>
          <w:rFonts w:eastAsia="Times New Roman" w:cstheme="minorHAnsi"/>
          <w:color w:val="202124"/>
          <w:lang w:val="mk-MK"/>
        </w:rPr>
        <w:t xml:space="preserve">. Во тек е подготовка на прирачник кој ги опишува чекорите за родово чувствителна ПВР, кој исто така треба да даде насоки како да се вклучат добиените резултати во </w:t>
      </w:r>
      <w:r w:rsidR="00E063CF">
        <w:rPr>
          <w:rFonts w:eastAsia="Times New Roman" w:cstheme="minorHAnsi"/>
          <w:color w:val="202124"/>
          <w:lang w:val="mk-MK"/>
        </w:rPr>
        <w:t>И</w:t>
      </w:r>
      <w:r w:rsidRPr="00C21AEE">
        <w:rPr>
          <w:rFonts w:eastAsia="Times New Roman" w:cstheme="minorHAnsi"/>
          <w:color w:val="202124"/>
          <w:lang w:val="mk-MK"/>
        </w:rPr>
        <w:t>звештај</w:t>
      </w:r>
      <w:r w:rsidR="00E063CF">
        <w:rPr>
          <w:rFonts w:eastAsia="Times New Roman" w:cstheme="minorHAnsi"/>
          <w:color w:val="202124"/>
          <w:lang w:val="mk-MK"/>
        </w:rPr>
        <w:t>от</w:t>
      </w:r>
      <w:r w:rsidRPr="00C21AEE">
        <w:rPr>
          <w:rFonts w:eastAsia="Times New Roman" w:cstheme="minorHAnsi"/>
          <w:color w:val="202124"/>
          <w:lang w:val="mk-MK"/>
        </w:rPr>
        <w:t xml:space="preserve"> за</w:t>
      </w:r>
      <w:r>
        <w:rPr>
          <w:rFonts w:eastAsia="Times New Roman" w:cstheme="minorHAnsi"/>
          <w:color w:val="202124"/>
          <w:lang w:val="mk-MK"/>
        </w:rPr>
        <w:t xml:space="preserve"> ПВР.</w:t>
      </w:r>
    </w:p>
    <w:p w14:paraId="017C5737" w14:textId="481ECFF8" w:rsidR="00A51747" w:rsidRPr="00902252" w:rsidRDefault="00902252" w:rsidP="00902252">
      <w:pPr>
        <w:jc w:val="both"/>
        <w:rPr>
          <w:lang w:val="en-US"/>
        </w:rPr>
      </w:pPr>
      <w:r>
        <w:lastRenderedPageBreak/>
        <w:t>Негативниот тренд во поглед на почитување на процесот на ПВР е забележан од МИОА</w:t>
      </w:r>
      <w:r>
        <w:rPr>
          <w:lang w:val="mk-MK"/>
        </w:rPr>
        <w:t xml:space="preserve"> </w:t>
      </w:r>
      <w:r w:rsidR="00A51747" w:rsidRPr="00910591">
        <w:rPr>
          <w:rFonts w:eastAsia="Times New Roman" w:cstheme="minorHAnsi"/>
          <w:color w:val="202124"/>
          <w:lang w:val="mk-MK"/>
        </w:rPr>
        <w:t>за што континуирано се спроведуваат обуки</w:t>
      </w:r>
      <w:r w:rsidR="00A51747">
        <w:rPr>
          <w:rStyle w:val="FootnoteReference"/>
        </w:rPr>
        <w:footnoteReference w:id="40"/>
      </w:r>
      <w:r w:rsidR="00A51747">
        <w:t xml:space="preserve"> </w:t>
      </w:r>
      <w:r w:rsidR="00A51747" w:rsidRPr="00910591">
        <w:rPr>
          <w:rFonts w:eastAsia="Times New Roman" w:cstheme="minorHAnsi"/>
          <w:color w:val="202124"/>
          <w:lang w:val="mk-MK"/>
        </w:rPr>
        <w:t>со цел подобрување на капацитетите на администрацијата за доследно спроведување на утврдените процедури.</w:t>
      </w:r>
    </w:p>
    <w:p w14:paraId="03775A1C" w14:textId="2DCD17DF" w:rsidR="00A51747" w:rsidRPr="00A51747" w:rsidRDefault="00A51747" w:rsidP="00A51747">
      <w:pPr>
        <w:spacing w:line="276" w:lineRule="auto"/>
        <w:jc w:val="both"/>
        <w:rPr>
          <w:rFonts w:eastAsia="Times New Roman" w:cstheme="minorHAnsi"/>
          <w:color w:val="202124"/>
          <w:lang w:val="mk-MK"/>
        </w:rPr>
      </w:pPr>
      <w:r w:rsidRPr="00910591">
        <w:rPr>
          <w:rFonts w:eastAsia="Times New Roman" w:cstheme="minorHAnsi"/>
          <w:color w:val="202124"/>
          <w:lang w:val="mk-MK"/>
        </w:rPr>
        <w:t>Покрај зајакнувањето на човечките капацитети и нивната специјализација, за реална проценка на влијанието на регулативата и доследно поднесување на извештаите за ПВР во процесот на предлагање закони и креирање политики, потребна е и силна политичка волја за почитување на оваа обврска од страна на сите член</w:t>
      </w:r>
      <w:r w:rsidR="00E063CF">
        <w:rPr>
          <w:rFonts w:eastAsia="Times New Roman" w:cstheme="minorHAnsi"/>
          <w:color w:val="202124"/>
          <w:lang w:val="mk-MK"/>
        </w:rPr>
        <w:t>ови</w:t>
      </w:r>
      <w:r w:rsidRPr="00910591">
        <w:rPr>
          <w:rFonts w:eastAsia="Times New Roman" w:cstheme="minorHAnsi"/>
          <w:color w:val="202124"/>
          <w:lang w:val="mk-MK"/>
        </w:rPr>
        <w:t xml:space="preserve"> на </w:t>
      </w:r>
      <w:r w:rsidR="00A6312A">
        <w:rPr>
          <w:rFonts w:eastAsia="Times New Roman" w:cstheme="minorHAnsi"/>
          <w:color w:val="202124"/>
          <w:lang w:val="mk-MK"/>
        </w:rPr>
        <w:t>ВРСМ</w:t>
      </w:r>
      <w:r w:rsidRPr="00910591">
        <w:rPr>
          <w:rFonts w:eastAsia="Times New Roman" w:cstheme="minorHAnsi"/>
          <w:color w:val="202124"/>
          <w:lang w:val="mk-MK"/>
        </w:rPr>
        <w:t xml:space="preserve">. Истовремено, неопходно е </w:t>
      </w:r>
      <w:r>
        <w:rPr>
          <w:rFonts w:eastAsia="Times New Roman" w:cstheme="minorHAnsi"/>
          <w:color w:val="202124"/>
          <w:lang w:val="mk-MK"/>
        </w:rPr>
        <w:t>ГС</w:t>
      </w:r>
      <w:r w:rsidRPr="00910591">
        <w:rPr>
          <w:rFonts w:eastAsia="Times New Roman" w:cstheme="minorHAnsi"/>
          <w:color w:val="202124"/>
          <w:lang w:val="mk-MK"/>
        </w:rPr>
        <w:t xml:space="preserve"> доследно да го контролира спроведувањето на процесот на ПВР според Деловникот за работа на </w:t>
      </w:r>
      <w:r w:rsidR="00A6312A">
        <w:rPr>
          <w:rFonts w:eastAsia="Times New Roman" w:cstheme="minorHAnsi"/>
          <w:color w:val="202124"/>
          <w:lang w:val="mk-MK"/>
        </w:rPr>
        <w:t>ВРСМ</w:t>
      </w:r>
      <w:r w:rsidRPr="00910591">
        <w:rPr>
          <w:rFonts w:eastAsia="Times New Roman" w:cstheme="minorHAnsi"/>
          <w:color w:val="202124"/>
          <w:lang w:val="mk-MK"/>
        </w:rPr>
        <w:t>.</w:t>
      </w:r>
    </w:p>
    <w:p w14:paraId="16B2AA61" w14:textId="302E0451" w:rsidR="00E063CF" w:rsidRDefault="00F5796C" w:rsidP="00F5796C">
      <w:pPr>
        <w:jc w:val="both"/>
        <w:rPr>
          <w:bCs/>
          <w:iCs/>
          <w:lang w:val="mk-MK"/>
        </w:rPr>
      </w:pPr>
      <w:r w:rsidRPr="00F575DA">
        <w:rPr>
          <w:b/>
          <w:bCs/>
          <w:lang w:val="mk-MK"/>
        </w:rPr>
        <w:t xml:space="preserve">Собранискиот </w:t>
      </w:r>
      <w:r w:rsidRPr="000D5670">
        <w:rPr>
          <w:b/>
          <w:bCs/>
          <w:lang w:val="mk-MK"/>
        </w:rPr>
        <w:t>надзор врз креирањето на политики и подготовка на закони</w:t>
      </w:r>
      <w:r>
        <w:rPr>
          <w:lang w:val="mk-MK"/>
        </w:rPr>
        <w:t xml:space="preserve"> е на незадоволително ниво.</w:t>
      </w:r>
      <w:r w:rsidRPr="00463F70">
        <w:rPr>
          <w:bCs/>
          <w:iCs/>
          <w:lang w:val="mk-MK"/>
        </w:rPr>
        <w:t xml:space="preserve"> </w:t>
      </w:r>
      <w:r w:rsidRPr="005E3779">
        <w:rPr>
          <w:bCs/>
          <w:iCs/>
          <w:lang w:val="mk-MK"/>
        </w:rPr>
        <w:t>И покрај трендот на намалување во споредба со 2020 година (58,93%)</w:t>
      </w:r>
      <w:r w:rsidRPr="005E3779">
        <w:rPr>
          <w:bCs/>
          <w:iCs/>
          <w:vertAlign w:val="superscript"/>
          <w:lang w:val="mk-MK"/>
        </w:rPr>
        <w:footnoteReference w:id="41"/>
      </w:r>
      <w:r w:rsidRPr="005E3779">
        <w:rPr>
          <w:bCs/>
          <w:iCs/>
          <w:lang w:val="mk-MK"/>
        </w:rPr>
        <w:t>, п</w:t>
      </w:r>
      <w:r w:rsidRPr="005E3779">
        <w:rPr>
          <w:bCs/>
          <w:iCs/>
        </w:rPr>
        <w:t xml:space="preserve">роцентот на закони </w:t>
      </w:r>
      <w:r w:rsidRPr="00B5617C">
        <w:rPr>
          <w:bCs/>
          <w:iCs/>
          <w:lang w:val="mk-MK"/>
        </w:rPr>
        <w:t xml:space="preserve">донесени </w:t>
      </w:r>
      <w:r w:rsidR="00E063CF" w:rsidRPr="00B5617C">
        <w:rPr>
          <w:bCs/>
          <w:iCs/>
          <w:lang w:val="mk-MK"/>
        </w:rPr>
        <w:t xml:space="preserve">по предлог на </w:t>
      </w:r>
      <w:r w:rsidR="00A6312A">
        <w:rPr>
          <w:bCs/>
          <w:iCs/>
          <w:lang w:val="mk-MK"/>
        </w:rPr>
        <w:t>ВРСМ</w:t>
      </w:r>
      <w:r w:rsidR="00A6312A" w:rsidRPr="00B5617C">
        <w:rPr>
          <w:bCs/>
          <w:iCs/>
          <w:lang w:val="mk-MK"/>
        </w:rPr>
        <w:t xml:space="preserve"> </w:t>
      </w:r>
      <w:r w:rsidRPr="00B5617C">
        <w:rPr>
          <w:bCs/>
          <w:iCs/>
        </w:rPr>
        <w:t xml:space="preserve">во </w:t>
      </w:r>
      <w:r w:rsidR="001D1515">
        <w:rPr>
          <w:bCs/>
          <w:iCs/>
          <w:lang w:val="mk-MK"/>
        </w:rPr>
        <w:t xml:space="preserve">СРСМ </w:t>
      </w:r>
      <w:r w:rsidRPr="005E3779">
        <w:rPr>
          <w:bCs/>
          <w:iCs/>
        </w:rPr>
        <w:t xml:space="preserve">по скратена </w:t>
      </w:r>
      <w:r w:rsidRPr="005E3779">
        <w:rPr>
          <w:bCs/>
          <w:iCs/>
          <w:lang w:val="mk-MK"/>
        </w:rPr>
        <w:t xml:space="preserve">постапка во 2021 година и </w:t>
      </w:r>
      <w:r w:rsidRPr="005E3779">
        <w:rPr>
          <w:bCs/>
          <w:iCs/>
        </w:rPr>
        <w:t xml:space="preserve">понатаму е висок </w:t>
      </w:r>
      <w:r w:rsidRPr="005E3779">
        <w:rPr>
          <w:bCs/>
          <w:iCs/>
          <w:lang w:val="mk-MK"/>
        </w:rPr>
        <w:t>(41,75%)</w:t>
      </w:r>
      <w:r w:rsidRPr="005E3779">
        <w:rPr>
          <w:bCs/>
          <w:iCs/>
          <w:vertAlign w:val="superscript"/>
          <w:lang w:val="mk-MK"/>
        </w:rPr>
        <w:footnoteReference w:id="42"/>
      </w:r>
      <w:r>
        <w:rPr>
          <w:bCs/>
          <w:iCs/>
          <w:lang w:val="mk-MK"/>
        </w:rPr>
        <w:t>.</w:t>
      </w:r>
      <w:r w:rsidRPr="00F34CE9">
        <w:rPr>
          <w:bCs/>
          <w:iCs/>
          <w:lang w:val="mk-MK"/>
        </w:rPr>
        <w:t xml:space="preserve"> </w:t>
      </w:r>
    </w:p>
    <w:p w14:paraId="6B82CE25" w14:textId="23B0EF1E" w:rsidR="00981BC4" w:rsidRDefault="00981BC4" w:rsidP="00F5796C">
      <w:pPr>
        <w:jc w:val="both"/>
        <w:rPr>
          <w:bCs/>
          <w:iCs/>
          <w:lang w:val="mk-MK"/>
        </w:rPr>
      </w:pPr>
    </w:p>
    <w:p w14:paraId="583486E0" w14:textId="77777777" w:rsidR="00981BC4" w:rsidRDefault="00981BC4" w:rsidP="00F5796C">
      <w:pPr>
        <w:jc w:val="both"/>
        <w:rPr>
          <w:bCs/>
          <w:iCs/>
          <w:lang w:val="mk-MK"/>
        </w:rPr>
      </w:pPr>
    </w:p>
    <w:p w14:paraId="5510ADA5" w14:textId="60EB4D51" w:rsidR="00E063CF" w:rsidRPr="005B7236" w:rsidRDefault="00E063CF" w:rsidP="00E063CF">
      <w:pPr>
        <w:jc w:val="both"/>
        <w:rPr>
          <w:b/>
          <w:iCs/>
          <w:lang w:val="mk-MK"/>
        </w:rPr>
      </w:pPr>
      <w:r w:rsidRPr="00B5617C">
        <w:rPr>
          <w:b/>
          <w:iCs/>
          <w:lang w:val="mk-MK"/>
        </w:rPr>
        <w:t xml:space="preserve">Графикон 3 – Примена на скратена постапка за донесување на закони на предлог на </w:t>
      </w:r>
      <w:r w:rsidR="002F55EA">
        <w:rPr>
          <w:b/>
          <w:iCs/>
          <w:lang w:val="mk-MK"/>
        </w:rPr>
        <w:t>ВРСМ</w:t>
      </w:r>
    </w:p>
    <w:p w14:paraId="4B23E298" w14:textId="77777777" w:rsidR="00F5796C" w:rsidRPr="005E3779" w:rsidRDefault="00F5796C" w:rsidP="00F5796C">
      <w:pPr>
        <w:jc w:val="both"/>
        <w:rPr>
          <w:bCs/>
          <w:iCs/>
          <w:lang w:val="mk-MK"/>
        </w:rPr>
      </w:pPr>
      <w:r>
        <w:rPr>
          <w:noProof/>
          <w:lang w:val="en-US"/>
        </w:rPr>
        <w:lastRenderedPageBreak/>
        <w:drawing>
          <wp:inline distT="0" distB="0" distL="0" distR="0" wp14:anchorId="13E945AF" wp14:editId="00F572B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B8C1F4" w14:textId="77777777" w:rsidR="00F5796C" w:rsidRPr="0027372A" w:rsidRDefault="00F5796C" w:rsidP="00F5796C">
      <w:pPr>
        <w:rPr>
          <w:rFonts w:cstheme="minorHAnsi"/>
          <w:sz w:val="18"/>
          <w:szCs w:val="18"/>
          <w:lang w:val="mk-MK"/>
        </w:rPr>
      </w:pPr>
      <w:r w:rsidRPr="0027372A">
        <w:rPr>
          <w:rFonts w:cstheme="minorHAnsi"/>
          <w:sz w:val="18"/>
          <w:szCs w:val="18"/>
          <w:lang w:val="mk-MK"/>
        </w:rPr>
        <w:t>Извор: Извештај за мониторинг на СИГМА од 2021 година за Република Северна Македонија</w:t>
      </w:r>
    </w:p>
    <w:p w14:paraId="5CF57439" w14:textId="2A98FE26" w:rsidR="00F5796C" w:rsidRPr="00604B7E" w:rsidRDefault="00F5796C" w:rsidP="00F5796C">
      <w:pPr>
        <w:pStyle w:val="Para"/>
        <w:rPr>
          <w:rFonts w:asciiTheme="minorHAnsi" w:hAnsiTheme="minorHAnsi" w:cstheme="minorHAnsi"/>
          <w:sz w:val="22"/>
          <w:lang w:val="mk-MK"/>
        </w:rPr>
      </w:pPr>
      <w:r w:rsidRPr="008776A1">
        <w:rPr>
          <w:rFonts w:asciiTheme="minorHAnsi" w:hAnsiTheme="minorHAnsi" w:cstheme="minorHAnsi"/>
          <w:sz w:val="22"/>
          <w:lang w:val="mk-MK"/>
        </w:rPr>
        <w:t xml:space="preserve">Негативниот тренд во 2020 и 2021 година може да е последица и од нефункционирањето на Собранието </w:t>
      </w:r>
      <w:r w:rsidR="00A6312A">
        <w:rPr>
          <w:rFonts w:asciiTheme="minorHAnsi" w:hAnsiTheme="minorHAnsi" w:cstheme="minorHAnsi"/>
          <w:sz w:val="22"/>
          <w:lang w:val="mk-MK"/>
        </w:rPr>
        <w:t xml:space="preserve">на РСМ </w:t>
      </w:r>
      <w:r w:rsidRPr="008776A1">
        <w:rPr>
          <w:rFonts w:asciiTheme="minorHAnsi" w:hAnsiTheme="minorHAnsi" w:cstheme="minorHAnsi"/>
          <w:sz w:val="22"/>
          <w:lang w:val="mk-MK"/>
        </w:rPr>
        <w:t xml:space="preserve">во периодот на вонредна состојба и потребата забрзано да се носат законските решенија претходно утврдени со уредби на </w:t>
      </w:r>
      <w:r w:rsidR="002F55EA">
        <w:rPr>
          <w:rFonts w:asciiTheme="minorHAnsi" w:hAnsiTheme="minorHAnsi" w:cstheme="minorHAnsi"/>
          <w:sz w:val="22"/>
          <w:lang w:val="mk-MK"/>
        </w:rPr>
        <w:t>ВРСМ</w:t>
      </w:r>
      <w:r w:rsidR="002F55EA" w:rsidRPr="008776A1">
        <w:rPr>
          <w:rFonts w:asciiTheme="minorHAnsi" w:hAnsiTheme="minorHAnsi" w:cstheme="minorHAnsi"/>
          <w:sz w:val="22"/>
          <w:lang w:val="mk-MK"/>
        </w:rPr>
        <w:t xml:space="preserve"> </w:t>
      </w:r>
      <w:r w:rsidRPr="008776A1">
        <w:rPr>
          <w:rFonts w:asciiTheme="minorHAnsi" w:hAnsiTheme="minorHAnsi" w:cstheme="minorHAnsi"/>
          <w:sz w:val="22"/>
          <w:lang w:val="mk-MK"/>
        </w:rPr>
        <w:t xml:space="preserve">со законска сила или оние кои не можеле да се пропишат со вакви уредби, како и на фактот дека </w:t>
      </w:r>
      <w:r w:rsidR="001D1515">
        <w:rPr>
          <w:rFonts w:asciiTheme="minorHAnsi" w:hAnsiTheme="minorHAnsi" w:cstheme="minorHAnsi"/>
          <w:sz w:val="22"/>
          <w:lang w:val="mk-MK"/>
        </w:rPr>
        <w:t>СРСМ</w:t>
      </w:r>
      <w:r w:rsidRPr="008776A1">
        <w:rPr>
          <w:rFonts w:asciiTheme="minorHAnsi" w:hAnsiTheme="minorHAnsi" w:cstheme="minorHAnsi"/>
          <w:sz w:val="22"/>
          <w:lang w:val="mk-MK"/>
        </w:rPr>
        <w:t xml:space="preserve"> воопшто не ги користи законските механизми за надзор </w:t>
      </w:r>
      <w:r w:rsidRPr="00604B7E">
        <w:rPr>
          <w:rFonts w:asciiTheme="minorHAnsi" w:hAnsiTheme="minorHAnsi" w:cstheme="minorHAnsi"/>
          <w:sz w:val="22"/>
          <w:lang w:val="mk-MK"/>
        </w:rPr>
        <w:t xml:space="preserve">кои му стојат на располагање (надзорни и јавни расправи, анкетни комисии и сл.). Состаноци и расправи се организираат од разни комисии на </w:t>
      </w:r>
      <w:r w:rsidR="001D1515">
        <w:rPr>
          <w:rFonts w:asciiTheme="minorHAnsi" w:hAnsiTheme="minorHAnsi" w:cstheme="minorHAnsi"/>
          <w:sz w:val="22"/>
          <w:lang w:val="mk-MK"/>
        </w:rPr>
        <w:t>СРСМ</w:t>
      </w:r>
      <w:r w:rsidRPr="00604B7E">
        <w:rPr>
          <w:rFonts w:asciiTheme="minorHAnsi" w:hAnsiTheme="minorHAnsi" w:cstheme="minorHAnsi"/>
          <w:sz w:val="22"/>
          <w:lang w:val="mk-MK"/>
        </w:rPr>
        <w:t>, меѓутоа, тие не се фокусираат на оценување на спроведувањето на веќе усвоените политики, ниту на влијанието што го имаат.</w:t>
      </w:r>
    </w:p>
    <w:p w14:paraId="4F788C97" w14:textId="173117D7" w:rsidR="00F5796C" w:rsidRPr="00604B7E" w:rsidRDefault="00F5796C" w:rsidP="00F5796C">
      <w:pPr>
        <w:pStyle w:val="Para"/>
        <w:rPr>
          <w:rFonts w:asciiTheme="minorHAnsi" w:hAnsiTheme="minorHAnsi" w:cstheme="minorHAnsi"/>
          <w:sz w:val="22"/>
          <w:lang w:val="mk-MK"/>
        </w:rPr>
      </w:pPr>
      <w:r w:rsidRPr="00604B7E">
        <w:rPr>
          <w:rFonts w:asciiTheme="minorHAnsi" w:hAnsiTheme="minorHAnsi" w:cstheme="minorHAnsi"/>
          <w:sz w:val="22"/>
          <w:lang w:val="mk-MK"/>
        </w:rPr>
        <w:t>Нема механизми за одржување редовни состаноци или дискусии помеѓу администрациите на</w:t>
      </w:r>
      <w:r w:rsidR="001D1515">
        <w:rPr>
          <w:rFonts w:asciiTheme="minorHAnsi" w:hAnsiTheme="minorHAnsi" w:cstheme="minorHAnsi"/>
          <w:sz w:val="22"/>
          <w:lang w:val="mk-MK"/>
        </w:rPr>
        <w:t xml:space="preserve"> СРСМ</w:t>
      </w:r>
      <w:r w:rsidRPr="00604B7E">
        <w:rPr>
          <w:rFonts w:asciiTheme="minorHAnsi" w:hAnsiTheme="minorHAnsi" w:cstheme="minorHAnsi"/>
          <w:sz w:val="22"/>
          <w:lang w:val="mk-MK"/>
        </w:rPr>
        <w:t xml:space="preserve"> </w:t>
      </w:r>
      <w:r w:rsidR="00A6312A">
        <w:rPr>
          <w:rFonts w:asciiTheme="minorHAnsi" w:hAnsiTheme="minorHAnsi" w:cstheme="minorHAnsi"/>
          <w:sz w:val="22"/>
          <w:lang w:val="mk-MK"/>
        </w:rPr>
        <w:t xml:space="preserve"> </w:t>
      </w:r>
      <w:r w:rsidRPr="00604B7E">
        <w:rPr>
          <w:rFonts w:asciiTheme="minorHAnsi" w:hAnsiTheme="minorHAnsi" w:cstheme="minorHAnsi"/>
          <w:sz w:val="22"/>
          <w:lang w:val="mk-MK"/>
        </w:rPr>
        <w:t xml:space="preserve">и на </w:t>
      </w:r>
      <w:r w:rsidR="00A6312A">
        <w:rPr>
          <w:rFonts w:asciiTheme="minorHAnsi" w:hAnsiTheme="minorHAnsi" w:cstheme="minorHAnsi"/>
          <w:sz w:val="22"/>
          <w:lang w:val="mk-MK"/>
        </w:rPr>
        <w:t>ВРСМ</w:t>
      </w:r>
      <w:r w:rsidR="00A6312A" w:rsidRPr="00604B7E">
        <w:rPr>
          <w:rFonts w:asciiTheme="minorHAnsi" w:hAnsiTheme="minorHAnsi" w:cstheme="minorHAnsi"/>
          <w:sz w:val="22"/>
          <w:lang w:val="mk-MK"/>
        </w:rPr>
        <w:t xml:space="preserve"> </w:t>
      </w:r>
      <w:r w:rsidRPr="00604B7E">
        <w:rPr>
          <w:rFonts w:asciiTheme="minorHAnsi" w:hAnsiTheme="minorHAnsi" w:cstheme="minorHAnsi"/>
          <w:sz w:val="22"/>
          <w:lang w:val="mk-MK"/>
        </w:rPr>
        <w:t xml:space="preserve">со цел разгледување, дискутирање и планирање на законодавните активности. </w:t>
      </w:r>
    </w:p>
    <w:p w14:paraId="5EB66D8C" w14:textId="392C575E" w:rsidR="00F5796C" w:rsidRDefault="00A6312A" w:rsidP="00F5796C">
      <w:pPr>
        <w:jc w:val="both"/>
        <w:rPr>
          <w:rFonts w:cstheme="minorHAnsi"/>
          <w:lang w:val="mk-MK"/>
        </w:rPr>
      </w:pPr>
      <w:r>
        <w:rPr>
          <w:rFonts w:cstheme="minorHAnsi"/>
          <w:lang w:val="mk-MK"/>
        </w:rPr>
        <w:t xml:space="preserve">ВРСМ </w:t>
      </w:r>
      <w:r w:rsidR="00F5796C" w:rsidRPr="00B5617C">
        <w:rPr>
          <w:rFonts w:cstheme="minorHAnsi"/>
          <w:lang w:val="mk-MK"/>
        </w:rPr>
        <w:t>не</w:t>
      </w:r>
      <w:r w:rsidR="00E063CF" w:rsidRPr="00B5617C">
        <w:rPr>
          <w:rFonts w:cstheme="minorHAnsi"/>
          <w:lang w:val="mk-MK"/>
        </w:rPr>
        <w:t>ма обврска да</w:t>
      </w:r>
      <w:r w:rsidR="00F5796C">
        <w:rPr>
          <w:rFonts w:cstheme="minorHAnsi"/>
          <w:lang w:val="mk-MK"/>
        </w:rPr>
        <w:t xml:space="preserve"> ги доставува до </w:t>
      </w:r>
      <w:r w:rsidR="001D1515">
        <w:rPr>
          <w:rFonts w:cstheme="minorHAnsi"/>
          <w:lang w:val="mk-MK"/>
        </w:rPr>
        <w:t>СРСМ</w:t>
      </w:r>
      <w:r>
        <w:rPr>
          <w:rFonts w:cstheme="minorHAnsi"/>
          <w:lang w:val="mk-MK"/>
        </w:rPr>
        <w:t xml:space="preserve"> </w:t>
      </w:r>
      <w:r w:rsidR="00F5796C">
        <w:rPr>
          <w:rFonts w:cstheme="minorHAnsi"/>
          <w:lang w:val="mk-MK"/>
        </w:rPr>
        <w:t xml:space="preserve">извештаите од ПВР заедно со предлог законите со што се намалува значењето на обврската на министерствата да подготвуваат и доставуваат квалитетни </w:t>
      </w:r>
      <w:r w:rsidR="00F5796C" w:rsidRPr="00A26EEC">
        <w:rPr>
          <w:rFonts w:cstheme="minorHAnsi"/>
          <w:lang w:val="mk-MK"/>
        </w:rPr>
        <w:t>извештаи</w:t>
      </w:r>
      <w:r w:rsidR="00F5796C">
        <w:rPr>
          <w:rFonts w:cstheme="minorHAnsi"/>
          <w:lang w:val="mk-MK"/>
        </w:rPr>
        <w:t xml:space="preserve"> и на тој начин да го подобрат процесот на подготовка на закони базирани на докази.</w:t>
      </w:r>
    </w:p>
    <w:p w14:paraId="179574E5" w14:textId="77777777" w:rsidR="00F5796C" w:rsidRPr="00F575DA" w:rsidRDefault="00F5796C" w:rsidP="00F5796C">
      <w:pPr>
        <w:jc w:val="both"/>
        <w:rPr>
          <w:rFonts w:cstheme="minorHAnsi"/>
          <w:b/>
          <w:bCs/>
          <w:lang w:val="mk-MK"/>
        </w:rPr>
      </w:pPr>
      <w:r w:rsidRPr="00F575DA">
        <w:rPr>
          <w:rFonts w:cstheme="minorHAnsi"/>
          <w:b/>
          <w:bCs/>
          <w:lang w:val="mk-MK"/>
        </w:rPr>
        <w:t>Транспарентност и вклученост на засегнати страни во процесот на креирање политики и подготовка на закони</w:t>
      </w:r>
    </w:p>
    <w:p w14:paraId="5BB23148" w14:textId="636131D4" w:rsidR="00F5796C" w:rsidRPr="008776A1" w:rsidRDefault="00F5796C" w:rsidP="00F5796C">
      <w:pPr>
        <w:jc w:val="both"/>
        <w:rPr>
          <w:lang w:val="mk-MK"/>
        </w:rPr>
      </w:pPr>
      <w:r w:rsidRPr="008776A1">
        <w:rPr>
          <w:bCs/>
          <w:iCs/>
          <w:lang w:val="mk-MK"/>
        </w:rPr>
        <w:t xml:space="preserve">Во оваа сфера забележан е најголем напредок, така што и оценката на средната вредност на индикаторите која во 2017 година била </w:t>
      </w:r>
      <w:r w:rsidR="00A6312A">
        <w:rPr>
          <w:bCs/>
          <w:iCs/>
          <w:lang w:val="mk-MK"/>
        </w:rPr>
        <w:t>два</w:t>
      </w:r>
      <w:r w:rsidRPr="008776A1">
        <w:rPr>
          <w:bCs/>
          <w:iCs/>
          <w:lang w:val="mk-MK"/>
        </w:rPr>
        <w:t xml:space="preserve">, сега е зголемена на </w:t>
      </w:r>
      <w:r w:rsidR="00A6312A">
        <w:rPr>
          <w:bCs/>
          <w:iCs/>
          <w:lang w:val="mk-MK"/>
        </w:rPr>
        <w:t>три</w:t>
      </w:r>
      <w:r w:rsidRPr="008776A1">
        <w:rPr>
          <w:rStyle w:val="FootnoteReference"/>
          <w:bCs/>
          <w:iCs/>
          <w:lang w:val="mk-MK"/>
        </w:rPr>
        <w:footnoteReference w:id="43"/>
      </w:r>
      <w:r w:rsidRPr="008776A1">
        <w:rPr>
          <w:bCs/>
          <w:iCs/>
          <w:lang w:val="mk-MK"/>
        </w:rPr>
        <w:t xml:space="preserve">. Ова се должи на </w:t>
      </w:r>
      <w:r w:rsidRPr="008776A1">
        <w:rPr>
          <w:lang w:val="mk-MK"/>
        </w:rPr>
        <w:t xml:space="preserve">одредени подобрувања во отвореноста на процесот на носење одлуки од страна на </w:t>
      </w:r>
      <w:r w:rsidR="00A6312A">
        <w:rPr>
          <w:lang w:val="mk-MK"/>
        </w:rPr>
        <w:t>ВРСМ</w:t>
      </w:r>
      <w:r>
        <w:rPr>
          <w:rStyle w:val="FootnoteReference"/>
          <w:lang w:val="mk-MK"/>
        </w:rPr>
        <w:footnoteReference w:id="44"/>
      </w:r>
      <w:r w:rsidRPr="008776A1">
        <w:rPr>
          <w:lang w:val="mk-MK"/>
        </w:rPr>
        <w:t xml:space="preserve"> и на поповолната </w:t>
      </w:r>
      <w:r w:rsidRPr="008776A1">
        <w:rPr>
          <w:lang w:val="mk-MK"/>
        </w:rPr>
        <w:lastRenderedPageBreak/>
        <w:t>перцепција на деловните субјекти</w:t>
      </w:r>
      <w:r w:rsidRPr="008776A1">
        <w:rPr>
          <w:rStyle w:val="FootnoteReference"/>
          <w:lang w:val="mk-MK"/>
        </w:rPr>
        <w:footnoteReference w:id="45"/>
      </w:r>
      <w:r w:rsidRPr="008776A1">
        <w:rPr>
          <w:lang w:val="mk-MK"/>
        </w:rPr>
        <w:t xml:space="preserve"> за јасноста и стабилноста во креирањето политики од страна на </w:t>
      </w:r>
      <w:r w:rsidR="00A6312A">
        <w:rPr>
          <w:lang w:val="mk-MK"/>
        </w:rPr>
        <w:t>ВРСМ</w:t>
      </w:r>
      <w:r w:rsidRPr="008776A1">
        <w:rPr>
          <w:lang w:val="mk-MK"/>
        </w:rPr>
        <w:t xml:space="preserve">. </w:t>
      </w:r>
    </w:p>
    <w:p w14:paraId="5E198AEB" w14:textId="77777777" w:rsidR="00F5796C" w:rsidRPr="00401201" w:rsidRDefault="00F5796C" w:rsidP="00F5796C">
      <w:pPr>
        <w:jc w:val="both"/>
        <w:rPr>
          <w:iCs/>
          <w:lang w:val="mk-MK"/>
        </w:rPr>
      </w:pPr>
      <w:r>
        <w:rPr>
          <w:iCs/>
          <w:lang w:val="mk-MK"/>
        </w:rPr>
        <w:t xml:space="preserve">Во </w:t>
      </w:r>
      <w:r w:rsidRPr="00F575DA">
        <w:rPr>
          <w:b/>
          <w:bCs/>
          <w:iCs/>
          <w:lang w:val="mk-MK"/>
        </w:rPr>
        <w:t>процесот на консултации со засегнатите страни</w:t>
      </w:r>
      <w:r>
        <w:rPr>
          <w:iCs/>
          <w:lang w:val="mk-MK"/>
        </w:rPr>
        <w:t xml:space="preserve"> може да се констатира исчекор во однос на почесто формирање на работни групи со вклучување на </w:t>
      </w:r>
      <w:r w:rsidRPr="001F5700">
        <w:rPr>
          <w:rFonts w:cs="Calibri"/>
          <w:lang w:val="mk-MK"/>
        </w:rPr>
        <w:t xml:space="preserve">претставниците од </w:t>
      </w:r>
      <w:r>
        <w:rPr>
          <w:rFonts w:cs="Calibri"/>
          <w:lang w:val="mk-MK"/>
        </w:rPr>
        <w:t>граѓанските</w:t>
      </w:r>
      <w:r w:rsidRPr="001F5700">
        <w:rPr>
          <w:rFonts w:cs="Calibri"/>
          <w:lang w:val="mk-MK"/>
        </w:rPr>
        <w:t xml:space="preserve"> организации, стопанските комори, стопанските субјекти, </w:t>
      </w:r>
      <w:r>
        <w:rPr>
          <w:rFonts w:cs="Calibri"/>
          <w:lang w:val="mk-MK"/>
        </w:rPr>
        <w:t xml:space="preserve">академската заедница, </w:t>
      </w:r>
      <w:r w:rsidRPr="001F5700">
        <w:rPr>
          <w:rFonts w:cs="Calibri"/>
          <w:lang w:val="mk-MK"/>
        </w:rPr>
        <w:t>како и претставниците на ВР</w:t>
      </w:r>
      <w:r>
        <w:rPr>
          <w:rFonts w:cs="Calibri"/>
          <w:lang w:val="mk-MK"/>
        </w:rPr>
        <w:t>С</w:t>
      </w:r>
      <w:r w:rsidRPr="001F5700">
        <w:rPr>
          <w:rFonts w:cs="Calibri"/>
          <w:lang w:val="mk-MK"/>
        </w:rPr>
        <w:t>М и министерствата во процесот на подготовка на закони.</w:t>
      </w:r>
      <w:r>
        <w:rPr>
          <w:iCs/>
          <w:lang w:val="mk-MK"/>
        </w:rPr>
        <w:t xml:space="preserve"> </w:t>
      </w:r>
      <w:r w:rsidRPr="003D2E26">
        <w:rPr>
          <w:iCs/>
          <w:lang w:val="mk-MK"/>
        </w:rPr>
        <w:t>ЕНЕР е препознаен  од министерствата и од засегнатите страни како ефикасна електронска алатка за спроведување на консултации на предлог законите. Со последната надградбата на ЕНЕР се овозможи, освен предлог законите, да се објавуваат за консултации и други типови документи подготвени од страна на министерствата и се воведоа нови механизми за ефикасно вклучување на засегнатите страни во сите фази од процесот на планирање и креирање на политики.</w:t>
      </w:r>
      <w:r>
        <w:rPr>
          <w:iCs/>
          <w:lang w:val="mk-MK"/>
        </w:rPr>
        <w:t xml:space="preserve"> Сепак, резултатите од консултациите со пошироката јавност која коментира одредени законски предлог-решенија и дава свои сугестии, и предлози не се евидентираат секогаш и не се констатираат во Извештаите за ПВР.</w:t>
      </w:r>
    </w:p>
    <w:p w14:paraId="14F34B91" w14:textId="7446ED1C" w:rsidR="00F5796C" w:rsidRDefault="00F5796C" w:rsidP="00F5796C">
      <w:pPr>
        <w:jc w:val="both"/>
        <w:rPr>
          <w:bCs/>
          <w:iCs/>
          <w:lang w:val="mk-MK"/>
        </w:rPr>
      </w:pPr>
      <w:r w:rsidRPr="005E3779">
        <w:rPr>
          <w:bCs/>
          <w:iCs/>
          <w:lang w:val="mk-MK"/>
        </w:rPr>
        <w:t xml:space="preserve">Подобрена е </w:t>
      </w:r>
      <w:r w:rsidRPr="00F575DA">
        <w:rPr>
          <w:b/>
          <w:iCs/>
          <w:lang w:val="mk-MK"/>
        </w:rPr>
        <w:t>транспарентноста во носењето одлуки на Владата</w:t>
      </w:r>
      <w:r w:rsidRPr="005E3779">
        <w:rPr>
          <w:bCs/>
          <w:iCs/>
          <w:lang w:val="mk-MK"/>
        </w:rPr>
        <w:t xml:space="preserve">, со оглед на тоа што дневниот ред и записниците од седниците на </w:t>
      </w:r>
      <w:r w:rsidR="00A6312A">
        <w:rPr>
          <w:bCs/>
          <w:iCs/>
          <w:lang w:val="mk-MK"/>
        </w:rPr>
        <w:t>ВРСМ</w:t>
      </w:r>
      <w:r w:rsidR="00A6312A" w:rsidRPr="005E3779">
        <w:rPr>
          <w:bCs/>
          <w:iCs/>
          <w:lang w:val="mk-MK"/>
        </w:rPr>
        <w:t xml:space="preserve"> </w:t>
      </w:r>
      <w:r w:rsidRPr="005E3779">
        <w:rPr>
          <w:bCs/>
          <w:iCs/>
          <w:lang w:val="mk-MK"/>
        </w:rPr>
        <w:t xml:space="preserve">се јавно достапни, но дневниот ред за седниците на </w:t>
      </w:r>
      <w:r w:rsidR="00A6312A">
        <w:rPr>
          <w:bCs/>
          <w:iCs/>
          <w:lang w:val="mk-MK"/>
        </w:rPr>
        <w:t>ВРСМ</w:t>
      </w:r>
      <w:r w:rsidR="00A6312A" w:rsidRPr="005E3779">
        <w:rPr>
          <w:bCs/>
          <w:iCs/>
          <w:lang w:val="mk-MK"/>
        </w:rPr>
        <w:t xml:space="preserve"> </w:t>
      </w:r>
      <w:r w:rsidRPr="005E3779">
        <w:rPr>
          <w:bCs/>
          <w:iCs/>
          <w:lang w:val="mk-MK"/>
        </w:rPr>
        <w:t xml:space="preserve">се објавува на веб-страницата на </w:t>
      </w:r>
      <w:r w:rsidR="00A6312A">
        <w:rPr>
          <w:bCs/>
          <w:iCs/>
          <w:lang w:val="mk-MK"/>
        </w:rPr>
        <w:t>ВРСМ</w:t>
      </w:r>
      <w:r w:rsidR="00A6312A" w:rsidRPr="005E3779">
        <w:rPr>
          <w:bCs/>
          <w:iCs/>
          <w:lang w:val="mk-MK"/>
        </w:rPr>
        <w:t xml:space="preserve">  </w:t>
      </w:r>
      <w:r w:rsidRPr="005E3779">
        <w:rPr>
          <w:bCs/>
          <w:iCs/>
          <w:lang w:val="mk-MK"/>
        </w:rPr>
        <w:t>дури откако седницата ќе заврши.</w:t>
      </w:r>
    </w:p>
    <w:p w14:paraId="54A6A642" w14:textId="754DA336" w:rsidR="00F5796C" w:rsidRDefault="00F5796C" w:rsidP="00F5796C">
      <w:pPr>
        <w:jc w:val="both"/>
        <w:rPr>
          <w:iCs/>
          <w:lang w:val="mk-MK"/>
        </w:rPr>
      </w:pPr>
      <w:r w:rsidRPr="005E3779">
        <w:rPr>
          <w:iCs/>
          <w:lang w:val="mk-MK"/>
        </w:rPr>
        <w:t xml:space="preserve">Граѓанските организации, по пат на јавен повик, се консултираат при подготовка на </w:t>
      </w:r>
      <w:r w:rsidR="00A6312A">
        <w:rPr>
          <w:iCs/>
          <w:lang w:val="mk-MK"/>
        </w:rPr>
        <w:t>ГПРВ</w:t>
      </w:r>
      <w:r w:rsidRPr="005E3779">
        <w:rPr>
          <w:iCs/>
          <w:lang w:val="mk-MK"/>
        </w:rPr>
        <w:t xml:space="preserve">, согласно Кодексот на добри практики за учество на граѓанскиот сектор во процесот на креирање политики. На јавниот повик објавен во август 2021 година, доставени се 15 иницијативи од граѓански организации, кои заедно со одговорите од ресорните министерства се објавени на веб страницата на Одделението за соработка со невладини организации на </w:t>
      </w:r>
      <w:r w:rsidR="00A6312A">
        <w:rPr>
          <w:iCs/>
          <w:lang w:val="mk-MK"/>
        </w:rPr>
        <w:t>ГС</w:t>
      </w:r>
      <w:r>
        <w:rPr>
          <w:iCs/>
          <w:lang w:val="mk-MK"/>
        </w:rPr>
        <w:t>.</w:t>
      </w:r>
      <w:r>
        <w:rPr>
          <w:rStyle w:val="FootnoteReference"/>
          <w:iCs/>
          <w:lang w:val="mk-MK"/>
        </w:rPr>
        <w:footnoteReference w:id="46"/>
      </w:r>
      <w:r w:rsidRPr="005E3779">
        <w:rPr>
          <w:iCs/>
          <w:lang w:val="mk-MK"/>
        </w:rPr>
        <w:t xml:space="preserve"> </w:t>
      </w:r>
    </w:p>
    <w:p w14:paraId="18450EBE" w14:textId="7048B757" w:rsidR="00F5796C" w:rsidRDefault="00F5796C" w:rsidP="00F5796C">
      <w:pPr>
        <w:jc w:val="both"/>
        <w:rPr>
          <w:iCs/>
          <w:lang w:val="mk-MK"/>
        </w:rPr>
      </w:pPr>
      <w:r w:rsidRPr="0000331D">
        <w:rPr>
          <w:iCs/>
          <w:lang w:val="mk-MK"/>
        </w:rPr>
        <w:t xml:space="preserve">Од </w:t>
      </w:r>
      <w:r>
        <w:rPr>
          <w:iCs/>
          <w:lang w:val="mk-MK"/>
        </w:rPr>
        <w:t xml:space="preserve">април </w:t>
      </w:r>
      <w:r w:rsidRPr="0000331D">
        <w:rPr>
          <w:iCs/>
          <w:lang w:val="mk-MK"/>
        </w:rPr>
        <w:t xml:space="preserve">2018 година воспоставен е Совет за соработка меѓу </w:t>
      </w:r>
      <w:r w:rsidR="00A6312A">
        <w:rPr>
          <w:iCs/>
          <w:lang w:val="mk-MK"/>
        </w:rPr>
        <w:t>ВРСМ</w:t>
      </w:r>
      <w:r w:rsidR="00A6312A" w:rsidRPr="0000331D">
        <w:rPr>
          <w:iCs/>
          <w:lang w:val="mk-MK"/>
        </w:rPr>
        <w:t xml:space="preserve"> </w:t>
      </w:r>
      <w:r w:rsidRPr="0000331D">
        <w:rPr>
          <w:iCs/>
          <w:lang w:val="mk-MK"/>
        </w:rPr>
        <w:t>и граѓанското општество</w:t>
      </w:r>
      <w:r>
        <w:rPr>
          <w:rStyle w:val="FootnoteReference"/>
          <w:iCs/>
          <w:lang w:val="mk-MK"/>
        </w:rPr>
        <w:footnoteReference w:id="47"/>
      </w:r>
      <w:r w:rsidRPr="0000331D">
        <w:rPr>
          <w:iCs/>
          <w:lang w:val="mk-MK"/>
        </w:rPr>
        <w:t xml:space="preserve">, како советодавно тело на </w:t>
      </w:r>
      <w:r w:rsidR="00A6312A">
        <w:rPr>
          <w:iCs/>
          <w:lang w:val="mk-MK"/>
        </w:rPr>
        <w:t>ВРСМ</w:t>
      </w:r>
      <w:r w:rsidR="00A6312A" w:rsidRPr="0000331D">
        <w:rPr>
          <w:iCs/>
          <w:lang w:val="mk-MK"/>
        </w:rPr>
        <w:t xml:space="preserve"> </w:t>
      </w:r>
      <w:r w:rsidRPr="0000331D">
        <w:rPr>
          <w:iCs/>
          <w:lang w:val="mk-MK"/>
        </w:rPr>
        <w:t>за унапредување на соработката, дијалогот и поттикнување на развојот на граѓанското општество. Формирањето на Советот претставува највисоко ниво на учество на граѓанските организации во процесот на креирање политики и носење одлук</w:t>
      </w:r>
      <w:r w:rsidR="004F2FC2">
        <w:rPr>
          <w:iCs/>
          <w:lang w:val="mk-MK"/>
        </w:rPr>
        <w:t>и</w:t>
      </w:r>
      <w:r w:rsidRPr="0000331D">
        <w:rPr>
          <w:iCs/>
          <w:lang w:val="mk-MK"/>
        </w:rPr>
        <w:t xml:space="preserve"> - партнерство меѓу </w:t>
      </w:r>
      <w:r w:rsidR="00A6312A">
        <w:rPr>
          <w:iCs/>
          <w:lang w:val="mk-MK"/>
        </w:rPr>
        <w:t>ВРСМ</w:t>
      </w:r>
      <w:r w:rsidR="00A6312A" w:rsidRPr="0000331D">
        <w:rPr>
          <w:iCs/>
          <w:lang w:val="mk-MK"/>
        </w:rPr>
        <w:t xml:space="preserve"> </w:t>
      </w:r>
      <w:r w:rsidRPr="0000331D">
        <w:rPr>
          <w:iCs/>
          <w:lang w:val="mk-MK"/>
        </w:rPr>
        <w:t>и граѓанските организации.</w:t>
      </w:r>
      <w:r>
        <w:rPr>
          <w:iCs/>
          <w:lang w:val="mk-MK"/>
        </w:rPr>
        <w:t xml:space="preserve"> Во 2021 година Советот одржа </w:t>
      </w:r>
      <w:r w:rsidR="00A6312A">
        <w:rPr>
          <w:iCs/>
          <w:lang w:val="mk-MK"/>
        </w:rPr>
        <w:t xml:space="preserve">осум </w:t>
      </w:r>
      <w:r>
        <w:rPr>
          <w:iCs/>
          <w:lang w:val="mk-MK"/>
        </w:rPr>
        <w:t xml:space="preserve">седници, на кои разгледа 22 материјали и номинираше 20 претставници на граѓански организации во </w:t>
      </w:r>
      <w:r w:rsidR="00A6312A">
        <w:rPr>
          <w:iCs/>
          <w:lang w:val="mk-MK"/>
        </w:rPr>
        <w:t xml:space="preserve">седум </w:t>
      </w:r>
      <w:r>
        <w:rPr>
          <w:iCs/>
          <w:lang w:val="mk-MK"/>
        </w:rPr>
        <w:t xml:space="preserve">советодавни и работни тела на </w:t>
      </w:r>
      <w:r w:rsidR="00A6312A">
        <w:rPr>
          <w:iCs/>
          <w:lang w:val="mk-MK"/>
        </w:rPr>
        <w:t xml:space="preserve">ВРСМ </w:t>
      </w:r>
      <w:r>
        <w:rPr>
          <w:iCs/>
          <w:lang w:val="mk-MK"/>
        </w:rPr>
        <w:t>и министерствата.</w:t>
      </w:r>
    </w:p>
    <w:p w14:paraId="2C533D8E" w14:textId="30AE72D4" w:rsidR="00F5796C" w:rsidRPr="005E3779" w:rsidRDefault="00A6312A" w:rsidP="00F5796C">
      <w:pPr>
        <w:jc w:val="both"/>
        <w:rPr>
          <w:bCs/>
          <w:iCs/>
          <w:lang w:val="mk-MK"/>
        </w:rPr>
      </w:pPr>
      <w:r>
        <w:rPr>
          <w:bCs/>
          <w:iCs/>
          <w:lang w:val="mk-MK"/>
        </w:rPr>
        <w:t>ВРСМ</w:t>
      </w:r>
      <w:r w:rsidRPr="005E3779">
        <w:rPr>
          <w:bCs/>
          <w:iCs/>
          <w:lang w:val="mk-MK"/>
        </w:rPr>
        <w:t xml:space="preserve"> </w:t>
      </w:r>
      <w:r w:rsidR="00F5796C" w:rsidRPr="005E3779">
        <w:rPr>
          <w:bCs/>
          <w:iCs/>
          <w:lang w:val="mk-MK"/>
        </w:rPr>
        <w:t xml:space="preserve">ги подготвува и ги одржува седниците преку современ интегриран информатички систем Е-Влада, </w:t>
      </w:r>
      <w:r w:rsidR="00F5796C">
        <w:rPr>
          <w:bCs/>
          <w:iCs/>
          <w:lang w:val="mk-MK"/>
        </w:rPr>
        <w:t xml:space="preserve">со </w:t>
      </w:r>
      <w:r w:rsidR="00F5796C" w:rsidRPr="005E3779">
        <w:rPr>
          <w:bCs/>
          <w:iCs/>
          <w:lang w:val="mk-MK"/>
        </w:rPr>
        <w:t xml:space="preserve">кој </w:t>
      </w:r>
      <w:r w:rsidR="00F5796C">
        <w:rPr>
          <w:bCs/>
          <w:iCs/>
          <w:lang w:val="mk-MK"/>
        </w:rPr>
        <w:t xml:space="preserve">се </w:t>
      </w:r>
      <w:r w:rsidR="00F5796C" w:rsidRPr="005E3779">
        <w:rPr>
          <w:bCs/>
          <w:iCs/>
          <w:lang w:val="mk-MK"/>
        </w:rPr>
        <w:t xml:space="preserve">овозможува ефикасност, економичност, мобилност, транспарентност, одговорност и следење на процесот на </w:t>
      </w:r>
      <w:r w:rsidR="00F5796C">
        <w:rPr>
          <w:bCs/>
          <w:iCs/>
          <w:lang w:val="mk-MK"/>
        </w:rPr>
        <w:t xml:space="preserve">донесување на владините одлуки. </w:t>
      </w:r>
    </w:p>
    <w:p w14:paraId="4AA4F697" w14:textId="2F77E9FC" w:rsidR="00F5796C" w:rsidRPr="00E368F5" w:rsidRDefault="00F5796C" w:rsidP="00F5796C">
      <w:pPr>
        <w:rPr>
          <w:b/>
          <w:iCs/>
          <w:lang w:val="mk-MK"/>
        </w:rPr>
      </w:pPr>
      <w:r w:rsidRPr="00F5796C">
        <w:rPr>
          <w:b/>
          <w:iCs/>
        </w:rPr>
        <w:t xml:space="preserve">Квалитет на следењето и известувањето на </w:t>
      </w:r>
      <w:r w:rsidR="002F55EA">
        <w:rPr>
          <w:b/>
          <w:iCs/>
          <w:lang w:val="mk-MK"/>
        </w:rPr>
        <w:t>ВРСМ</w:t>
      </w:r>
    </w:p>
    <w:p w14:paraId="3594DAB8" w14:textId="26584084" w:rsidR="00F5796C" w:rsidRDefault="00F5796C" w:rsidP="00F5796C">
      <w:pPr>
        <w:jc w:val="both"/>
        <w:rPr>
          <w:bCs/>
          <w:iCs/>
          <w:lang w:val="mk-MK"/>
        </w:rPr>
      </w:pPr>
      <w:r>
        <w:rPr>
          <w:bCs/>
          <w:iCs/>
          <w:lang w:val="mk-MK"/>
        </w:rPr>
        <w:t>М</w:t>
      </w:r>
      <w:r w:rsidRPr="005E3779">
        <w:rPr>
          <w:bCs/>
          <w:iCs/>
        </w:rPr>
        <w:t>инистерства</w:t>
      </w:r>
      <w:r w:rsidRPr="005E3779">
        <w:rPr>
          <w:bCs/>
          <w:iCs/>
          <w:lang w:val="mk-MK"/>
        </w:rPr>
        <w:t>та</w:t>
      </w:r>
      <w:r w:rsidRPr="005E3779">
        <w:rPr>
          <w:bCs/>
          <w:iCs/>
        </w:rPr>
        <w:t xml:space="preserve"> подготвуваат </w:t>
      </w:r>
      <w:r w:rsidRPr="007C2DD3">
        <w:rPr>
          <w:bCs/>
          <w:iCs/>
        </w:rPr>
        <w:t xml:space="preserve">извештаи за спроведувањето на нивните годишни планови за работа, </w:t>
      </w:r>
      <w:r w:rsidRPr="007C2DD3">
        <w:rPr>
          <w:bCs/>
          <w:iCs/>
          <w:lang w:val="mk-MK"/>
        </w:rPr>
        <w:t>но</w:t>
      </w:r>
      <w:r w:rsidRPr="007C2DD3">
        <w:rPr>
          <w:bCs/>
          <w:iCs/>
        </w:rPr>
        <w:t xml:space="preserve"> </w:t>
      </w:r>
      <w:r w:rsidR="004F2FC2" w:rsidRPr="00B5617C">
        <w:rPr>
          <w:bCs/>
          <w:iCs/>
        </w:rPr>
        <w:t>процес</w:t>
      </w:r>
      <w:r w:rsidR="004F2FC2" w:rsidRPr="00B5617C">
        <w:rPr>
          <w:bCs/>
          <w:iCs/>
          <w:lang w:val="mk-MK"/>
        </w:rPr>
        <w:t xml:space="preserve">от </w:t>
      </w:r>
      <w:r w:rsidRPr="00B5617C">
        <w:rPr>
          <w:bCs/>
          <w:iCs/>
          <w:lang w:val="mk-MK"/>
        </w:rPr>
        <w:t xml:space="preserve">не </w:t>
      </w:r>
      <w:r w:rsidR="004F2FC2" w:rsidRPr="00B5617C">
        <w:rPr>
          <w:bCs/>
          <w:iCs/>
          <w:lang w:val="mk-MK"/>
        </w:rPr>
        <w:t xml:space="preserve">е </w:t>
      </w:r>
      <w:r w:rsidRPr="00B5617C">
        <w:rPr>
          <w:bCs/>
          <w:iCs/>
          <w:lang w:val="mk-MK"/>
        </w:rPr>
        <w:t>координиран</w:t>
      </w:r>
      <w:r>
        <w:rPr>
          <w:bCs/>
          <w:iCs/>
          <w:lang w:val="mk-MK"/>
        </w:rPr>
        <w:t xml:space="preserve"> и</w:t>
      </w:r>
      <w:r w:rsidRPr="007C2DD3">
        <w:rPr>
          <w:bCs/>
          <w:iCs/>
        </w:rPr>
        <w:t xml:space="preserve"> не се следи </w:t>
      </w:r>
      <w:r w:rsidRPr="00604B7E">
        <w:rPr>
          <w:bCs/>
          <w:iCs/>
        </w:rPr>
        <w:t>централно</w:t>
      </w:r>
      <w:r w:rsidRPr="00604B7E">
        <w:rPr>
          <w:bCs/>
          <w:iCs/>
          <w:lang w:val="mk-MK"/>
        </w:rPr>
        <w:t>.</w:t>
      </w:r>
      <w:r w:rsidRPr="007C2DD3">
        <w:rPr>
          <w:bCs/>
          <w:iCs/>
          <w:lang w:val="mk-MK"/>
        </w:rPr>
        <w:t xml:space="preserve"> </w:t>
      </w:r>
      <w:r w:rsidRPr="007C2DD3">
        <w:rPr>
          <w:bCs/>
          <w:iCs/>
        </w:rPr>
        <w:t xml:space="preserve">Извештаите за </w:t>
      </w:r>
      <w:r w:rsidRPr="007C2DD3">
        <w:rPr>
          <w:bCs/>
          <w:iCs/>
          <w:lang w:val="mk-MK"/>
        </w:rPr>
        <w:t xml:space="preserve">спроведување на </w:t>
      </w:r>
      <w:r w:rsidRPr="007C2DD3">
        <w:rPr>
          <w:bCs/>
          <w:iCs/>
        </w:rPr>
        <w:t xml:space="preserve">стратегиите се повеќе описни и ориентирани кон процесите, </w:t>
      </w:r>
      <w:r w:rsidR="004F2FC2">
        <w:rPr>
          <w:bCs/>
          <w:iCs/>
          <w:lang w:val="mk-MK"/>
        </w:rPr>
        <w:t xml:space="preserve">а </w:t>
      </w:r>
      <w:r w:rsidRPr="007C2DD3">
        <w:rPr>
          <w:bCs/>
          <w:iCs/>
        </w:rPr>
        <w:t>малку се фокусираат на учинокот</w:t>
      </w:r>
      <w:r w:rsidRPr="005E3779">
        <w:rPr>
          <w:bCs/>
          <w:iCs/>
        </w:rPr>
        <w:t xml:space="preserve"> и на планираните обврски од стратегијата или на напредокот во постигнувањето на предвидените </w:t>
      </w:r>
      <w:r w:rsidRPr="005E3779">
        <w:rPr>
          <w:bCs/>
          <w:iCs/>
        </w:rPr>
        <w:lastRenderedPageBreak/>
        <w:t>резултати и исходи</w:t>
      </w:r>
      <w:r w:rsidRPr="005E3779">
        <w:rPr>
          <w:bCs/>
          <w:iCs/>
          <w:lang w:val="mk-MK"/>
        </w:rPr>
        <w:t xml:space="preserve">. </w:t>
      </w:r>
      <w:r w:rsidRPr="007C2DD3">
        <w:rPr>
          <w:b/>
          <w:iCs/>
          <w:lang w:val="mk-MK"/>
        </w:rPr>
        <w:t>Извештаите од спроведување на стратегиите, програмите и годишните планови</w:t>
      </w:r>
      <w:r w:rsidRPr="005E3779">
        <w:rPr>
          <w:bCs/>
          <w:iCs/>
          <w:lang w:val="mk-MK"/>
        </w:rPr>
        <w:t xml:space="preserve"> не се подготвуваат редовно од сите ресорни министерства. Извештаите, вклучително и за спроведување на </w:t>
      </w:r>
      <w:r w:rsidR="00A6312A">
        <w:rPr>
          <w:bCs/>
          <w:iCs/>
          <w:lang w:val="mk-MK"/>
        </w:rPr>
        <w:t>ГПРВ</w:t>
      </w:r>
      <w:r w:rsidRPr="005E3779">
        <w:rPr>
          <w:bCs/>
          <w:iCs/>
        </w:rPr>
        <w:t xml:space="preserve">, не </w:t>
      </w:r>
      <w:r w:rsidRPr="005E3779">
        <w:rPr>
          <w:bCs/>
          <w:iCs/>
          <w:lang w:val="mk-MK"/>
        </w:rPr>
        <w:t>с</w:t>
      </w:r>
      <w:r w:rsidRPr="005E3779">
        <w:rPr>
          <w:bCs/>
          <w:iCs/>
        </w:rPr>
        <w:t>е јавно објавен</w:t>
      </w:r>
      <w:r w:rsidRPr="005E3779">
        <w:rPr>
          <w:bCs/>
          <w:iCs/>
          <w:lang w:val="mk-MK"/>
        </w:rPr>
        <w:t xml:space="preserve">и. </w:t>
      </w:r>
    </w:p>
    <w:p w14:paraId="2A9792D9" w14:textId="22AFC4DF" w:rsidR="00F5796C" w:rsidRPr="00604B7E" w:rsidRDefault="00F5796C" w:rsidP="004F2FC2">
      <w:pPr>
        <w:pStyle w:val="Para"/>
        <w:spacing w:line="276" w:lineRule="auto"/>
        <w:rPr>
          <w:rFonts w:asciiTheme="minorHAnsi" w:hAnsiTheme="minorHAnsi" w:cstheme="minorHAnsi"/>
          <w:sz w:val="22"/>
          <w:lang w:val="mk-MK"/>
        </w:rPr>
      </w:pPr>
      <w:r w:rsidRPr="00604B7E">
        <w:rPr>
          <w:rFonts w:asciiTheme="minorHAnsi" w:hAnsiTheme="minorHAnsi" w:cstheme="minorHAnsi"/>
          <w:bCs/>
          <w:iCs/>
          <w:sz w:val="22"/>
          <w:lang w:val="mk-MK"/>
        </w:rPr>
        <w:t xml:space="preserve">Крајниот заклучок е дека постои солидна нормираност на </w:t>
      </w:r>
      <w:r w:rsidRPr="00604B7E">
        <w:rPr>
          <w:rFonts w:asciiTheme="minorHAnsi" w:hAnsiTheme="minorHAnsi" w:cstheme="minorHAnsi"/>
          <w:sz w:val="22"/>
          <w:lang w:val="mk-MK"/>
        </w:rPr>
        <w:t xml:space="preserve">следењето и известувањето за работата на </w:t>
      </w:r>
      <w:r w:rsidR="00A6312A">
        <w:rPr>
          <w:rFonts w:asciiTheme="minorHAnsi" w:hAnsiTheme="minorHAnsi" w:cstheme="minorHAnsi"/>
          <w:sz w:val="22"/>
          <w:lang w:val="mk-MK"/>
        </w:rPr>
        <w:t>ВРСМ</w:t>
      </w:r>
      <w:r w:rsidRPr="00604B7E">
        <w:rPr>
          <w:rFonts w:asciiTheme="minorHAnsi" w:hAnsiTheme="minorHAnsi" w:cstheme="minorHAnsi"/>
          <w:sz w:val="22"/>
          <w:lang w:val="mk-MK"/>
        </w:rPr>
        <w:t>, со Методологијата за стратешко планирање и подготовка на ГПРВ, Методологијата и Упатството за секторски стратегии, но самата имплементација треба да се подобри</w:t>
      </w:r>
      <w:r w:rsidR="00BF0974">
        <w:rPr>
          <w:rFonts w:asciiTheme="minorHAnsi" w:hAnsiTheme="minorHAnsi" w:cstheme="minorHAnsi"/>
          <w:sz w:val="22"/>
          <w:lang w:val="mk-MK"/>
        </w:rPr>
        <w:t>.</w:t>
      </w:r>
      <w:r w:rsidRPr="00604B7E">
        <w:rPr>
          <w:rFonts w:asciiTheme="minorHAnsi" w:hAnsiTheme="minorHAnsi" w:cstheme="minorHAnsi"/>
          <w:sz w:val="22"/>
          <w:lang w:val="mk-MK"/>
        </w:rPr>
        <w:t xml:space="preserve"> </w:t>
      </w:r>
    </w:p>
    <w:p w14:paraId="4E0C6D77" w14:textId="4F23F183" w:rsidR="00E9655A" w:rsidRPr="00A51747" w:rsidRDefault="00E9655A" w:rsidP="00E9655A">
      <w:pPr>
        <w:rPr>
          <w:color w:val="FF0000"/>
          <w:lang w:val="mk-MK"/>
        </w:rPr>
      </w:pPr>
    </w:p>
    <w:p w14:paraId="30F51073" w14:textId="6A93E76E" w:rsidR="00F5796C" w:rsidRPr="00142DD3" w:rsidRDefault="00F5796C" w:rsidP="00F5796C">
      <w:pPr>
        <w:pStyle w:val="Heading2"/>
        <w:numPr>
          <w:ilvl w:val="1"/>
          <w:numId w:val="1"/>
        </w:numPr>
        <w:rPr>
          <w:lang w:val="mk-MK"/>
        </w:rPr>
      </w:pPr>
      <w:r w:rsidRPr="00142DD3">
        <w:rPr>
          <w:lang w:val="mk-MK"/>
        </w:rPr>
        <w:t>Приор</w:t>
      </w:r>
      <w:r w:rsidR="0027372A" w:rsidRPr="00142DD3">
        <w:rPr>
          <w:lang w:val="mk-MK"/>
        </w:rPr>
        <w:t>и</w:t>
      </w:r>
      <w:r w:rsidRPr="00142DD3">
        <w:rPr>
          <w:lang w:val="mk-MK"/>
        </w:rPr>
        <w:t>тетна област 2: Ја</w:t>
      </w:r>
      <w:r w:rsidR="00465999" w:rsidRPr="00142DD3">
        <w:rPr>
          <w:lang w:val="mk-MK"/>
        </w:rPr>
        <w:t>вна служба и управување со човеч</w:t>
      </w:r>
      <w:r w:rsidRPr="00142DD3">
        <w:rPr>
          <w:lang w:val="mk-MK"/>
        </w:rPr>
        <w:t xml:space="preserve">ки ресурси </w:t>
      </w:r>
    </w:p>
    <w:p w14:paraId="16414479" w14:textId="72145495" w:rsidR="00E9655A" w:rsidRDefault="00E9655A" w:rsidP="00E9655A">
      <w:pPr>
        <w:rPr>
          <w:lang w:val="mk-MK"/>
        </w:rPr>
      </w:pPr>
    </w:p>
    <w:p w14:paraId="73E8777D" w14:textId="77777777" w:rsidR="00F5796C" w:rsidRPr="004F2FC2" w:rsidRDefault="00F5796C" w:rsidP="00F5796C">
      <w:pPr>
        <w:jc w:val="both"/>
        <w:rPr>
          <w:rFonts w:cstheme="minorHAnsi"/>
          <w:b/>
          <w:bCs/>
          <w:lang w:val="mk-MK"/>
        </w:rPr>
      </w:pPr>
      <w:r w:rsidRPr="004F2FC2">
        <w:rPr>
          <w:rFonts w:cstheme="minorHAnsi"/>
          <w:b/>
          <w:bCs/>
          <w:lang w:val="mk-MK"/>
        </w:rPr>
        <w:t>Управување со човечки ресурси</w:t>
      </w:r>
    </w:p>
    <w:p w14:paraId="383CF8F0" w14:textId="33E89BD1" w:rsidR="00F5796C" w:rsidRPr="007B413E" w:rsidRDefault="00F5796C" w:rsidP="0027372A">
      <w:pPr>
        <w:spacing w:line="276" w:lineRule="auto"/>
        <w:jc w:val="both"/>
        <w:rPr>
          <w:rFonts w:cstheme="minorHAnsi"/>
          <w:lang w:val="mk-MK"/>
        </w:rPr>
      </w:pPr>
      <w:r w:rsidRPr="007B413E">
        <w:rPr>
          <w:rFonts w:cstheme="minorHAnsi"/>
          <w:b/>
          <w:bCs/>
          <w:lang w:val="mk-MK"/>
        </w:rPr>
        <w:t>Правната рамка</w:t>
      </w:r>
      <w:r w:rsidRPr="007B413E">
        <w:rPr>
          <w:rFonts w:cstheme="minorHAnsi"/>
          <w:lang w:val="mk-MK"/>
        </w:rPr>
        <w:t xml:space="preserve"> со која се уредуваат прашањата за класификацијата и статусот на вработените во јавниот сектор, правата, обврските и одговорностите на административните службеници (вработување, унапредување, мобилност, плати и наградување, одговорност, стручно усовршување, оценување и престанок на службеничкиот однос) ја сочинуваат </w:t>
      </w:r>
      <w:r w:rsidR="004F2FC2" w:rsidRPr="00B5617C">
        <w:rPr>
          <w:rFonts w:cstheme="minorHAnsi"/>
          <w:lang w:val="mk-MK"/>
        </w:rPr>
        <w:t>ЗВРЈС</w:t>
      </w:r>
      <w:r w:rsidRPr="00B5617C">
        <w:rPr>
          <w:rFonts w:cstheme="minorHAnsi"/>
          <w:lang w:val="mk-MK"/>
        </w:rPr>
        <w:t xml:space="preserve">, </w:t>
      </w:r>
      <w:r w:rsidR="004F2FC2" w:rsidRPr="00B5617C">
        <w:rPr>
          <w:rFonts w:cstheme="minorHAnsi"/>
          <w:lang w:val="mk-MK"/>
        </w:rPr>
        <w:t>ЗАС</w:t>
      </w:r>
      <w:r w:rsidRPr="00B5617C">
        <w:rPr>
          <w:rFonts w:cstheme="minorHAnsi"/>
          <w:lang w:val="mk-MK"/>
        </w:rPr>
        <w:t>, посебните</w:t>
      </w:r>
      <w:r w:rsidRPr="007B413E">
        <w:rPr>
          <w:rFonts w:cstheme="minorHAnsi"/>
          <w:lang w:val="mk-MK"/>
        </w:rPr>
        <w:t xml:space="preserve"> закони од различни области и Закон за работни односи и колективните договори.</w:t>
      </w:r>
    </w:p>
    <w:p w14:paraId="1626D2DA" w14:textId="7DAE6F13" w:rsidR="00F5796C" w:rsidRPr="007B413E" w:rsidRDefault="00F5796C" w:rsidP="0027372A">
      <w:pPr>
        <w:pStyle w:val="NormalWeb"/>
        <w:spacing w:line="276" w:lineRule="auto"/>
        <w:jc w:val="both"/>
        <w:rPr>
          <w:rFonts w:asciiTheme="minorHAnsi" w:hAnsiTheme="minorHAnsi" w:cstheme="minorHAnsi"/>
          <w:sz w:val="22"/>
          <w:szCs w:val="22"/>
          <w:lang w:val="mk-MK"/>
        </w:rPr>
      </w:pPr>
      <w:r w:rsidRPr="007B413E">
        <w:rPr>
          <w:rFonts w:asciiTheme="minorHAnsi" w:hAnsiTheme="minorHAnsi" w:cstheme="minorHAnsi"/>
          <w:sz w:val="22"/>
          <w:szCs w:val="22"/>
          <w:lang w:val="mk-MK"/>
        </w:rPr>
        <w:t xml:space="preserve">Во однос на постојната правна рамка, недостигаат правила </w:t>
      </w:r>
      <w:r>
        <w:rPr>
          <w:rFonts w:asciiTheme="minorHAnsi" w:hAnsiTheme="minorHAnsi" w:cstheme="minorHAnsi"/>
          <w:sz w:val="22"/>
          <w:szCs w:val="22"/>
          <w:lang w:val="mk-MK"/>
        </w:rPr>
        <w:t xml:space="preserve">кои ќе обезбедат реална </w:t>
      </w:r>
      <w:r w:rsidRPr="007B413E">
        <w:rPr>
          <w:rFonts w:asciiTheme="minorHAnsi" w:hAnsiTheme="minorHAnsi" w:cstheme="minorHAnsi"/>
          <w:b/>
          <w:bCs/>
          <w:sz w:val="22"/>
          <w:szCs w:val="22"/>
          <w:lang w:val="mk-MK"/>
        </w:rPr>
        <w:t>деполитизација на јавната служба</w:t>
      </w:r>
      <w:r>
        <w:rPr>
          <w:rFonts w:asciiTheme="minorHAnsi" w:hAnsiTheme="minorHAnsi" w:cstheme="minorHAnsi"/>
          <w:sz w:val="22"/>
          <w:szCs w:val="22"/>
          <w:lang w:val="mk-MK"/>
        </w:rPr>
        <w:t xml:space="preserve"> бидејќи не постои </w:t>
      </w:r>
      <w:r w:rsidRPr="007B413E">
        <w:rPr>
          <w:rFonts w:asciiTheme="minorHAnsi" w:hAnsiTheme="minorHAnsi" w:cstheme="minorHAnsi"/>
          <w:sz w:val="22"/>
          <w:szCs w:val="22"/>
          <w:lang w:val="mk-MK"/>
        </w:rPr>
        <w:t>јасна граница  помеѓу политичкото ниво на одлучување и професионалната јавна администрација</w:t>
      </w:r>
      <w:r>
        <w:rPr>
          <w:rFonts w:asciiTheme="minorHAnsi" w:hAnsiTheme="minorHAnsi" w:cstheme="minorHAnsi"/>
          <w:sz w:val="22"/>
          <w:szCs w:val="22"/>
          <w:lang w:val="mk-MK"/>
        </w:rPr>
        <w:t xml:space="preserve"> и ограничување на </w:t>
      </w:r>
      <w:r w:rsidRPr="007B413E">
        <w:rPr>
          <w:rFonts w:asciiTheme="minorHAnsi" w:hAnsiTheme="minorHAnsi" w:cstheme="minorHAnsi"/>
          <w:sz w:val="22"/>
          <w:szCs w:val="22"/>
          <w:lang w:val="mk-MK"/>
        </w:rPr>
        <w:t xml:space="preserve">дискреционото право на </w:t>
      </w:r>
      <w:r w:rsidR="002F55EA">
        <w:rPr>
          <w:rFonts w:asciiTheme="minorHAnsi" w:hAnsiTheme="minorHAnsi" w:cstheme="minorHAnsi"/>
          <w:sz w:val="22"/>
          <w:szCs w:val="22"/>
          <w:lang w:val="mk-MK"/>
        </w:rPr>
        <w:t>ВРСМ</w:t>
      </w:r>
      <w:r w:rsidR="002F55EA" w:rsidRPr="007B413E">
        <w:rPr>
          <w:rFonts w:asciiTheme="minorHAnsi" w:hAnsiTheme="minorHAnsi" w:cstheme="minorHAnsi"/>
          <w:sz w:val="22"/>
          <w:szCs w:val="22"/>
          <w:lang w:val="mk-MK"/>
        </w:rPr>
        <w:t xml:space="preserve"> </w:t>
      </w:r>
      <w:r w:rsidRPr="007B413E">
        <w:rPr>
          <w:rFonts w:asciiTheme="minorHAnsi" w:hAnsiTheme="minorHAnsi" w:cstheme="minorHAnsi"/>
          <w:sz w:val="22"/>
          <w:szCs w:val="22"/>
          <w:lang w:val="mk-MK"/>
        </w:rPr>
        <w:t xml:space="preserve">на именување и разрешување високи раководни службеници. Ваква констатација е содржана и во </w:t>
      </w:r>
      <w:r w:rsidR="002A6848">
        <w:rPr>
          <w:rFonts w:asciiTheme="minorHAnsi" w:hAnsiTheme="minorHAnsi" w:cstheme="minorHAnsi"/>
          <w:sz w:val="22"/>
          <w:szCs w:val="22"/>
          <w:lang w:val="mk-MK"/>
        </w:rPr>
        <w:t>И</w:t>
      </w:r>
      <w:r w:rsidRPr="007B413E">
        <w:rPr>
          <w:rFonts w:asciiTheme="minorHAnsi" w:hAnsiTheme="minorHAnsi" w:cstheme="minorHAnsi"/>
          <w:sz w:val="22"/>
          <w:szCs w:val="22"/>
          <w:lang w:val="mk-MK"/>
        </w:rPr>
        <w:t xml:space="preserve">звештајот </w:t>
      </w:r>
      <w:r w:rsidR="002A6848">
        <w:rPr>
          <w:rFonts w:asciiTheme="minorHAnsi" w:hAnsiTheme="minorHAnsi" w:cstheme="minorHAnsi"/>
          <w:sz w:val="22"/>
          <w:szCs w:val="22"/>
          <w:lang w:val="mk-MK"/>
        </w:rPr>
        <w:t xml:space="preserve">за мониторинг </w:t>
      </w:r>
      <w:r w:rsidRPr="007B413E">
        <w:rPr>
          <w:rFonts w:asciiTheme="minorHAnsi" w:hAnsiTheme="minorHAnsi" w:cstheme="minorHAnsi"/>
          <w:sz w:val="22"/>
          <w:szCs w:val="22"/>
          <w:lang w:val="mk-MK"/>
        </w:rPr>
        <w:t>на СИГМА од 2021 во кој е наведено дека дискреционото именување и разрешување на високите раководни службеници и понатаму е најслабата алка</w:t>
      </w:r>
      <w:r>
        <w:rPr>
          <w:rFonts w:asciiTheme="minorHAnsi" w:hAnsiTheme="minorHAnsi" w:cstheme="minorHAnsi"/>
          <w:sz w:val="22"/>
          <w:szCs w:val="22"/>
          <w:lang w:val="mk-MK"/>
        </w:rPr>
        <w:t xml:space="preserve"> во системот</w:t>
      </w:r>
      <w:r w:rsidRPr="007B413E">
        <w:rPr>
          <w:rFonts w:asciiTheme="minorHAnsi" w:hAnsiTheme="minorHAnsi" w:cstheme="minorHAnsi"/>
          <w:sz w:val="22"/>
          <w:szCs w:val="22"/>
          <w:lang w:val="mk-MK"/>
        </w:rPr>
        <w:t>. Врз основа на ЗАС или секторското законодавство, дури и да</w:t>
      </w:r>
      <w:r>
        <w:rPr>
          <w:rFonts w:asciiTheme="minorHAnsi" w:hAnsiTheme="minorHAnsi" w:cstheme="minorHAnsi"/>
          <w:sz w:val="22"/>
          <w:szCs w:val="22"/>
          <w:lang w:val="mk-MK"/>
        </w:rPr>
        <w:t xml:space="preserve"> се објавуваат</w:t>
      </w:r>
      <w:r w:rsidRPr="007B413E">
        <w:rPr>
          <w:rFonts w:asciiTheme="minorHAnsi" w:hAnsiTheme="minorHAnsi" w:cstheme="minorHAnsi"/>
          <w:sz w:val="22"/>
          <w:szCs w:val="22"/>
          <w:lang w:val="mk-MK"/>
        </w:rPr>
        <w:t xml:space="preserve"> формални јавни огласи за </w:t>
      </w:r>
      <w:r>
        <w:rPr>
          <w:rFonts w:asciiTheme="minorHAnsi" w:hAnsiTheme="minorHAnsi" w:cstheme="minorHAnsi"/>
          <w:sz w:val="22"/>
          <w:szCs w:val="22"/>
          <w:lang w:val="mk-MK"/>
        </w:rPr>
        <w:t xml:space="preserve">пополнување на највисоките раководни функции во </w:t>
      </w:r>
      <w:r w:rsidRPr="007B413E">
        <w:rPr>
          <w:rFonts w:asciiTheme="minorHAnsi" w:hAnsiTheme="minorHAnsi" w:cstheme="minorHAnsi"/>
          <w:sz w:val="22"/>
          <w:szCs w:val="22"/>
          <w:lang w:val="mk-MK"/>
        </w:rPr>
        <w:t xml:space="preserve">некои агенции, целокупниот систем на висока раководна служба не </w:t>
      </w:r>
      <w:r>
        <w:rPr>
          <w:rFonts w:asciiTheme="minorHAnsi" w:hAnsiTheme="minorHAnsi" w:cstheme="minorHAnsi"/>
          <w:sz w:val="22"/>
          <w:szCs w:val="22"/>
          <w:lang w:val="mk-MK"/>
        </w:rPr>
        <w:t xml:space="preserve">овозможува конкурентност </w:t>
      </w:r>
      <w:r w:rsidRPr="007B413E">
        <w:rPr>
          <w:rFonts w:asciiTheme="minorHAnsi" w:hAnsiTheme="minorHAnsi" w:cstheme="minorHAnsi"/>
          <w:sz w:val="22"/>
          <w:szCs w:val="22"/>
          <w:lang w:val="mk-MK"/>
        </w:rPr>
        <w:t>и не се темели на заслуги. Во оваа насока гласи и заклучокот на Институтот за Европска политика: „</w:t>
      </w:r>
      <w:r w:rsidRPr="007B413E">
        <w:rPr>
          <w:rFonts w:asciiTheme="minorHAnsi" w:hAnsiTheme="minorHAnsi" w:cstheme="minorHAnsi"/>
          <w:sz w:val="22"/>
          <w:szCs w:val="22"/>
        </w:rPr>
        <w:t>Вишите позиции на раководните државни службеници се предмет на о</w:t>
      </w:r>
      <w:r>
        <w:rPr>
          <w:rFonts w:asciiTheme="minorHAnsi" w:hAnsiTheme="minorHAnsi" w:cstheme="minorHAnsi"/>
          <w:sz w:val="22"/>
          <w:szCs w:val="22"/>
          <w:lang w:val="mk-MK"/>
        </w:rPr>
        <w:t>творено</w:t>
      </w:r>
      <w:r w:rsidRPr="007B413E">
        <w:rPr>
          <w:rFonts w:asciiTheme="minorHAnsi" w:hAnsiTheme="minorHAnsi" w:cstheme="minorHAnsi"/>
          <w:sz w:val="22"/>
          <w:szCs w:val="22"/>
        </w:rPr>
        <w:t xml:space="preserve"> дискрециски систем, кој почива на вработување и отпуштање на политичка основа.</w:t>
      </w:r>
      <w:r>
        <w:rPr>
          <w:rStyle w:val="FootnoteReference"/>
          <w:rFonts w:asciiTheme="minorHAnsi" w:hAnsiTheme="minorHAnsi" w:cstheme="minorHAnsi"/>
          <w:sz w:val="22"/>
          <w:szCs w:val="22"/>
          <w:lang w:val="mk-MK"/>
        </w:rPr>
        <w:footnoteReference w:id="48"/>
      </w:r>
    </w:p>
    <w:p w14:paraId="6A73A97E" w14:textId="63894B6C" w:rsidR="00F5796C" w:rsidRDefault="00F5796C" w:rsidP="0027372A">
      <w:pPr>
        <w:spacing w:line="276" w:lineRule="auto"/>
        <w:jc w:val="both"/>
        <w:rPr>
          <w:rFonts w:cstheme="minorHAnsi"/>
          <w:lang w:val="mk-MK"/>
        </w:rPr>
      </w:pPr>
      <w:r w:rsidRPr="007B413E">
        <w:rPr>
          <w:rFonts w:cstheme="minorHAnsi"/>
          <w:lang w:val="mk-MK"/>
        </w:rPr>
        <w:t xml:space="preserve">Во врска со </w:t>
      </w:r>
      <w:r>
        <w:rPr>
          <w:rFonts w:cstheme="minorHAnsi"/>
          <w:lang w:val="mk-MK"/>
        </w:rPr>
        <w:t>правното уредување</w:t>
      </w:r>
      <w:r w:rsidRPr="007B413E">
        <w:rPr>
          <w:rFonts w:cstheme="minorHAnsi"/>
          <w:lang w:val="mk-MK"/>
        </w:rPr>
        <w:t xml:space="preserve"> на системот</w:t>
      </w:r>
      <w:r>
        <w:rPr>
          <w:rFonts w:cstheme="minorHAnsi"/>
          <w:lang w:val="mk-MK"/>
        </w:rPr>
        <w:t xml:space="preserve"> на заслуги</w:t>
      </w:r>
      <w:r w:rsidRPr="007B413E">
        <w:rPr>
          <w:rFonts w:cstheme="minorHAnsi"/>
          <w:lang w:val="mk-MK"/>
        </w:rPr>
        <w:t xml:space="preserve"> во </w:t>
      </w:r>
      <w:r w:rsidR="002A6848">
        <w:rPr>
          <w:rFonts w:cstheme="minorHAnsi"/>
          <w:lang w:val="mk-MK"/>
        </w:rPr>
        <w:t>И</w:t>
      </w:r>
      <w:r w:rsidRPr="007B413E">
        <w:rPr>
          <w:rFonts w:cstheme="minorHAnsi"/>
          <w:lang w:val="mk-MK"/>
        </w:rPr>
        <w:t xml:space="preserve">звештајот </w:t>
      </w:r>
      <w:r w:rsidR="002A6848">
        <w:rPr>
          <w:rFonts w:cstheme="minorHAnsi"/>
          <w:lang w:val="mk-MK"/>
        </w:rPr>
        <w:t xml:space="preserve">за мониторинг </w:t>
      </w:r>
      <w:r w:rsidRPr="007B413E">
        <w:rPr>
          <w:rFonts w:cstheme="minorHAnsi"/>
          <w:lang w:val="mk-MK"/>
        </w:rPr>
        <w:t>на С</w:t>
      </w:r>
      <w:r w:rsidR="002A6848" w:rsidRPr="007B413E">
        <w:rPr>
          <w:rFonts w:cstheme="minorHAnsi"/>
          <w:lang w:val="mk-MK"/>
        </w:rPr>
        <w:t>ИГМА</w:t>
      </w:r>
      <w:r w:rsidRPr="007B413E">
        <w:rPr>
          <w:rFonts w:cstheme="minorHAnsi"/>
          <w:lang w:val="mk-MK"/>
        </w:rPr>
        <w:t xml:space="preserve"> од 2021 година се заклучува дека мериторното вработување, распоредување на работно место во пониско звање и разрешување на административните службеници е соодветно уредено. Меѓутоа, </w:t>
      </w:r>
      <w:r>
        <w:rPr>
          <w:rFonts w:cstheme="minorHAnsi"/>
          <w:lang w:val="mk-MK"/>
        </w:rPr>
        <w:t xml:space="preserve">недостасуваат одредени сегменти кои би обезбедиле конзистентна политика на вработување засновано исклучиво на професионални заслуги. Така, од една страна, зголемена е </w:t>
      </w:r>
      <w:r>
        <w:t>транспарентност</w:t>
      </w:r>
      <w:r>
        <w:rPr>
          <w:lang w:val="mk-MK"/>
        </w:rPr>
        <w:t>а</w:t>
      </w:r>
      <w:r>
        <w:t xml:space="preserve"> во постапката за селекција на нови админстративни службеници </w:t>
      </w:r>
      <w:r>
        <w:rPr>
          <w:lang w:val="mk-MK"/>
        </w:rPr>
        <w:t xml:space="preserve">што се </w:t>
      </w:r>
      <w:r>
        <w:rPr>
          <w:lang w:val="mk-MK"/>
        </w:rPr>
        <w:lastRenderedPageBreak/>
        <w:t>потврдува со намалениот број</w:t>
      </w:r>
      <w:r>
        <w:t xml:space="preserve"> на жалби и приговори поднесени од кандидатите на донесените одлуки за вработување/унапредување </w:t>
      </w:r>
      <w:r>
        <w:rPr>
          <w:lang w:val="mk-MK"/>
        </w:rPr>
        <w:t xml:space="preserve">кој во 2018 година изнесуваше </w:t>
      </w:r>
      <w:r>
        <w:t>2,2,%</w:t>
      </w:r>
      <w:r>
        <w:rPr>
          <w:lang w:val="mk-MK"/>
        </w:rPr>
        <w:t>, а во 2019 година падна</w:t>
      </w:r>
      <w:r>
        <w:t xml:space="preserve"> на 0,56%</w:t>
      </w:r>
      <w:r>
        <w:rPr>
          <w:lang w:val="mk-MK"/>
        </w:rPr>
        <w:t xml:space="preserve">. </w:t>
      </w:r>
      <w:r>
        <w:rPr>
          <w:rFonts w:cstheme="minorHAnsi"/>
          <w:lang w:val="mk-MK"/>
        </w:rPr>
        <w:t>Од друга страна пак, спроведувањето на интервју како фаза во постапката за вработување во јавната администрација се врши од страна на комисии кои според својот состав не гарантираат компетентност, објективност и стручност.</w:t>
      </w:r>
      <w:r w:rsidRPr="00CB4830">
        <w:rPr>
          <w:rFonts w:cstheme="minorHAnsi"/>
          <w:lang w:val="mk-MK"/>
        </w:rPr>
        <w:t xml:space="preserve"> </w:t>
      </w:r>
      <w:r w:rsidRPr="007B413E">
        <w:rPr>
          <w:rFonts w:cstheme="minorHAnsi"/>
          <w:lang w:val="mk-MK"/>
        </w:rPr>
        <w:t xml:space="preserve">На тој начин </w:t>
      </w:r>
      <w:r>
        <w:rPr>
          <w:rFonts w:cstheme="minorHAnsi"/>
          <w:lang w:val="mk-MK"/>
        </w:rPr>
        <w:t xml:space="preserve">се остава можност интервјуата да се употребат како механизам за постигнување на однапред испланираниот краен резултат. </w:t>
      </w:r>
    </w:p>
    <w:p w14:paraId="2BD63043" w14:textId="065D76AB" w:rsidR="0087358D" w:rsidRPr="00A51747" w:rsidRDefault="0087358D" w:rsidP="0027372A">
      <w:pPr>
        <w:spacing w:line="276" w:lineRule="auto"/>
        <w:jc w:val="both"/>
        <w:rPr>
          <w:rFonts w:cstheme="minorHAnsi"/>
        </w:rPr>
      </w:pPr>
      <w:r w:rsidRPr="0087358D">
        <w:rPr>
          <w:rFonts w:eastAsia="Times New Roman" w:cstheme="minorHAnsi"/>
          <w:color w:val="202124"/>
          <w:lang w:val="mk-MK"/>
        </w:rPr>
        <w:t>Врз основа на истиот извештај, има одредени подобрувања во родовата структура на вработените во јавниот сектор. Според регистарот на вработени в</w:t>
      </w:r>
      <w:r>
        <w:rPr>
          <w:rFonts w:eastAsia="Times New Roman" w:cstheme="minorHAnsi"/>
          <w:color w:val="202124"/>
          <w:lang w:val="mk-MK"/>
        </w:rPr>
        <w:t xml:space="preserve">о јавниот сектор, во 2021 година, </w:t>
      </w:r>
      <w:r w:rsidRPr="0087358D">
        <w:rPr>
          <w:rFonts w:eastAsia="Times New Roman" w:cstheme="minorHAnsi"/>
          <w:color w:val="202124"/>
          <w:lang w:val="mk-MK"/>
        </w:rPr>
        <w:t xml:space="preserve"> 55,3% од сите вработени во јавните служби биле жени. Сепак, жените се многу помалку застапени на највисоките раководни позиции, што претставува 14% од целокупниот раководен персонал во јуни 2022 година</w:t>
      </w:r>
      <w:r>
        <w:rPr>
          <w:rFonts w:cstheme="minorHAnsi"/>
          <w:vertAlign w:val="superscript"/>
        </w:rPr>
        <w:footnoteReference w:id="49"/>
      </w:r>
      <w:r w:rsidRPr="0087358D">
        <w:rPr>
          <w:rFonts w:eastAsia="Times New Roman" w:cstheme="minorHAnsi"/>
          <w:color w:val="202124"/>
          <w:lang w:val="mk-MK"/>
        </w:rPr>
        <w:t>. Застапеноста на жените на позициите на високи државни службеници останува релативно висока. На пример, позициите на групата Б1 (државни советници) и групата Б2 (раководители на сектори) беа земени предвид при оценувањето на овој подиндикатор: 44% од позициите се заземени од жени</w:t>
      </w:r>
      <w:r>
        <w:rPr>
          <w:rFonts w:cstheme="minorHAnsi"/>
          <w:vertAlign w:val="superscript"/>
        </w:rPr>
        <w:footnoteReference w:id="50"/>
      </w:r>
      <w:r w:rsidRPr="0087358D">
        <w:rPr>
          <w:rFonts w:eastAsia="Times New Roman" w:cstheme="minorHAnsi"/>
          <w:color w:val="202124"/>
          <w:lang w:val="mk-MK"/>
        </w:rPr>
        <w:t xml:space="preserve">. Сепак, помалку од 20% од позициите во групата А (секретари) се заземени од жени. Сепак, напредокот е помал </w:t>
      </w:r>
      <w:r w:rsidRPr="00B5617C">
        <w:rPr>
          <w:rFonts w:eastAsia="Times New Roman" w:cstheme="minorHAnsi"/>
          <w:color w:val="202124"/>
          <w:lang w:val="mk-MK"/>
        </w:rPr>
        <w:t xml:space="preserve">на </w:t>
      </w:r>
      <w:r w:rsidR="004F2FC2" w:rsidRPr="00B5617C">
        <w:rPr>
          <w:rFonts w:eastAsia="Times New Roman" w:cstheme="minorHAnsi"/>
          <w:color w:val="202124"/>
          <w:lang w:val="mk-MK"/>
        </w:rPr>
        <w:t xml:space="preserve">локално </w:t>
      </w:r>
      <w:r w:rsidRPr="00B5617C">
        <w:rPr>
          <w:rFonts w:eastAsia="Times New Roman" w:cstheme="minorHAnsi"/>
          <w:color w:val="202124"/>
          <w:lang w:val="mk-MK"/>
        </w:rPr>
        <w:t>ниво</w:t>
      </w:r>
      <w:r w:rsidRPr="0087358D">
        <w:rPr>
          <w:rFonts w:eastAsia="Times New Roman" w:cstheme="minorHAnsi"/>
          <w:color w:val="202124"/>
          <w:lang w:val="mk-MK"/>
        </w:rPr>
        <w:t xml:space="preserve"> и во донесувањето одлуки, каде што лидерството сè уште е домен на мажите.</w:t>
      </w:r>
    </w:p>
    <w:p w14:paraId="723A3EBB" w14:textId="0DC91DF9" w:rsidR="00F5796C" w:rsidRPr="007B413E" w:rsidRDefault="00F5796C" w:rsidP="0027372A">
      <w:pPr>
        <w:pStyle w:val="Para"/>
        <w:spacing w:line="276" w:lineRule="auto"/>
        <w:rPr>
          <w:rFonts w:asciiTheme="minorHAnsi" w:hAnsiTheme="minorHAnsi" w:cstheme="minorHAnsi"/>
          <w:sz w:val="22"/>
          <w:lang w:val="mk-MK"/>
        </w:rPr>
      </w:pPr>
      <w:r w:rsidRPr="007B413E">
        <w:rPr>
          <w:rFonts w:asciiTheme="minorHAnsi" w:hAnsiTheme="minorHAnsi" w:cstheme="minorHAnsi"/>
          <w:sz w:val="22"/>
          <w:lang w:val="mk-MK"/>
        </w:rPr>
        <w:t>Дополнителен проблем</w:t>
      </w:r>
      <w:r>
        <w:rPr>
          <w:rFonts w:asciiTheme="minorHAnsi" w:hAnsiTheme="minorHAnsi" w:cstheme="minorHAnsi"/>
          <w:sz w:val="22"/>
          <w:lang w:val="mk-MK"/>
        </w:rPr>
        <w:t xml:space="preserve">, </w:t>
      </w:r>
      <w:r w:rsidRPr="007B413E">
        <w:rPr>
          <w:rFonts w:asciiTheme="minorHAnsi" w:hAnsiTheme="minorHAnsi" w:cstheme="minorHAnsi"/>
          <w:sz w:val="22"/>
          <w:lang w:val="mk-MK"/>
        </w:rPr>
        <w:t xml:space="preserve">претставува примената на </w:t>
      </w:r>
      <w:r w:rsidRPr="007B413E">
        <w:rPr>
          <w:rFonts w:asciiTheme="minorHAnsi" w:hAnsiTheme="minorHAnsi" w:cstheme="minorHAnsi"/>
          <w:sz w:val="22"/>
        </w:rPr>
        <w:t>Законот за трансформација во редовен работен однос</w:t>
      </w:r>
      <w:r w:rsidRPr="007B413E">
        <w:rPr>
          <w:rFonts w:asciiTheme="minorHAnsi" w:hAnsiTheme="minorHAnsi" w:cstheme="minorHAnsi"/>
          <w:sz w:val="22"/>
          <w:lang w:val="mk-MK"/>
        </w:rPr>
        <w:t xml:space="preserve"> кој пропишува</w:t>
      </w:r>
      <w:r w:rsidRPr="007B413E">
        <w:rPr>
          <w:rFonts w:asciiTheme="minorHAnsi" w:hAnsiTheme="minorHAnsi" w:cstheme="minorHAnsi"/>
          <w:sz w:val="22"/>
        </w:rPr>
        <w:t xml:space="preserve"> овластување </w:t>
      </w:r>
      <w:r>
        <w:rPr>
          <w:rFonts w:asciiTheme="minorHAnsi" w:hAnsiTheme="minorHAnsi" w:cstheme="minorHAnsi"/>
          <w:sz w:val="22"/>
          <w:lang w:val="mk-MK"/>
        </w:rPr>
        <w:t xml:space="preserve">во јавните органи </w:t>
      </w:r>
      <w:r w:rsidRPr="007B413E">
        <w:rPr>
          <w:rFonts w:asciiTheme="minorHAnsi" w:hAnsiTheme="minorHAnsi" w:cstheme="minorHAnsi"/>
          <w:sz w:val="22"/>
        </w:rPr>
        <w:t xml:space="preserve">да се ангажираат лица на определено време, вклучително и за подолги периоди, со обезбедена согласност од </w:t>
      </w:r>
      <w:r w:rsidR="00A6312A">
        <w:rPr>
          <w:rFonts w:asciiTheme="minorHAnsi" w:hAnsiTheme="minorHAnsi" w:cstheme="minorHAnsi"/>
          <w:sz w:val="22"/>
          <w:lang w:val="mk-MK"/>
        </w:rPr>
        <w:t>МФ</w:t>
      </w:r>
      <w:r w:rsidRPr="007B413E">
        <w:rPr>
          <w:rFonts w:asciiTheme="minorHAnsi" w:hAnsiTheme="minorHAnsi" w:cstheme="minorHAnsi"/>
          <w:sz w:val="22"/>
        </w:rPr>
        <w:t>.</w:t>
      </w:r>
      <w:r>
        <w:rPr>
          <w:rFonts w:asciiTheme="minorHAnsi" w:hAnsiTheme="minorHAnsi" w:cstheme="minorHAnsi"/>
          <w:sz w:val="22"/>
          <w:lang w:val="mk-MK"/>
        </w:rPr>
        <w:t xml:space="preserve"> Лицата ангажирани во јавната администрација на овој начин, не се евидентираат во МИОА бидејќи нив не ги пријавуваат, ниту институциите во кои се ангажирани, ниту </w:t>
      </w:r>
      <w:r w:rsidR="00A6312A">
        <w:rPr>
          <w:rFonts w:asciiTheme="minorHAnsi" w:hAnsiTheme="minorHAnsi" w:cstheme="minorHAnsi"/>
          <w:sz w:val="22"/>
          <w:lang w:val="mk-MK"/>
        </w:rPr>
        <w:t>МФ</w:t>
      </w:r>
      <w:r>
        <w:rPr>
          <w:rFonts w:asciiTheme="minorHAnsi" w:hAnsiTheme="minorHAnsi" w:cstheme="minorHAnsi"/>
          <w:sz w:val="22"/>
          <w:lang w:val="mk-MK"/>
        </w:rPr>
        <w:t xml:space="preserve"> кое ги издава согласностите. </w:t>
      </w:r>
      <w:r w:rsidRPr="007B413E">
        <w:rPr>
          <w:rFonts w:asciiTheme="minorHAnsi" w:hAnsiTheme="minorHAnsi" w:cstheme="minorHAnsi"/>
          <w:sz w:val="22"/>
        </w:rPr>
        <w:t xml:space="preserve"> Користењето на агенциите за привремено вработување </w:t>
      </w:r>
      <w:r w:rsidRPr="007B413E">
        <w:rPr>
          <w:rFonts w:asciiTheme="minorHAnsi" w:hAnsiTheme="minorHAnsi" w:cstheme="minorHAnsi"/>
          <w:sz w:val="22"/>
          <w:lang w:val="mk-MK"/>
        </w:rPr>
        <w:t xml:space="preserve">претставува </w:t>
      </w:r>
      <w:r w:rsidRPr="007B413E">
        <w:rPr>
          <w:rFonts w:asciiTheme="minorHAnsi" w:hAnsiTheme="minorHAnsi" w:cstheme="minorHAnsi"/>
          <w:sz w:val="22"/>
        </w:rPr>
        <w:t>отстапување од ЗВЈС, со оглед на тоа што вработените на определено време не се обврзани да ги исполнат критериумите и се вработуваат во јавната служба без оглас</w:t>
      </w:r>
      <w:r w:rsidRPr="007B413E">
        <w:rPr>
          <w:rFonts w:asciiTheme="minorHAnsi" w:hAnsiTheme="minorHAnsi" w:cstheme="minorHAnsi"/>
          <w:sz w:val="22"/>
          <w:lang w:val="mk-MK"/>
        </w:rPr>
        <w:t>.</w:t>
      </w:r>
    </w:p>
    <w:p w14:paraId="3F8584B8" w14:textId="77777777" w:rsidR="00F5796C" w:rsidRDefault="00F5796C" w:rsidP="0027372A">
      <w:pPr>
        <w:spacing w:after="0" w:line="276" w:lineRule="auto"/>
        <w:jc w:val="both"/>
        <w:rPr>
          <w:rFonts w:cstheme="minorHAnsi"/>
          <w:lang w:val="mk-MK"/>
        </w:rPr>
      </w:pPr>
      <w:r>
        <w:rPr>
          <w:rFonts w:cstheme="minorHAnsi"/>
          <w:lang w:val="mk-MK"/>
        </w:rPr>
        <w:t xml:space="preserve">Законитоста на </w:t>
      </w:r>
      <w:r w:rsidRPr="007B413E">
        <w:rPr>
          <w:rFonts w:cstheme="minorHAnsi"/>
          <w:b/>
          <w:bCs/>
          <w:lang w:val="mk-MK"/>
        </w:rPr>
        <w:t>отпуштања</w:t>
      </w:r>
      <w:r>
        <w:rPr>
          <w:rFonts w:cstheme="minorHAnsi"/>
          <w:b/>
          <w:bCs/>
          <w:lang w:val="mk-MK"/>
        </w:rPr>
        <w:t>та</w:t>
      </w:r>
      <w:r w:rsidRPr="007B413E">
        <w:rPr>
          <w:rFonts w:cstheme="minorHAnsi"/>
          <w:b/>
          <w:bCs/>
          <w:lang w:val="mk-MK"/>
        </w:rPr>
        <w:t xml:space="preserve"> во јавната служба</w:t>
      </w:r>
      <w:r w:rsidRPr="007B413E">
        <w:rPr>
          <w:rFonts w:cstheme="minorHAnsi"/>
          <w:lang w:val="mk-MK"/>
        </w:rPr>
        <w:t xml:space="preserve"> </w:t>
      </w:r>
      <w:r>
        <w:rPr>
          <w:rFonts w:cstheme="minorHAnsi"/>
          <w:lang w:val="mk-MK"/>
        </w:rPr>
        <w:t xml:space="preserve">е доведена под прашање бидејќи Агенцијата за администрација не располага со точниот број и вид на судски пресуди со кои решенијата за отпуштање се потврдени, укинати, поништени или преиначени од страна на судовите. Годишните извештаи за работа на судовите не генерираат вакви издвоени податоци за бројот и видот на пресуди од работни спорови кои се однесуваат на отпуштања од јавната администрација. </w:t>
      </w:r>
    </w:p>
    <w:p w14:paraId="00415932" w14:textId="77777777" w:rsidR="00F5796C" w:rsidRPr="007B413E" w:rsidRDefault="00F5796C" w:rsidP="0027372A">
      <w:pPr>
        <w:spacing w:after="0" w:line="276" w:lineRule="auto"/>
        <w:jc w:val="both"/>
        <w:rPr>
          <w:rFonts w:cstheme="minorHAnsi"/>
          <w:lang w:val="mk-MK"/>
        </w:rPr>
      </w:pPr>
    </w:p>
    <w:p w14:paraId="6607782D" w14:textId="77777777" w:rsidR="00F5796C" w:rsidRDefault="00F5796C" w:rsidP="0027372A">
      <w:pPr>
        <w:spacing w:after="0" w:line="276" w:lineRule="auto"/>
        <w:jc w:val="both"/>
        <w:rPr>
          <w:rFonts w:cstheme="minorHAnsi"/>
          <w:lang w:val="mk-MK"/>
        </w:rPr>
      </w:pPr>
      <w:r w:rsidRPr="007B413E">
        <w:rPr>
          <w:rFonts w:cstheme="minorHAnsi"/>
          <w:lang w:val="mk-MK"/>
        </w:rPr>
        <w:t xml:space="preserve">Поддршката што институциите им ја даваат на </w:t>
      </w:r>
      <w:r w:rsidRPr="007B413E">
        <w:rPr>
          <w:rFonts w:cstheme="minorHAnsi"/>
          <w:b/>
          <w:bCs/>
          <w:lang w:val="mk-MK"/>
        </w:rPr>
        <w:t>единици</w:t>
      </w:r>
      <w:r>
        <w:rPr>
          <w:rFonts w:cstheme="minorHAnsi"/>
          <w:b/>
          <w:bCs/>
          <w:lang w:val="mk-MK"/>
        </w:rPr>
        <w:t>те</w:t>
      </w:r>
      <w:r w:rsidRPr="007B413E">
        <w:rPr>
          <w:rFonts w:cstheme="minorHAnsi"/>
          <w:b/>
          <w:bCs/>
          <w:lang w:val="mk-MK"/>
        </w:rPr>
        <w:t xml:space="preserve"> за управување со човечки ресурси</w:t>
      </w:r>
      <w:r w:rsidRPr="007B413E">
        <w:rPr>
          <w:rFonts w:cstheme="minorHAnsi"/>
          <w:lang w:val="mk-MK"/>
        </w:rPr>
        <w:t xml:space="preserve"> </w:t>
      </w:r>
      <w:r>
        <w:rPr>
          <w:rFonts w:cstheme="minorHAnsi"/>
          <w:lang w:val="mk-MK"/>
        </w:rPr>
        <w:t xml:space="preserve">во органите на државната управа </w:t>
      </w:r>
      <w:r w:rsidRPr="007B413E">
        <w:rPr>
          <w:rFonts w:cstheme="minorHAnsi"/>
          <w:lang w:val="mk-MK"/>
        </w:rPr>
        <w:t xml:space="preserve">и покрај преземените напори, се уште е слаба. Често, овие организациони единици имаат голем број испразнети места, а нивниот делокруг на работа се поистоветува со вршење на „општи  правни работи“ односно оперативно технички активности. </w:t>
      </w:r>
      <w:r>
        <w:rPr>
          <w:rFonts w:cstheme="minorHAnsi"/>
          <w:lang w:val="mk-MK"/>
        </w:rPr>
        <w:t xml:space="preserve">Така, само во министерствата како органи на државната управа реализирани се помалку од 50% од систематизираните вработувања во организационите единици за човечки ресурси, односно од </w:t>
      </w:r>
      <w:r>
        <w:rPr>
          <w:rFonts w:cstheme="minorHAnsi"/>
          <w:lang w:val="mk-MK"/>
        </w:rPr>
        <w:lastRenderedPageBreak/>
        <w:t xml:space="preserve">вкупно систематизирани </w:t>
      </w:r>
      <w:r>
        <w:rPr>
          <w:rFonts w:cstheme="minorHAnsi"/>
        </w:rPr>
        <w:t xml:space="preserve">242 </w:t>
      </w:r>
      <w:r>
        <w:rPr>
          <w:rFonts w:cstheme="minorHAnsi"/>
          <w:lang w:val="mk-MK"/>
        </w:rPr>
        <w:t xml:space="preserve">работни места во овие организациони единици, пополнети се само </w:t>
      </w:r>
      <w:r>
        <w:rPr>
          <w:rFonts w:cstheme="minorHAnsi"/>
        </w:rPr>
        <w:t xml:space="preserve">118. </w:t>
      </w:r>
      <w:r w:rsidRPr="007B413E">
        <w:rPr>
          <w:rFonts w:cstheme="minorHAnsi"/>
          <w:lang w:val="mk-MK"/>
        </w:rPr>
        <w:t xml:space="preserve">Отсуствува реално креирање на кадровски политики за потребите на институцијата спроведено од страна на </w:t>
      </w:r>
      <w:r>
        <w:rPr>
          <w:rFonts w:cstheme="minorHAnsi"/>
          <w:lang w:val="mk-MK"/>
        </w:rPr>
        <w:t xml:space="preserve">стручни кадри </w:t>
      </w:r>
      <w:r w:rsidRPr="007B413E">
        <w:rPr>
          <w:rFonts w:cstheme="minorHAnsi"/>
          <w:lang w:val="mk-MK"/>
        </w:rPr>
        <w:t>вработени во организационите единици за управување со човечки ресурси.</w:t>
      </w:r>
    </w:p>
    <w:p w14:paraId="479A4C36" w14:textId="77777777" w:rsidR="00F5796C" w:rsidRDefault="00F5796C" w:rsidP="00F5796C">
      <w:pPr>
        <w:spacing w:after="0" w:line="240" w:lineRule="auto"/>
        <w:jc w:val="both"/>
        <w:rPr>
          <w:rFonts w:cstheme="minorHAnsi"/>
          <w:lang w:val="mk-MK"/>
        </w:rPr>
      </w:pPr>
    </w:p>
    <w:p w14:paraId="056A9122" w14:textId="77777777" w:rsidR="00F5796C" w:rsidRPr="00697E99" w:rsidRDefault="00F5796C" w:rsidP="00F5796C">
      <w:pPr>
        <w:spacing w:after="0" w:line="240" w:lineRule="auto"/>
        <w:jc w:val="both"/>
        <w:rPr>
          <w:rFonts w:cstheme="minorHAnsi"/>
          <w:b/>
          <w:bCs/>
          <w:lang w:val="mk-MK"/>
        </w:rPr>
      </w:pPr>
      <w:r w:rsidRPr="00697E99">
        <w:rPr>
          <w:rFonts w:cstheme="minorHAnsi"/>
          <w:b/>
          <w:bCs/>
          <w:lang w:val="mk-MK"/>
        </w:rPr>
        <w:t>Стручно усовршување и наградување</w:t>
      </w:r>
    </w:p>
    <w:p w14:paraId="644E6CD6" w14:textId="77777777" w:rsidR="00F5796C" w:rsidRPr="007B413E" w:rsidRDefault="00F5796C" w:rsidP="00F5796C">
      <w:pPr>
        <w:spacing w:after="0" w:line="240" w:lineRule="auto"/>
        <w:jc w:val="both"/>
        <w:rPr>
          <w:rFonts w:cstheme="minorHAnsi"/>
          <w:lang w:val="mk-MK"/>
        </w:rPr>
      </w:pPr>
    </w:p>
    <w:p w14:paraId="2899C0BF" w14:textId="3BE422DE" w:rsidR="0027372A" w:rsidRDefault="00F5796C" w:rsidP="0027372A">
      <w:pPr>
        <w:spacing w:after="120" w:line="276" w:lineRule="auto"/>
        <w:jc w:val="both"/>
        <w:rPr>
          <w:rFonts w:cstheme="minorHAnsi"/>
          <w:lang w:val="mk-MK"/>
        </w:rPr>
      </w:pPr>
      <w:r w:rsidRPr="007B413E">
        <w:rPr>
          <w:rFonts w:cstheme="minorHAnsi"/>
          <w:lang w:val="mk-MK"/>
        </w:rPr>
        <w:t xml:space="preserve">Потребни се повеќе напори во правец на </w:t>
      </w:r>
      <w:r w:rsidRPr="007B413E">
        <w:rPr>
          <w:rFonts w:cstheme="minorHAnsi"/>
          <w:b/>
          <w:bCs/>
          <w:lang w:val="mk-MK"/>
        </w:rPr>
        <w:t xml:space="preserve">професионализација </w:t>
      </w:r>
      <w:r w:rsidRPr="007B413E">
        <w:rPr>
          <w:rFonts w:cstheme="minorHAnsi"/>
          <w:lang w:val="mk-MK"/>
        </w:rPr>
        <w:t>на административните службеници и нивна стручна надградба.  Академија</w:t>
      </w:r>
      <w:r>
        <w:rPr>
          <w:rFonts w:cstheme="minorHAnsi"/>
          <w:lang w:val="mk-MK"/>
        </w:rPr>
        <w:t xml:space="preserve">та </w:t>
      </w:r>
      <w:r w:rsidR="009F043C">
        <w:rPr>
          <w:rFonts w:cstheme="minorHAnsi"/>
          <w:lang w:val="mk-MK"/>
        </w:rPr>
        <w:t xml:space="preserve">за стручно усовршување </w:t>
      </w:r>
      <w:r>
        <w:rPr>
          <w:rFonts w:cstheme="minorHAnsi"/>
          <w:lang w:val="mk-MK"/>
        </w:rPr>
        <w:t xml:space="preserve"> во рамките на МИОА</w:t>
      </w:r>
      <w:r w:rsidRPr="007B413E">
        <w:rPr>
          <w:rFonts w:cstheme="minorHAnsi"/>
          <w:lang w:val="mk-MK"/>
        </w:rPr>
        <w:t xml:space="preserve"> не ги задоволува потребите на вистински центар за</w:t>
      </w:r>
      <w:r>
        <w:rPr>
          <w:rFonts w:cstheme="minorHAnsi"/>
          <w:lang w:val="mk-MK"/>
        </w:rPr>
        <w:t xml:space="preserve"> професионален развој на администрацијата</w:t>
      </w:r>
      <w:r w:rsidRPr="007B413E">
        <w:rPr>
          <w:rFonts w:cstheme="minorHAnsi"/>
          <w:lang w:val="mk-MK"/>
        </w:rPr>
        <w:t xml:space="preserve">. Дополнително, </w:t>
      </w:r>
      <w:r>
        <w:rPr>
          <w:rFonts w:cstheme="minorHAnsi"/>
          <w:lang w:val="mk-MK"/>
        </w:rPr>
        <w:t xml:space="preserve">одреден број на </w:t>
      </w:r>
      <w:r w:rsidRPr="007B413E">
        <w:rPr>
          <w:rFonts w:cstheme="minorHAnsi"/>
          <w:lang w:val="mk-MK"/>
        </w:rPr>
        <w:t xml:space="preserve">државни институции спроведува обуки </w:t>
      </w:r>
      <w:r>
        <w:rPr>
          <w:rFonts w:cstheme="minorHAnsi"/>
          <w:lang w:val="mk-MK"/>
        </w:rPr>
        <w:t xml:space="preserve">во </w:t>
      </w:r>
      <w:r w:rsidRPr="007B413E">
        <w:rPr>
          <w:rFonts w:cstheme="minorHAnsi"/>
          <w:lang w:val="mk-MK"/>
        </w:rPr>
        <w:t xml:space="preserve">различни </w:t>
      </w:r>
      <w:r>
        <w:rPr>
          <w:rFonts w:cstheme="minorHAnsi"/>
          <w:lang w:val="mk-MK"/>
        </w:rPr>
        <w:t>области</w:t>
      </w:r>
      <w:r w:rsidRPr="007B413E">
        <w:rPr>
          <w:rFonts w:cstheme="minorHAnsi"/>
          <w:lang w:val="mk-MK"/>
        </w:rPr>
        <w:t>. Оваа состојба предизвикува тешкотии во систематиз</w:t>
      </w:r>
      <w:r w:rsidR="009F043C">
        <w:rPr>
          <w:rFonts w:cstheme="minorHAnsi"/>
          <w:lang w:val="mk-MK"/>
        </w:rPr>
        <w:t>ираноста</w:t>
      </w:r>
      <w:r w:rsidRPr="007B413E">
        <w:rPr>
          <w:rFonts w:cstheme="minorHAnsi"/>
          <w:lang w:val="mk-MK"/>
        </w:rPr>
        <w:t xml:space="preserve"> на понудените обуки и изведувачи. </w:t>
      </w:r>
      <w:r>
        <w:rPr>
          <w:rFonts w:cstheme="minorHAnsi"/>
          <w:lang w:val="mk-MK"/>
        </w:rPr>
        <w:t xml:space="preserve">Постои </w:t>
      </w:r>
      <w:r w:rsidRPr="007B413E">
        <w:rPr>
          <w:rFonts w:cstheme="minorHAnsi"/>
          <w:lang w:val="mk-MK"/>
        </w:rPr>
        <w:t xml:space="preserve">недостаток на просторни, технички и финансиски </w:t>
      </w:r>
      <w:r>
        <w:rPr>
          <w:rFonts w:cstheme="minorHAnsi"/>
          <w:lang w:val="mk-MK"/>
        </w:rPr>
        <w:t xml:space="preserve">ресурси </w:t>
      </w:r>
      <w:r w:rsidRPr="007B413E">
        <w:rPr>
          <w:rFonts w:cstheme="minorHAnsi"/>
          <w:lang w:val="mk-MK"/>
        </w:rPr>
        <w:t>за систематско и централизирано изведување на обуките, а не се  регулирани ниту статусот, правата и обврските на обучувачите</w:t>
      </w:r>
      <w:r w:rsidRPr="00AF5FDF">
        <w:rPr>
          <w:rFonts w:cstheme="minorHAnsi"/>
          <w:lang w:val="mk-MK"/>
        </w:rPr>
        <w:t xml:space="preserve"> </w:t>
      </w:r>
      <w:r w:rsidRPr="007B413E">
        <w:rPr>
          <w:rFonts w:cstheme="minorHAnsi"/>
          <w:lang w:val="mk-MK"/>
        </w:rPr>
        <w:t xml:space="preserve">на </w:t>
      </w:r>
      <w:r>
        <w:rPr>
          <w:rFonts w:cstheme="minorHAnsi"/>
          <w:lang w:val="mk-MK"/>
        </w:rPr>
        <w:t>у</w:t>
      </w:r>
      <w:r w:rsidRPr="007B413E">
        <w:rPr>
          <w:rFonts w:cstheme="minorHAnsi"/>
          <w:lang w:val="mk-MK"/>
        </w:rPr>
        <w:t xml:space="preserve">нифициран начин. </w:t>
      </w:r>
    </w:p>
    <w:p w14:paraId="64CFC0D2" w14:textId="700A9A07" w:rsidR="00F5796C" w:rsidRDefault="00F5796C" w:rsidP="0027372A">
      <w:pPr>
        <w:spacing w:line="276" w:lineRule="auto"/>
        <w:jc w:val="both"/>
        <w:rPr>
          <w:lang w:val="mk-MK"/>
        </w:rPr>
      </w:pPr>
      <w:r w:rsidRPr="007B413E">
        <w:rPr>
          <w:rFonts w:cstheme="minorHAnsi"/>
          <w:lang w:val="mk-MK"/>
        </w:rPr>
        <w:t xml:space="preserve">Од аспект на ефикасност, искуството покажа дека полезен начин за реализација на стручното усовршување е учењето по електронски пат. </w:t>
      </w:r>
      <w:r>
        <w:rPr>
          <w:lang w:val="mk-MK"/>
        </w:rPr>
        <w:t xml:space="preserve">Согласно ЗАС, МИОА донесува Годишна програма за генерички обуки која содржи 14 тематски  обуки за развој на општи компетенции. За сите нив се развиени е-обуки во ЛМС ( </w:t>
      </w:r>
      <w:r>
        <w:t>LMS-Learning Management System</w:t>
      </w:r>
      <w:r>
        <w:rPr>
          <w:lang w:val="mk-MK"/>
        </w:rPr>
        <w:t xml:space="preserve">-систем за управување со учење), како и е-обука за Административно управување. Дополнително на овие (законски задолжителни) во ЛМС има и 4 обуки од други области за работата во администрацијата. Факт кој оди во прилог на користење на ЛМС е дека заклучно со </w:t>
      </w:r>
      <w:r w:rsidRPr="00765BEA">
        <w:rPr>
          <w:lang w:val="mk-MK"/>
        </w:rPr>
        <w:t>2020 година вкупно 99 институции на државна управа, 54 единици на локалната самоуправа и Град Скопје, и 37 институции од јавен сектор се регистрирани во овој систем</w:t>
      </w:r>
      <w:r w:rsidR="00D6016A">
        <w:rPr>
          <w:lang w:val="mk-MK"/>
        </w:rPr>
        <w:t xml:space="preserve">, а </w:t>
      </w:r>
      <w:r>
        <w:rPr>
          <w:lang w:val="mk-MK"/>
        </w:rPr>
        <w:t>вкуп</w:t>
      </w:r>
      <w:r w:rsidR="00D6016A">
        <w:rPr>
          <w:lang w:val="mk-MK"/>
        </w:rPr>
        <w:t xml:space="preserve">ниот </w:t>
      </w:r>
      <w:r>
        <w:rPr>
          <w:lang w:val="mk-MK"/>
        </w:rPr>
        <w:t>број на  корисници административни службеници</w:t>
      </w:r>
      <w:r>
        <w:t xml:space="preserve"> </w:t>
      </w:r>
      <w:r w:rsidR="00D6016A">
        <w:rPr>
          <w:lang w:val="mk-MK"/>
        </w:rPr>
        <w:t xml:space="preserve">е </w:t>
      </w:r>
      <w:r>
        <w:rPr>
          <w:lang w:val="mk-MK"/>
        </w:rPr>
        <w:t>10.493</w:t>
      </w:r>
      <w:r w:rsidRPr="00525E9C">
        <w:rPr>
          <w:lang w:val="mk-MK"/>
        </w:rPr>
        <w:t>.</w:t>
      </w:r>
    </w:p>
    <w:p w14:paraId="084AE546" w14:textId="77777777" w:rsidR="0087358D" w:rsidRPr="00A46CD5" w:rsidRDefault="0087358D" w:rsidP="0087358D">
      <w:pPr>
        <w:spacing w:line="276" w:lineRule="auto"/>
        <w:jc w:val="both"/>
        <w:rPr>
          <w:rFonts w:eastAsia="Times New Roman" w:cstheme="minorHAnsi"/>
          <w:color w:val="202124"/>
          <w:lang w:val="mk-MK"/>
        </w:rPr>
      </w:pPr>
      <w:r w:rsidRPr="00A46CD5">
        <w:rPr>
          <w:rFonts w:eastAsia="Times New Roman" w:cstheme="minorHAnsi"/>
          <w:color w:val="202124"/>
          <w:lang w:val="mk-MK"/>
        </w:rPr>
        <w:t>На државните службеници кои работат како координатори за еднакви можности во министерствата и локалните самоуправи, овие задачи и улоги не се признати во класификацијата на работните места, ниту пак овие работни места се систематизирани и стандардизирани.</w:t>
      </w:r>
    </w:p>
    <w:p w14:paraId="1125174D" w14:textId="5F150244" w:rsidR="00F5796C" w:rsidRDefault="00F5796C" w:rsidP="0027372A">
      <w:pPr>
        <w:spacing w:line="276" w:lineRule="auto"/>
        <w:jc w:val="both"/>
        <w:rPr>
          <w:lang w:val="mk-MK"/>
        </w:rPr>
      </w:pPr>
      <w:r>
        <w:rPr>
          <w:lang w:val="mk-MK"/>
        </w:rPr>
        <w:t xml:space="preserve">Но, овој електронски </w:t>
      </w:r>
      <w:r w:rsidRPr="00B5617C">
        <w:rPr>
          <w:lang w:val="mk-MK"/>
        </w:rPr>
        <w:t xml:space="preserve">систем </w:t>
      </w:r>
      <w:r w:rsidR="00D6016A" w:rsidRPr="00B5617C">
        <w:rPr>
          <w:lang w:val="mk-MK"/>
        </w:rPr>
        <w:t xml:space="preserve">за е-учење </w:t>
      </w:r>
      <w:r w:rsidRPr="00B5617C">
        <w:rPr>
          <w:lang w:val="mk-MK"/>
        </w:rPr>
        <w:t>е</w:t>
      </w:r>
      <w:r>
        <w:rPr>
          <w:lang w:val="mk-MK"/>
        </w:rPr>
        <w:t xml:space="preserve"> веќе застарен што резултира со ограничени перформанси и намален број на корисници, а за негово комплетно унапредување недостасуваат финансиски средства.</w:t>
      </w:r>
      <w:r>
        <w:rPr>
          <w:rStyle w:val="FootnoteReference"/>
          <w:lang w:val="mk-MK"/>
        </w:rPr>
        <w:footnoteReference w:id="51"/>
      </w:r>
    </w:p>
    <w:p w14:paraId="597C867E" w14:textId="3A1A65C2" w:rsidR="0087358D" w:rsidRPr="00A46CD5" w:rsidRDefault="00F5796C" w:rsidP="0087358D">
      <w:pPr>
        <w:spacing w:line="276" w:lineRule="auto"/>
        <w:jc w:val="both"/>
        <w:rPr>
          <w:rFonts w:cstheme="minorHAnsi"/>
        </w:rPr>
      </w:pPr>
      <w:r w:rsidRPr="007B413E">
        <w:rPr>
          <w:rFonts w:cstheme="minorHAnsi"/>
          <w:b/>
          <w:bCs/>
          <w:lang w:val="mk-MK"/>
        </w:rPr>
        <w:t xml:space="preserve">Системот на плати </w:t>
      </w:r>
      <w:r w:rsidRPr="007B413E">
        <w:rPr>
          <w:rFonts w:cstheme="minorHAnsi"/>
          <w:lang w:val="mk-MK"/>
        </w:rPr>
        <w:t xml:space="preserve">е неконзистентен, платите се невоедначени и уредени со различни прописи бидејќи ЗАС ги уредува платите само на административните службеници, а платите </w:t>
      </w:r>
      <w:r>
        <w:rPr>
          <w:rFonts w:cstheme="minorHAnsi"/>
          <w:lang w:val="mk-MK"/>
        </w:rPr>
        <w:t>на</w:t>
      </w:r>
      <w:r w:rsidRPr="007B413E">
        <w:rPr>
          <w:rFonts w:cstheme="minorHAnsi"/>
          <w:lang w:val="mk-MK"/>
        </w:rPr>
        <w:t xml:space="preserve"> останатите </w:t>
      </w:r>
      <w:r w:rsidRPr="007B413E">
        <w:rPr>
          <w:rFonts w:cstheme="minorHAnsi"/>
          <w:lang w:val="mk-MK"/>
        </w:rPr>
        <w:lastRenderedPageBreak/>
        <w:t>вработени во јавниот сектор се уредени со посебни закони и колективни договори. Изминатиот период се случуваше фрагментарно зголемување на плати на разни категории вработени во јавниот сектор што ја зголемува не</w:t>
      </w:r>
      <w:r w:rsidR="0079725F">
        <w:rPr>
          <w:rFonts w:cstheme="minorHAnsi"/>
          <w:lang w:val="mk-MK"/>
        </w:rPr>
        <w:t>воедначе</w:t>
      </w:r>
      <w:r w:rsidRPr="007B413E">
        <w:rPr>
          <w:rFonts w:cstheme="minorHAnsi"/>
          <w:lang w:val="mk-MK"/>
        </w:rPr>
        <w:t>носта на си</w:t>
      </w:r>
      <w:r>
        <w:rPr>
          <w:rFonts w:cstheme="minorHAnsi"/>
          <w:lang w:val="mk-MK"/>
        </w:rPr>
        <w:t>с</w:t>
      </w:r>
      <w:r w:rsidRPr="007B413E">
        <w:rPr>
          <w:rFonts w:cstheme="minorHAnsi"/>
          <w:lang w:val="mk-MK"/>
        </w:rPr>
        <w:t xml:space="preserve">темот, но </w:t>
      </w:r>
      <w:r w:rsidR="0079725F">
        <w:rPr>
          <w:rFonts w:cstheme="minorHAnsi"/>
          <w:lang w:val="mk-MK"/>
        </w:rPr>
        <w:t xml:space="preserve">предизвикува </w:t>
      </w:r>
      <w:r w:rsidRPr="007B413E">
        <w:rPr>
          <w:rFonts w:cstheme="minorHAnsi"/>
          <w:lang w:val="mk-MK"/>
        </w:rPr>
        <w:t>и демотивацијата на вработените во јавната служба што резултира со нејзи</w:t>
      </w:r>
      <w:r>
        <w:rPr>
          <w:rFonts w:cstheme="minorHAnsi"/>
          <w:lang w:val="mk-MK"/>
        </w:rPr>
        <w:t>н</w:t>
      </w:r>
      <w:r w:rsidRPr="007B413E">
        <w:rPr>
          <w:rFonts w:cstheme="minorHAnsi"/>
          <w:lang w:val="mk-MK"/>
        </w:rPr>
        <w:t>о напуштање</w:t>
      </w:r>
      <w:r>
        <w:rPr>
          <w:rFonts w:cstheme="minorHAnsi"/>
          <w:lang w:val="mk-MK"/>
        </w:rPr>
        <w:t>.</w:t>
      </w:r>
      <w:r w:rsidR="0087358D" w:rsidRPr="0087358D">
        <w:rPr>
          <w:rFonts w:eastAsia="Times New Roman" w:cstheme="minorHAnsi"/>
          <w:color w:val="202124"/>
          <w:lang w:val="mk-MK"/>
        </w:rPr>
        <w:t xml:space="preserve"> </w:t>
      </w:r>
    </w:p>
    <w:p w14:paraId="0EEBB03E" w14:textId="77777777" w:rsidR="00F5796C" w:rsidRPr="007B413E" w:rsidRDefault="00F5796C" w:rsidP="0027372A">
      <w:pPr>
        <w:spacing w:after="0" w:line="276" w:lineRule="auto"/>
        <w:jc w:val="both"/>
        <w:rPr>
          <w:rFonts w:cstheme="minorHAnsi"/>
          <w:lang w:val="mk-MK"/>
        </w:rPr>
      </w:pPr>
    </w:p>
    <w:p w14:paraId="02D4FC3D" w14:textId="77777777" w:rsidR="00F5796C" w:rsidRPr="007B413E" w:rsidRDefault="00F5796C" w:rsidP="00F5796C">
      <w:pPr>
        <w:spacing w:after="0" w:line="240" w:lineRule="auto"/>
        <w:jc w:val="both"/>
        <w:rPr>
          <w:rFonts w:cstheme="minorHAnsi"/>
          <w:lang w:val="mk-MK"/>
        </w:rPr>
      </w:pPr>
    </w:p>
    <w:p w14:paraId="10FDCE85" w14:textId="2CAB5A54" w:rsidR="00F5796C" w:rsidRDefault="00F5796C" w:rsidP="00F5796C">
      <w:pPr>
        <w:pStyle w:val="Heading2"/>
        <w:numPr>
          <w:ilvl w:val="1"/>
          <w:numId w:val="1"/>
        </w:numPr>
        <w:rPr>
          <w:lang w:val="mk-MK"/>
        </w:rPr>
      </w:pPr>
      <w:r>
        <w:rPr>
          <w:lang w:val="mk-MK"/>
        </w:rPr>
        <w:t>При</w:t>
      </w:r>
      <w:r w:rsidR="0027372A">
        <w:rPr>
          <w:lang w:val="mk-MK"/>
        </w:rPr>
        <w:t>о</w:t>
      </w:r>
      <w:r>
        <w:rPr>
          <w:lang w:val="mk-MK"/>
        </w:rPr>
        <w:t>р</w:t>
      </w:r>
      <w:r w:rsidR="0027372A">
        <w:rPr>
          <w:lang w:val="mk-MK"/>
        </w:rPr>
        <w:t>и</w:t>
      </w:r>
      <w:r>
        <w:rPr>
          <w:lang w:val="mk-MK"/>
        </w:rPr>
        <w:t>тетна област 3: Одговорност, отчетност и транспарентност</w:t>
      </w:r>
    </w:p>
    <w:p w14:paraId="13FBE79E" w14:textId="52116900" w:rsidR="00F5796C" w:rsidRDefault="00F5796C" w:rsidP="00F5796C">
      <w:pPr>
        <w:rPr>
          <w:lang w:val="mk-MK"/>
        </w:rPr>
      </w:pPr>
    </w:p>
    <w:p w14:paraId="7818F175" w14:textId="77777777" w:rsidR="00F5796C" w:rsidRPr="00D6016A" w:rsidRDefault="00F5796C" w:rsidP="00F5796C">
      <w:pPr>
        <w:spacing w:after="0"/>
        <w:rPr>
          <w:b/>
          <w:bCs/>
          <w:lang w:val="mk-MK"/>
        </w:rPr>
      </w:pPr>
      <w:r w:rsidRPr="00D6016A">
        <w:rPr>
          <w:b/>
          <w:bCs/>
          <w:lang w:val="mk-MK"/>
        </w:rPr>
        <w:t>Институционална организација на извршната власт, одговорност и отчетност</w:t>
      </w:r>
    </w:p>
    <w:p w14:paraId="6FF3FE1A" w14:textId="77777777" w:rsidR="00F5796C" w:rsidRDefault="00F5796C" w:rsidP="00F5796C">
      <w:pPr>
        <w:spacing w:after="0"/>
        <w:rPr>
          <w:b/>
          <w:bCs/>
          <w:lang w:val="mk-MK"/>
        </w:rPr>
      </w:pPr>
    </w:p>
    <w:p w14:paraId="7E6826B3" w14:textId="79F08E41" w:rsidR="00F5796C" w:rsidRDefault="00F5796C" w:rsidP="00F5796C">
      <w:pPr>
        <w:spacing w:after="0"/>
        <w:jc w:val="both"/>
        <w:rPr>
          <w:lang w:val="mk-MK"/>
        </w:rPr>
      </w:pPr>
      <w:r>
        <w:rPr>
          <w:b/>
          <w:bCs/>
          <w:lang w:val="mk-MK"/>
        </w:rPr>
        <w:t>Правната рамка</w:t>
      </w:r>
      <w:r>
        <w:rPr>
          <w:lang w:val="mk-MK"/>
        </w:rPr>
        <w:t xml:space="preserve"> со која се уредуваат организацијата и работењето (формирањето, организационата поставеност, принципите на работа и надлежностите) на министерствата и другите органи на државната управа како што се агенциите, инспекциските служби, управите, бироата, дирекциите, советите и комисиите  како дел од извршната власт ја сочинуваат ЗОРОДУ</w:t>
      </w:r>
      <w:r>
        <w:rPr>
          <w:rStyle w:val="FootnoteReference"/>
          <w:lang w:val="mk-MK"/>
        </w:rPr>
        <w:footnoteReference w:id="52"/>
      </w:r>
      <w:r>
        <w:rPr>
          <w:lang w:val="mk-MK"/>
        </w:rPr>
        <w:t xml:space="preserve">, но и голем број посебни закони. Со оглед на фактот што ЗОРОДУ е системски закон за чие донесување е потребно двотретинско мнозинство во </w:t>
      </w:r>
      <w:r w:rsidR="001D1515">
        <w:rPr>
          <w:lang w:val="mk-MK"/>
        </w:rPr>
        <w:t>СРСМ</w:t>
      </w:r>
      <w:r>
        <w:rPr>
          <w:lang w:val="mk-MK"/>
        </w:rPr>
        <w:t xml:space="preserve">, надлежните органи често го заобиколуваат овој правен акт и наспроти принципот на владеење на правото, по пат на нетранспарентно, непланско, несистематско и неконсеквентно носење и менување на посебните закони ги формираат, менуваат или укинуваат органите на државната управа. </w:t>
      </w:r>
    </w:p>
    <w:p w14:paraId="7CA19995" w14:textId="77777777" w:rsidR="00F5796C" w:rsidRDefault="00F5796C" w:rsidP="00F5796C">
      <w:pPr>
        <w:spacing w:after="0"/>
        <w:jc w:val="both"/>
        <w:rPr>
          <w:lang w:val="mk-MK"/>
        </w:rPr>
      </w:pPr>
    </w:p>
    <w:p w14:paraId="5E8DF35F" w14:textId="77777777" w:rsidR="00F5796C" w:rsidRDefault="00F5796C" w:rsidP="00F5796C">
      <w:pPr>
        <w:spacing w:after="0"/>
        <w:jc w:val="both"/>
        <w:rPr>
          <w:lang w:val="mk-MK"/>
        </w:rPr>
      </w:pPr>
      <w:r>
        <w:rPr>
          <w:lang w:val="mk-MK"/>
        </w:rPr>
        <w:t>Ваквата институционална организација на извршната власт ги дерогира основните организациски принципи за работа на државната управа како што се хиерархија, субординација, одговорност  и принципот на ресорско работење. Тоа предизвикува често менување на законите без спроведување на процесот на ПВР и без учество на заинтересираните страни при нивната подготовка.</w:t>
      </w:r>
    </w:p>
    <w:p w14:paraId="06BE624D" w14:textId="77777777" w:rsidR="00F5796C" w:rsidRDefault="00F5796C" w:rsidP="00F5796C">
      <w:pPr>
        <w:spacing w:after="0"/>
        <w:jc w:val="both"/>
        <w:rPr>
          <w:lang w:val="mk-MK"/>
        </w:rPr>
      </w:pPr>
    </w:p>
    <w:p w14:paraId="50CDCED5" w14:textId="3D6A40F3" w:rsidR="00F5796C" w:rsidRDefault="00F5796C" w:rsidP="00F5796C">
      <w:pPr>
        <w:spacing w:after="0"/>
        <w:jc w:val="both"/>
        <w:rPr>
          <w:lang w:val="mk-MK"/>
        </w:rPr>
      </w:pPr>
      <w:r>
        <w:rPr>
          <w:lang w:val="mk-MK"/>
        </w:rPr>
        <w:t>Дополнителен проблем претставува непочитувањето на уставното начело за строга поделба на власта на законодавна, извршна и судска</w:t>
      </w:r>
      <w:r>
        <w:t>,</w:t>
      </w:r>
      <w:r>
        <w:rPr>
          <w:lang w:val="mk-MK"/>
        </w:rPr>
        <w:t xml:space="preserve"> со формирањето на органи основани од </w:t>
      </w:r>
      <w:r w:rsidR="001D1515">
        <w:rPr>
          <w:lang w:val="mk-MK"/>
        </w:rPr>
        <w:t>СРСМ</w:t>
      </w:r>
      <w:r>
        <w:rPr>
          <w:lang w:val="mk-MK"/>
        </w:rPr>
        <w:t xml:space="preserve">, а кои вршат класични функции на извршната власт. </w:t>
      </w:r>
    </w:p>
    <w:p w14:paraId="02849753" w14:textId="77777777" w:rsidR="00F5796C" w:rsidRDefault="00F5796C" w:rsidP="00F5796C">
      <w:pPr>
        <w:spacing w:after="0"/>
        <w:jc w:val="both"/>
        <w:rPr>
          <w:lang w:val="mk-MK"/>
        </w:rPr>
      </w:pPr>
    </w:p>
    <w:p w14:paraId="33AE0BBE" w14:textId="778B6788" w:rsidR="00F5796C" w:rsidRDefault="00F5796C" w:rsidP="00F5796C">
      <w:pPr>
        <w:spacing w:after="0"/>
        <w:jc w:val="both"/>
        <w:rPr>
          <w:lang w:val="mk-MK"/>
        </w:rPr>
      </w:pPr>
      <w:r>
        <w:rPr>
          <w:lang w:val="mk-MK"/>
        </w:rPr>
        <w:t xml:space="preserve">Нејасниот статус на органите во состав на министерствата кој на еден начин е утврден во ЗОРОДУ, но на друг начин се „доуредува“ со посебните закони од различни области, доведува до состојба на постоење само на политичка одговорност на лицата кои раководат со овие органи бидејќи тие се директно и единствено одговорни на </w:t>
      </w:r>
      <w:r w:rsidR="006F5494">
        <w:rPr>
          <w:lang w:val="mk-MK"/>
        </w:rPr>
        <w:t>ВРСМ</w:t>
      </w:r>
      <w:r>
        <w:rPr>
          <w:lang w:val="mk-MK"/>
        </w:rPr>
        <w:t>, а таа како политички орган располага само со механизми за политичка контрола, не и за стручен надзор врз нивната работа. Во одредени случаи постои и двојна одговорност на директорите на органите во состав - пред ресорниот министер и пред владата (или друг владин орган) со што во голема мера се разводнува нивната реална одговорност и отчетност.</w:t>
      </w:r>
    </w:p>
    <w:p w14:paraId="37054188" w14:textId="77777777" w:rsidR="00F5796C" w:rsidRDefault="00F5796C" w:rsidP="00F5796C">
      <w:pPr>
        <w:spacing w:after="0"/>
        <w:jc w:val="both"/>
        <w:rPr>
          <w:lang w:val="mk-MK"/>
        </w:rPr>
      </w:pPr>
    </w:p>
    <w:p w14:paraId="5FAFD027" w14:textId="77777777" w:rsidR="00F5796C" w:rsidRDefault="00F5796C" w:rsidP="00F5796C">
      <w:pPr>
        <w:spacing w:after="0"/>
        <w:jc w:val="both"/>
        <w:rPr>
          <w:lang w:val="mk-MK"/>
        </w:rPr>
      </w:pPr>
      <w:r>
        <w:rPr>
          <w:lang w:val="mk-MK"/>
        </w:rPr>
        <w:lastRenderedPageBreak/>
        <w:t>Заради надминување на ваквата состојба, а во насока на отпочнување процес на подготовка на нова законска регулатива заснована на докази (согласно посебните цели од првата приоритетна област) преземени се повеќе активности. Најпрво, изготвена е анализа на регулативата, која покажа дека 62 органи се регулирани со ЗОРОДУ, а дури 66 други државни органи се регулирани со посебни закони. „Извештајот за резултатите од мапирањето на институциите на јавниот сектор со препораки за започнување на процесот на реорганизација/оптимизација на органите на  државна  управа,  агенциите  и инспекциските  служби од  централната  власт“</w:t>
      </w:r>
      <w:r>
        <w:rPr>
          <w:rStyle w:val="FootnoteReference"/>
          <w:lang w:val="mk-MK"/>
        </w:rPr>
        <w:footnoteReference w:id="53"/>
      </w:r>
      <w:r>
        <w:rPr>
          <w:lang w:val="mk-MK"/>
        </w:rPr>
        <w:t xml:space="preserve">  ги потврди погоре изнесените констатации, и истиот содржи препораки за подобрување на утврдената состојба, предизвици, ризици и можности кои може да произлезат од процесот на реорганизација на органите. Дополнително, спроведена</w:t>
      </w:r>
      <w:r>
        <w:t xml:space="preserve"> e</w:t>
      </w:r>
      <w:r>
        <w:rPr>
          <w:lang w:val="mk-MK"/>
        </w:rPr>
        <w:t xml:space="preserve"> и хоризонтална функционална анализа на инспекциските служби, во која е оценета поставеноста на инспекциските служби во системот на државно уредување, нивната меѓусебна поврзаност, внатрешната организација и систематизација на работни места, интерните работни процеси, располагањето и користењето на опрема и средства за работа и слично. Извештајот од анализата содржи наоди и препораки за подобрување (оптимизација) на институционалните капацитети, ефикасноста и ефективноста во работењето на инспекциските служби. </w:t>
      </w:r>
    </w:p>
    <w:p w14:paraId="76D14886" w14:textId="77777777" w:rsidR="00F5796C" w:rsidRDefault="00F5796C" w:rsidP="00F5796C">
      <w:pPr>
        <w:spacing w:after="0"/>
        <w:jc w:val="both"/>
        <w:rPr>
          <w:lang w:val="mk-MK"/>
        </w:rPr>
      </w:pPr>
    </w:p>
    <w:p w14:paraId="55D82D25" w14:textId="27830FE8" w:rsidR="00F5796C" w:rsidRDefault="00F5796C" w:rsidP="00F5796C">
      <w:pPr>
        <w:spacing w:after="0"/>
        <w:jc w:val="both"/>
        <w:rPr>
          <w:lang w:val="mk-MK"/>
        </w:rPr>
      </w:pPr>
      <w:r>
        <w:rPr>
          <w:lang w:val="mk-MK"/>
        </w:rPr>
        <w:t>Констатираните состојби се потврдени и во извештаите на СИГМА (Baseline measurement report 2017</w:t>
      </w:r>
      <w:r>
        <w:rPr>
          <w:rStyle w:val="FootnoteReference"/>
          <w:lang w:val="mk-MK"/>
        </w:rPr>
        <w:footnoteReference w:id="54"/>
      </w:r>
      <w:r>
        <w:rPr>
          <w:lang w:val="mk-MK"/>
        </w:rPr>
        <w:t xml:space="preserve">  &amp; Monitoring Report 2021</w:t>
      </w:r>
      <w:r>
        <w:rPr>
          <w:rStyle w:val="FootnoteReference"/>
          <w:lang w:val="mk-MK"/>
        </w:rPr>
        <w:footnoteReference w:id="55"/>
      </w:r>
      <w:r>
        <w:rPr>
          <w:lang w:val="mk-MK"/>
        </w:rPr>
        <w:t xml:space="preserve"> ), при што особено внимание се посветува на механизмите за отчетност помеѓу министерствата и нивните органи</w:t>
      </w:r>
      <w:r w:rsidR="00FC58FC">
        <w:rPr>
          <w:lang w:val="mk-MK"/>
        </w:rPr>
        <w:t xml:space="preserve"> во состав</w:t>
      </w:r>
      <w:r>
        <w:rPr>
          <w:lang w:val="mk-MK"/>
        </w:rPr>
        <w:t>. Недостасуваат дефинирани процедури за поставување на конкретни цели, кои треба да се поврзат со стратешките приоритети и мерливи индикатори за напредокот, со што практично е невозможно да се оцени квалитетот на работата на  органи</w:t>
      </w:r>
      <w:r w:rsidR="00FC58FC">
        <w:rPr>
          <w:lang w:val="mk-MK"/>
        </w:rPr>
        <w:t>те во состав</w:t>
      </w:r>
      <w:r>
        <w:rPr>
          <w:lang w:val="mk-MK"/>
        </w:rPr>
        <w:t>.</w:t>
      </w:r>
    </w:p>
    <w:p w14:paraId="6148D701" w14:textId="77777777" w:rsidR="00F5796C" w:rsidRDefault="00F5796C" w:rsidP="00F5796C">
      <w:pPr>
        <w:spacing w:after="0"/>
        <w:jc w:val="both"/>
        <w:rPr>
          <w:lang w:val="mk-MK"/>
        </w:rPr>
      </w:pPr>
    </w:p>
    <w:p w14:paraId="426D3727" w14:textId="3A0FBBE6" w:rsidR="00F5796C" w:rsidRDefault="00F5796C" w:rsidP="00F5796C">
      <w:pPr>
        <w:spacing w:after="0"/>
        <w:jc w:val="both"/>
        <w:rPr>
          <w:lang w:val="mk-MK"/>
        </w:rPr>
      </w:pPr>
      <w:r>
        <w:rPr>
          <w:lang w:val="mk-MK"/>
        </w:rPr>
        <w:t>Во ноември 2019 година, активностите за реорганизација/оптимизација на органите на државна управа, агенциите и инспекциските служби продолжија со спроведување на хоризонтална функционална анализа на органите на државната управа, агенциите и инспекциските служби од централна власт и се изработи „Интегриран извештај за државна реорганизација“</w:t>
      </w:r>
      <w:r>
        <w:rPr>
          <w:rStyle w:val="FootnoteReference"/>
          <w:lang w:val="mk-MK"/>
        </w:rPr>
        <w:footnoteReference w:id="56"/>
      </w:r>
      <w:r>
        <w:rPr>
          <w:lang w:val="mk-MK"/>
        </w:rPr>
        <w:t xml:space="preserve">  усвоен од страна на </w:t>
      </w:r>
      <w:r w:rsidR="006F5494">
        <w:rPr>
          <w:lang w:val="mk-MK"/>
        </w:rPr>
        <w:t xml:space="preserve">ВРСМ </w:t>
      </w:r>
      <w:r>
        <w:rPr>
          <w:lang w:val="mk-MK"/>
        </w:rPr>
        <w:t>во 2022 година. Извештајот содржи препораки за оптимизирање и реорганизација на државната управа,  чекорите, потребата и обемот на формирање, спојување и укинување на органи.</w:t>
      </w:r>
    </w:p>
    <w:p w14:paraId="72E99B52" w14:textId="77777777" w:rsidR="00F5796C" w:rsidRDefault="00F5796C" w:rsidP="00F5796C">
      <w:pPr>
        <w:spacing w:after="0"/>
        <w:ind w:firstLine="720"/>
        <w:jc w:val="both"/>
        <w:rPr>
          <w:lang w:val="mk-MK"/>
        </w:rPr>
      </w:pPr>
    </w:p>
    <w:p w14:paraId="06F895EC" w14:textId="77777777" w:rsidR="00F5796C" w:rsidRPr="006D5ECF" w:rsidRDefault="00F5796C" w:rsidP="00F5796C">
      <w:pPr>
        <w:spacing w:after="0"/>
        <w:jc w:val="both"/>
        <w:rPr>
          <w:b/>
          <w:bCs/>
          <w:lang w:val="mk-MK"/>
        </w:rPr>
      </w:pPr>
      <w:r w:rsidRPr="006D5ECF">
        <w:rPr>
          <w:b/>
          <w:bCs/>
          <w:lang w:val="mk-MK"/>
        </w:rPr>
        <w:t>Заштита на граѓаните</w:t>
      </w:r>
    </w:p>
    <w:p w14:paraId="03EB9989" w14:textId="77777777" w:rsidR="00FC58FC" w:rsidRDefault="00FC58FC" w:rsidP="00F5796C">
      <w:pPr>
        <w:spacing w:after="0"/>
        <w:jc w:val="both"/>
        <w:rPr>
          <w:b/>
          <w:bCs/>
          <w:lang w:val="mk-MK"/>
        </w:rPr>
      </w:pPr>
    </w:p>
    <w:p w14:paraId="099C3F67" w14:textId="65703D6E" w:rsidR="00F5796C" w:rsidRDefault="00F5796C" w:rsidP="00F5796C">
      <w:pPr>
        <w:spacing w:after="0"/>
        <w:jc w:val="both"/>
        <w:rPr>
          <w:lang w:val="mk-MK"/>
        </w:rPr>
      </w:pPr>
      <w:r>
        <w:rPr>
          <w:b/>
          <w:bCs/>
          <w:lang w:val="mk-MK"/>
        </w:rPr>
        <w:t>Правна рамка</w:t>
      </w:r>
      <w:r>
        <w:rPr>
          <w:lang w:val="mk-MK"/>
        </w:rPr>
        <w:t xml:space="preserve"> за заштита на правата на граѓаните претставува ЗОУП, како и голем број посебни закони со кои се уредуваат одредени процесни прашања од областа на посебните управни постапки. Со донесувањето на ЗОУП во 2015 година се воведоа суштински новини во однос на заштитата на правата на граѓаните во управната постапка. Законот промовира имплементација на современи концепти и начела на добра администрација, вклучувајќи ги: делегирањето на надлежност за водење на управни постапки и решавање на управни работи, прибавувањето на </w:t>
      </w:r>
      <w:r>
        <w:rPr>
          <w:lang w:val="mk-MK"/>
        </w:rPr>
        <w:lastRenderedPageBreak/>
        <w:t xml:space="preserve">докази и податоци по службена должност од страна на јавните органи и интероперабилноста, односно електронската комуникација меѓу јавните органи. И покрај одложената примена на Законот од една година, досегашната  имплементација покажа дека дел од тие промени се уште не се применуваат целосно во пракса. </w:t>
      </w:r>
    </w:p>
    <w:p w14:paraId="4A38FC87" w14:textId="77777777" w:rsidR="00F5796C" w:rsidRDefault="00F5796C" w:rsidP="00F5796C">
      <w:pPr>
        <w:spacing w:after="0"/>
        <w:jc w:val="both"/>
        <w:rPr>
          <w:lang w:val="mk-MK"/>
        </w:rPr>
      </w:pPr>
    </w:p>
    <w:p w14:paraId="073CA408" w14:textId="04EC6376" w:rsidR="00F5796C" w:rsidRDefault="00F5796C" w:rsidP="00F5796C">
      <w:pPr>
        <w:spacing w:after="0"/>
        <w:jc w:val="both"/>
        <w:rPr>
          <w:lang w:val="mk-MK"/>
        </w:rPr>
      </w:pPr>
      <w:r>
        <w:rPr>
          <w:lang w:val="mk-MK"/>
        </w:rPr>
        <w:t>Според наодите од Извештајот за мониторингот на СИГМА од 2021 година за</w:t>
      </w:r>
      <w:r w:rsidR="001D1515">
        <w:rPr>
          <w:lang w:val="mk-MK"/>
        </w:rPr>
        <w:t xml:space="preserve"> МКД</w:t>
      </w:r>
      <w:r>
        <w:rPr>
          <w:lang w:val="mk-MK"/>
        </w:rPr>
        <w:t xml:space="preserve">, општата правна рамка (ЗОУП) е добро усогласена со принципите на добра администрација, но усогласувањето на посебните закони се одвива бавно и нецелосно. Иако постојат добри практики за одреден напредок во прилагодувањето на управните постапки со ЗОУП, сепак постојат показатели дека некои клучни принципи на ЗОУП, како што е начелото за прибавување на докази и податоци по службена должност не се применува целосно, бидејќи јавните органи сè уште бараат документи од граѓаните кои веќе ги поседуваат и ги чуваат во службена евиденција и регистри. </w:t>
      </w:r>
    </w:p>
    <w:p w14:paraId="3C6D8A58" w14:textId="77777777" w:rsidR="00F5796C" w:rsidRDefault="00F5796C" w:rsidP="00F5796C">
      <w:pPr>
        <w:spacing w:after="0"/>
        <w:jc w:val="both"/>
        <w:rPr>
          <w:lang w:val="mk-MK"/>
        </w:rPr>
      </w:pPr>
    </w:p>
    <w:p w14:paraId="516117BA" w14:textId="77777777" w:rsidR="00F5796C" w:rsidRDefault="00F5796C" w:rsidP="00F5796C">
      <w:pPr>
        <w:spacing w:after="0"/>
        <w:jc w:val="both"/>
        <w:rPr>
          <w:lang w:val="mk-MK"/>
        </w:rPr>
      </w:pPr>
      <w:r>
        <w:rPr>
          <w:lang w:val="mk-MK"/>
        </w:rPr>
        <w:t xml:space="preserve">За подобрување на констатираната состојба, МИОА проактивно го поддржува процесот на усогласување на ЗОУП со посебните закони со формирањето на организациона единица која делува како помош за другите министерства, и во рамките на своите надлежности дава препораки и мислења за предложените измени и дополнувања на посебните закони што уредуваат управно-процесни прашања. </w:t>
      </w:r>
    </w:p>
    <w:p w14:paraId="14D81889" w14:textId="77777777" w:rsidR="00F5796C" w:rsidRDefault="00F5796C" w:rsidP="00F5796C">
      <w:pPr>
        <w:spacing w:after="0"/>
        <w:jc w:val="both"/>
        <w:rPr>
          <w:lang w:val="mk-MK"/>
        </w:rPr>
      </w:pPr>
    </w:p>
    <w:p w14:paraId="4131EAB4" w14:textId="77777777" w:rsidR="00F5796C" w:rsidRDefault="00F5796C" w:rsidP="00F5796C">
      <w:pPr>
        <w:spacing w:after="0"/>
        <w:jc w:val="both"/>
        <w:rPr>
          <w:lang w:val="mk-MK"/>
        </w:rPr>
      </w:pPr>
      <w:r>
        <w:rPr>
          <w:lang w:val="mk-MK"/>
        </w:rPr>
        <w:t>Праксата покажува дека главната причина поради која речиси да не постои комуникација на јавните органи по електронски пат е недоволната техничка опременост и подготвеност на институциите за овој вид на комуникација.</w:t>
      </w:r>
    </w:p>
    <w:p w14:paraId="3305D84E" w14:textId="77777777" w:rsidR="00F5796C" w:rsidRDefault="00F5796C" w:rsidP="00F5796C">
      <w:pPr>
        <w:spacing w:after="0"/>
        <w:jc w:val="both"/>
        <w:rPr>
          <w:lang w:val="mk-MK"/>
        </w:rPr>
      </w:pPr>
    </w:p>
    <w:p w14:paraId="0247E4CF" w14:textId="55B645F1" w:rsidR="00F5796C" w:rsidRDefault="00F5796C" w:rsidP="00F5796C">
      <w:pPr>
        <w:spacing w:after="0"/>
        <w:jc w:val="both"/>
        <w:rPr>
          <w:lang w:val="mk-MK"/>
        </w:rPr>
      </w:pPr>
      <w:r>
        <w:rPr>
          <w:lang w:val="mk-MK"/>
        </w:rPr>
        <w:t>Подготвена е и Анализа за првичната примена</w:t>
      </w:r>
      <w:r>
        <w:rPr>
          <w:rStyle w:val="FootnoteReference"/>
          <w:lang w:val="mk-MK"/>
        </w:rPr>
        <w:footnoteReference w:id="57"/>
      </w:r>
      <w:r>
        <w:rPr>
          <w:lang w:val="mk-MK"/>
        </w:rPr>
        <w:t xml:space="preserve"> на ЗОУП во 2018 година во која беа детектирани неколку проблематични аспекти во имплементацијата на Законот за чие надминување се донесоа и соодветни препораки. Уште тогаш се увиде дека примената на начелото за делегирање на надлежност за водење на управни постапки и решавање на управни работи во пракса е голем проблем, а еден од клучните фактори е повеќедецениската правна традиција согласно која, сите акти во управна постапка биле донесувани од страна на раководните лица на институциите независно од нивниот образовен профил и нивото на компетенции за одредени посебни управни постапки. Како резултат на ваквата пракса, од една страна се јавува незадоволството на граѓаните од долгите управни постапки, а од друга страна како проблем се јавува неоснованата одговорност на раководните лица на институциите за управните акти односно за стручните работи за кои de facto одлучувале </w:t>
      </w:r>
      <w:r w:rsidR="00100047">
        <w:rPr>
          <w:lang w:val="mk-MK"/>
        </w:rPr>
        <w:t xml:space="preserve">административни </w:t>
      </w:r>
      <w:r>
        <w:rPr>
          <w:lang w:val="mk-MK"/>
        </w:rPr>
        <w:t>службеници  со неопходна стручна подготовка.</w:t>
      </w:r>
    </w:p>
    <w:p w14:paraId="1B217CB8" w14:textId="77777777" w:rsidR="00F5796C" w:rsidRDefault="00F5796C" w:rsidP="00F5796C">
      <w:pPr>
        <w:spacing w:after="0"/>
        <w:jc w:val="both"/>
        <w:rPr>
          <w:lang w:val="mk-MK"/>
        </w:rPr>
      </w:pPr>
    </w:p>
    <w:p w14:paraId="6EBA5611" w14:textId="4CD69C4A" w:rsidR="00F5796C" w:rsidRDefault="00F5796C" w:rsidP="00F5796C">
      <w:pPr>
        <w:spacing w:after="0"/>
        <w:jc w:val="both"/>
        <w:rPr>
          <w:lang w:val="mk-MK"/>
        </w:rPr>
      </w:pPr>
      <w:r>
        <w:rPr>
          <w:lang w:val="mk-MK"/>
        </w:rPr>
        <w:t>Правната заштита во управна постапка, согласно ЗОУП е обезбедена со приговор против реалните акти, како и дејствијата на давателите на услуги од општ интерес, правото на жалба на граѓаните до второстепените органи, како и со правото со тужба да поведат управен спор пред управното судство. Согласно Извештајот од Оценската мисија на СИГМА од 2018</w:t>
      </w:r>
      <w:r>
        <w:rPr>
          <w:rStyle w:val="FootnoteReference"/>
          <w:lang w:val="mk-MK"/>
        </w:rPr>
        <w:footnoteReference w:id="58"/>
      </w:r>
      <w:r>
        <w:rPr>
          <w:lang w:val="mk-MK"/>
        </w:rPr>
        <w:t xml:space="preserve"> година за квалитетот на управната правда се констатира постоење на различен вид и број на комисии и други органи кои одлучуваат во втор степен од управни постапки што го прави системот на управна правда </w:t>
      </w:r>
      <w:r>
        <w:rPr>
          <w:lang w:val="mk-MK"/>
        </w:rPr>
        <w:lastRenderedPageBreak/>
        <w:t>неефикасен. Така, утврдено е постоење на пет вонсудски органи од кои најголем дел се комисии</w:t>
      </w:r>
      <w:r w:rsidR="00100047">
        <w:rPr>
          <w:lang w:val="mk-MK"/>
        </w:rPr>
        <w:t>,</w:t>
      </w:r>
      <w:r>
        <w:rPr>
          <w:lang w:val="mk-MK"/>
        </w:rPr>
        <w:t xml:space="preserve"> формира</w:t>
      </w:r>
      <w:r w:rsidR="00100047">
        <w:rPr>
          <w:lang w:val="mk-MK"/>
        </w:rPr>
        <w:t>ни</w:t>
      </w:r>
      <w:r>
        <w:rPr>
          <w:lang w:val="mk-MK"/>
        </w:rPr>
        <w:t xml:space="preserve"> од </w:t>
      </w:r>
      <w:r w:rsidR="001D1515">
        <w:rPr>
          <w:lang w:val="mk-MK"/>
        </w:rPr>
        <w:t>СРСМ</w:t>
      </w:r>
      <w:r>
        <w:rPr>
          <w:lang w:val="mk-MK"/>
        </w:rPr>
        <w:t xml:space="preserve"> со што се нарушува принципот на поделба на власта. Се препорачува второстепените органи кои решаваат одлучуваат по жалби да бидат дел од извршната власт.</w:t>
      </w:r>
    </w:p>
    <w:p w14:paraId="7D84B5FF" w14:textId="77777777" w:rsidR="00F5796C" w:rsidRDefault="00F5796C" w:rsidP="00F5796C">
      <w:pPr>
        <w:spacing w:after="0"/>
        <w:jc w:val="both"/>
        <w:rPr>
          <w:lang w:val="mk-MK"/>
        </w:rPr>
      </w:pPr>
    </w:p>
    <w:p w14:paraId="773C4144" w14:textId="5DA0C2AA" w:rsidR="000F7EC2" w:rsidRDefault="00F5796C" w:rsidP="000F7EC2">
      <w:pPr>
        <w:spacing w:after="0"/>
        <w:jc w:val="both"/>
        <w:rPr>
          <w:b/>
          <w:bCs/>
          <w:lang w:val="mk-MK"/>
        </w:rPr>
      </w:pPr>
      <w:r>
        <w:rPr>
          <w:lang w:val="mk-MK"/>
        </w:rPr>
        <w:t>Во сферата на управното постапување, недостасува и механизам на евиденција на предметите од управна природа што ќе ја водат сите  јавни органи кои во прв и втор степен одлучуваат во управни постапки, што ќе овозможи точна статистичка евиденција и следење на постапките и предметите од управна природа.</w:t>
      </w:r>
      <w:r w:rsidR="000F7EC2" w:rsidRPr="000F7EC2">
        <w:rPr>
          <w:lang w:val="mk-MK"/>
        </w:rPr>
        <w:t xml:space="preserve"> </w:t>
      </w:r>
      <w:r w:rsidR="000F7EC2">
        <w:rPr>
          <w:lang w:val="mk-MK"/>
        </w:rPr>
        <w:t>Основот за ова ќе произлезе од измена на правната рамка во релевантното законодавство кое треба да ја регулира оваа област.</w:t>
      </w:r>
    </w:p>
    <w:p w14:paraId="25126DB9" w14:textId="77777777" w:rsidR="00F5796C" w:rsidRDefault="00F5796C" w:rsidP="00F5796C">
      <w:pPr>
        <w:spacing w:after="0"/>
        <w:jc w:val="both"/>
        <w:rPr>
          <w:lang w:val="mk-MK"/>
        </w:rPr>
      </w:pPr>
    </w:p>
    <w:p w14:paraId="4F080A1A" w14:textId="64B87859" w:rsidR="00F5796C" w:rsidRDefault="00F5796C" w:rsidP="00F5796C">
      <w:pPr>
        <w:spacing w:after="0"/>
        <w:jc w:val="both"/>
        <w:rPr>
          <w:lang w:val="mk-MK"/>
        </w:rPr>
      </w:pPr>
      <w:r>
        <w:rPr>
          <w:lang w:val="mk-MK"/>
        </w:rPr>
        <w:t xml:space="preserve">Инспекциските постапки се посебен вид на управни постапки кои се од огромно значење за граѓаните и бизнис заедницата во секоја држава, а </w:t>
      </w:r>
      <w:r w:rsidR="006F5494">
        <w:rPr>
          <w:lang w:val="mk-MK"/>
        </w:rPr>
        <w:t>ВРСМ</w:t>
      </w:r>
      <w:r>
        <w:rPr>
          <w:lang w:val="mk-MK"/>
        </w:rPr>
        <w:t xml:space="preserve"> посветува посебно внимание на нивната ефикасност, транспарентност и законитост со цел да се намалат сите ризици од корупција во инспекцискиот надзор. Во таа насока направени се повеќе анализи врз основа на доставените извештаи за работата на инспекциските служби од кои произлезе нова надлежност на Инспекцискиот совет согласно член 18, став </w:t>
      </w:r>
      <w:r w:rsidR="00B22227">
        <w:rPr>
          <w:lang w:val="mk-MK"/>
        </w:rPr>
        <w:t>(</w:t>
      </w:r>
      <w:r>
        <w:rPr>
          <w:lang w:val="mk-MK"/>
        </w:rPr>
        <w:t>1</w:t>
      </w:r>
      <w:r w:rsidR="00B22227">
        <w:rPr>
          <w:lang w:val="mk-MK"/>
        </w:rPr>
        <w:t>)</w:t>
      </w:r>
      <w:r>
        <w:rPr>
          <w:lang w:val="mk-MK"/>
        </w:rPr>
        <w:t xml:space="preserve"> точка 18 од Законот за инспекциски надзор</w:t>
      </w:r>
      <w:r>
        <w:rPr>
          <w:rStyle w:val="FootnoteReference"/>
          <w:lang w:val="mk-MK"/>
        </w:rPr>
        <w:footnoteReference w:id="59"/>
      </w:r>
      <w:r>
        <w:rPr>
          <w:lang w:val="mk-MK"/>
        </w:rPr>
        <w:t xml:space="preserve"> и тоа воспоставување и водење на информациски систем за управување со инспекцискиот надзор Е-инспектор. </w:t>
      </w:r>
    </w:p>
    <w:p w14:paraId="0278749F" w14:textId="77777777" w:rsidR="00F5796C" w:rsidRDefault="00F5796C" w:rsidP="00F5796C">
      <w:pPr>
        <w:spacing w:after="0"/>
        <w:jc w:val="both"/>
        <w:rPr>
          <w:lang w:val="mk-MK"/>
        </w:rPr>
      </w:pPr>
    </w:p>
    <w:p w14:paraId="621E9DD3" w14:textId="13EDE59F" w:rsidR="00F5796C" w:rsidRDefault="00F5796C" w:rsidP="00F5796C">
      <w:pPr>
        <w:spacing w:after="0"/>
        <w:jc w:val="both"/>
        <w:rPr>
          <w:lang w:val="mk-MK"/>
        </w:rPr>
      </w:pPr>
      <w:r>
        <w:rPr>
          <w:lang w:val="mk-MK"/>
        </w:rPr>
        <w:t xml:space="preserve">Согласно Акцискиот план за приклучување на нови инспекторати </w:t>
      </w:r>
      <w:r>
        <w:rPr>
          <w:color w:val="000000" w:themeColor="text1"/>
          <w:lang w:val="mk-MK"/>
        </w:rPr>
        <w:t xml:space="preserve">усвоен од </w:t>
      </w:r>
      <w:r w:rsidR="006F5494">
        <w:rPr>
          <w:color w:val="000000" w:themeColor="text1"/>
          <w:lang w:val="mk-MK"/>
        </w:rPr>
        <w:t>ВРСМ</w:t>
      </w:r>
      <w:r>
        <w:rPr>
          <w:color w:val="000000" w:themeColor="text1"/>
          <w:lang w:val="mk-MK"/>
        </w:rPr>
        <w:t xml:space="preserve">  на 27 јули 2021 година, предвидено е системот Е-инспектор да се реализира во три фази</w:t>
      </w:r>
      <w:r>
        <w:rPr>
          <w:lang w:val="mk-MK"/>
        </w:rPr>
        <w:t>. Првата пилот фаза на системот Е-инспектор, со поддршка на УСАИД - Проектот за Модернизација на инспекциските служби е целосно завршена во 2021 година и во системот се вклучени три инспекторати под надлежност на Инспекцискиот совет и тоа: Државен пазарен инспекторат, Државен инспекторат за труд и Државен управен инспекторат. Втората фаза е започната со реализација во февруари 2022 година.</w:t>
      </w:r>
    </w:p>
    <w:p w14:paraId="4B998BFC" w14:textId="77777777" w:rsidR="00F5796C" w:rsidRDefault="00F5796C" w:rsidP="00F5796C">
      <w:pPr>
        <w:spacing w:after="0"/>
        <w:jc w:val="both"/>
        <w:rPr>
          <w:lang w:val="mk-MK"/>
        </w:rPr>
      </w:pPr>
    </w:p>
    <w:p w14:paraId="5C9C1557" w14:textId="07B8A247" w:rsidR="00F5796C" w:rsidRDefault="00F5796C" w:rsidP="00F5796C">
      <w:pPr>
        <w:spacing w:after="0"/>
        <w:jc w:val="both"/>
        <w:rPr>
          <w:lang w:val="mk-MK"/>
        </w:rPr>
      </w:pPr>
      <w:r>
        <w:rPr>
          <w:lang w:val="mk-MK"/>
        </w:rPr>
        <w:t>Придобивките од овој систем се значително поголеми за субјектите на надзор, отколку за самите инспектори и инспекциски служби, бидејќи го намалува субјективното влијание на инспекторот, а со тоа и можноста за коруптивно однесување.</w:t>
      </w:r>
    </w:p>
    <w:p w14:paraId="51363983" w14:textId="4844A18E" w:rsidR="000F7EC2" w:rsidRDefault="000F7EC2" w:rsidP="00F5796C">
      <w:pPr>
        <w:spacing w:after="0"/>
        <w:jc w:val="both"/>
        <w:rPr>
          <w:lang w:val="mk-MK"/>
        </w:rPr>
      </w:pPr>
    </w:p>
    <w:p w14:paraId="22985C10" w14:textId="77777777" w:rsidR="000F7EC2" w:rsidRDefault="000F7EC2" w:rsidP="000F7EC2">
      <w:pPr>
        <w:spacing w:after="0"/>
        <w:jc w:val="both"/>
        <w:rPr>
          <w:lang w:val="mk-MK"/>
        </w:rPr>
      </w:pPr>
      <w:r>
        <w:rPr>
          <w:lang w:val="mk-MK"/>
        </w:rPr>
        <w:t>Добрите практики кои ќе произлезат од примената на Е-инспектор, во понатамошниот период би се имплементирале и на локално ниво.</w:t>
      </w:r>
    </w:p>
    <w:p w14:paraId="6AEB9FCB" w14:textId="6031A888" w:rsidR="00F5796C" w:rsidRDefault="00F5796C" w:rsidP="00F5796C">
      <w:pPr>
        <w:spacing w:after="0"/>
        <w:ind w:firstLine="720"/>
        <w:jc w:val="both"/>
        <w:rPr>
          <w:lang w:val="mk-MK"/>
        </w:rPr>
      </w:pPr>
    </w:p>
    <w:p w14:paraId="6C5E0BE1" w14:textId="77777777" w:rsidR="00F5796C" w:rsidRPr="006D5ECF" w:rsidRDefault="00F5796C" w:rsidP="00F5796C">
      <w:pPr>
        <w:spacing w:after="0"/>
        <w:jc w:val="both"/>
        <w:rPr>
          <w:b/>
          <w:bCs/>
          <w:lang w:val="mk-MK"/>
        </w:rPr>
      </w:pPr>
      <w:r w:rsidRPr="006D5ECF">
        <w:rPr>
          <w:b/>
          <w:bCs/>
          <w:lang w:val="mk-MK"/>
        </w:rPr>
        <w:t>Интегритет на институциите</w:t>
      </w:r>
    </w:p>
    <w:p w14:paraId="73EBC32C" w14:textId="77777777" w:rsidR="00FC58FC" w:rsidRDefault="00FC58FC" w:rsidP="00F5796C">
      <w:pPr>
        <w:spacing w:after="0"/>
        <w:jc w:val="both"/>
        <w:rPr>
          <w:lang w:val="mk-MK"/>
        </w:rPr>
      </w:pPr>
    </w:p>
    <w:p w14:paraId="6EFAAE8C" w14:textId="64B9049E" w:rsidR="00F5796C" w:rsidRDefault="00F5796C" w:rsidP="00F5796C">
      <w:pPr>
        <w:spacing w:after="0"/>
        <w:jc w:val="both"/>
        <w:rPr>
          <w:lang w:val="mk-MK"/>
        </w:rPr>
      </w:pPr>
      <w:r>
        <w:rPr>
          <w:lang w:val="mk-MK"/>
        </w:rPr>
        <w:t xml:space="preserve">Основа на </w:t>
      </w:r>
      <w:r>
        <w:rPr>
          <w:b/>
          <w:bCs/>
          <w:lang w:val="mk-MK"/>
        </w:rPr>
        <w:t>правната рамка</w:t>
      </w:r>
      <w:r>
        <w:rPr>
          <w:lang w:val="mk-MK"/>
        </w:rPr>
        <w:t xml:space="preserve"> за обезбедување интегритет на институциите, спречување на корупцијата и судирот на интереси се Законот за спречување на корупцијата и судирот на интереси</w:t>
      </w:r>
      <w:r>
        <w:rPr>
          <w:rStyle w:val="FootnoteReference"/>
          <w:lang w:val="mk-MK"/>
        </w:rPr>
        <w:footnoteReference w:id="60"/>
      </w:r>
      <w:r>
        <w:rPr>
          <w:lang w:val="mk-MK"/>
        </w:rPr>
        <w:t>,  Законот за заштита на укажувачи</w:t>
      </w:r>
      <w:r>
        <w:rPr>
          <w:rStyle w:val="FootnoteReference"/>
          <w:lang w:val="mk-MK"/>
        </w:rPr>
        <w:footnoteReference w:id="61"/>
      </w:r>
      <w:r>
        <w:rPr>
          <w:lang w:val="mk-MK"/>
        </w:rPr>
        <w:t>,  Закон за лобирање</w:t>
      </w:r>
      <w:r>
        <w:rPr>
          <w:rStyle w:val="FootnoteReference"/>
          <w:lang w:val="mk-MK"/>
        </w:rPr>
        <w:footnoteReference w:id="62"/>
      </w:r>
      <w:r>
        <w:rPr>
          <w:lang w:val="mk-MK"/>
        </w:rPr>
        <w:t xml:space="preserve">, Националната стратегија за спречување на корупцијата и судирот на интереси  (2021-2025) донесена од ДКСК и усвоена од </w:t>
      </w:r>
      <w:r w:rsidR="001D1515">
        <w:rPr>
          <w:lang w:val="mk-MK"/>
        </w:rPr>
        <w:lastRenderedPageBreak/>
        <w:t>СРСМ</w:t>
      </w:r>
      <w:r>
        <w:rPr>
          <w:lang w:val="mk-MK"/>
        </w:rPr>
        <w:t xml:space="preserve">  Кодексот за етичко однесување на членовите на </w:t>
      </w:r>
      <w:r w:rsidR="006F5494">
        <w:rPr>
          <w:lang w:val="mk-MK"/>
        </w:rPr>
        <w:t xml:space="preserve">ВРСМ </w:t>
      </w:r>
      <w:r>
        <w:rPr>
          <w:lang w:val="mk-MK"/>
        </w:rPr>
        <w:t xml:space="preserve">и носителите на јавни функции именувани од страна на </w:t>
      </w:r>
      <w:r w:rsidR="006F5494">
        <w:rPr>
          <w:lang w:val="mk-MK"/>
        </w:rPr>
        <w:t xml:space="preserve">ВРСМ </w:t>
      </w:r>
      <w:r>
        <w:rPr>
          <w:lang w:val="mk-MK"/>
        </w:rPr>
        <w:t>и Кодексот за административните службеници</w:t>
      </w:r>
      <w:r>
        <w:rPr>
          <w:rStyle w:val="FootnoteReference"/>
          <w:lang w:val="mk-MK"/>
        </w:rPr>
        <w:footnoteReference w:id="63"/>
      </w:r>
      <w:r>
        <w:rPr>
          <w:lang w:val="mk-MK"/>
        </w:rPr>
        <w:t>.</w:t>
      </w:r>
    </w:p>
    <w:p w14:paraId="22071BC9" w14:textId="77777777" w:rsidR="00F5796C" w:rsidRDefault="00F5796C" w:rsidP="00F5796C">
      <w:pPr>
        <w:spacing w:after="0"/>
        <w:jc w:val="both"/>
        <w:rPr>
          <w:lang w:val="mk-MK"/>
        </w:rPr>
      </w:pPr>
    </w:p>
    <w:p w14:paraId="05C1A94B" w14:textId="6445CCF4" w:rsidR="00F5796C" w:rsidRDefault="00F5796C" w:rsidP="00F5796C">
      <w:pPr>
        <w:spacing w:after="0"/>
        <w:jc w:val="both"/>
        <w:rPr>
          <w:lang w:val="mk-MK"/>
        </w:rPr>
      </w:pPr>
      <w:r>
        <w:rPr>
          <w:lang w:val="mk-MK"/>
        </w:rPr>
        <w:t xml:space="preserve">Со донесување на Закон за спречување на корупција и судирот на интереси се направи поврзување на спречувањето на корупцијата и судирот на интереси на едно централно место - ДКСК, која самостојно и независно ги врши надлежностите утврдени во овој закон. Активностите утврдени во </w:t>
      </w:r>
      <w:r w:rsidRPr="00B5617C">
        <w:rPr>
          <w:lang w:val="mk-MK"/>
        </w:rPr>
        <w:t>С</w:t>
      </w:r>
      <w:r w:rsidR="00E80658" w:rsidRPr="00B5617C">
        <w:rPr>
          <w:lang w:val="mk-MK"/>
        </w:rPr>
        <w:t xml:space="preserve">тратегијата за </w:t>
      </w:r>
      <w:r w:rsidRPr="00B5617C">
        <w:rPr>
          <w:lang w:val="mk-MK"/>
        </w:rPr>
        <w:t xml:space="preserve">РЈА </w:t>
      </w:r>
      <w:r w:rsidR="00E80658" w:rsidRPr="00B5617C">
        <w:rPr>
          <w:lang w:val="mk-MK"/>
        </w:rPr>
        <w:t xml:space="preserve">(2018 – 2022) </w:t>
      </w:r>
      <w:r w:rsidRPr="00B5617C">
        <w:rPr>
          <w:lang w:val="mk-MK"/>
        </w:rPr>
        <w:t>во рамки на промовирање на интегритетот и подигање на свеста за ризиците од корупција на централно и локално ниво (како подготовка на информативни материјали, спроведување на обуки, усвојување Методологија за утврдување ризици од корупција, детектирање на областите со зголемени дискрециони овластувања на носителите на функции) се успешно спроведени и нотирани во извештаите за спроведување на акцискиот план на Стратегијата</w:t>
      </w:r>
      <w:r w:rsidR="00E80658" w:rsidRPr="00B5617C">
        <w:rPr>
          <w:lang w:val="mk-MK"/>
        </w:rPr>
        <w:t xml:space="preserve"> за РЈА 2018 - 2022</w:t>
      </w:r>
      <w:r w:rsidRPr="00B5617C">
        <w:rPr>
          <w:lang w:val="mk-MK"/>
        </w:rPr>
        <w:t>.</w:t>
      </w:r>
    </w:p>
    <w:p w14:paraId="7188495B" w14:textId="77777777" w:rsidR="00F5796C" w:rsidRDefault="00F5796C" w:rsidP="00F5796C">
      <w:pPr>
        <w:spacing w:after="0"/>
        <w:jc w:val="both"/>
        <w:rPr>
          <w:lang w:val="mk-MK"/>
        </w:rPr>
      </w:pPr>
    </w:p>
    <w:p w14:paraId="14732138" w14:textId="64D49517" w:rsidR="00F5796C" w:rsidRDefault="00F5796C" w:rsidP="00F5796C">
      <w:pPr>
        <w:spacing w:after="0"/>
        <w:jc w:val="both"/>
        <w:rPr>
          <w:lang w:val="mk-MK"/>
        </w:rPr>
      </w:pPr>
      <w:r>
        <w:rPr>
          <w:lang w:val="mk-MK"/>
        </w:rPr>
        <w:t xml:space="preserve">Сепак, и покрај декларативното потпишување на Политиките за интегритет од страна на </w:t>
      </w:r>
      <w:r w:rsidR="000F7EC2">
        <w:rPr>
          <w:lang w:val="mk-MK"/>
        </w:rPr>
        <w:t xml:space="preserve">18 институции од централна власт </w:t>
      </w:r>
      <w:r>
        <w:rPr>
          <w:lang w:val="mk-MK"/>
        </w:rPr>
        <w:t>и 67 единици на локалната самоуправа и исто толку номинирани лица за интегритет во првата година од воведување и имплементација на системот на интегритет, може да се каже дека останува сериозен предизвик мотивирањето на институциите и на централно и на локално ниво да ги имплементираат елементите на системот на интегритет.</w:t>
      </w:r>
    </w:p>
    <w:p w14:paraId="1FCE303F" w14:textId="77777777" w:rsidR="00F5796C" w:rsidRDefault="00F5796C" w:rsidP="00F5796C">
      <w:pPr>
        <w:spacing w:after="0"/>
        <w:jc w:val="both"/>
        <w:rPr>
          <w:lang w:val="mk-MK"/>
        </w:rPr>
      </w:pPr>
    </w:p>
    <w:p w14:paraId="441D9EA1" w14:textId="57A9F888" w:rsidR="00F5796C" w:rsidRDefault="00F5796C" w:rsidP="00F5796C">
      <w:pPr>
        <w:spacing w:after="0"/>
        <w:jc w:val="both"/>
        <w:rPr>
          <w:lang w:val="mk-MK"/>
        </w:rPr>
      </w:pPr>
      <w:r>
        <w:rPr>
          <w:lang w:val="mk-MK"/>
        </w:rPr>
        <w:t>Покрај планираните мерки и активности во С</w:t>
      </w:r>
      <w:r w:rsidR="00E80658">
        <w:rPr>
          <w:lang w:val="mk-MK"/>
        </w:rPr>
        <w:t xml:space="preserve">тратегијата за </w:t>
      </w:r>
      <w:r>
        <w:rPr>
          <w:lang w:val="mk-MK"/>
        </w:rPr>
        <w:t>РЈА</w:t>
      </w:r>
      <w:r w:rsidR="00FC58FC">
        <w:rPr>
          <w:lang w:val="mk-MK"/>
        </w:rPr>
        <w:t xml:space="preserve"> (2018-2022)</w:t>
      </w:r>
      <w:r>
        <w:rPr>
          <w:lang w:val="mk-MK"/>
        </w:rPr>
        <w:t xml:space="preserve">, во јануари 2022 година назначена е и ЗПВРСМ задолжена за политики за добро владеење која е задолжена за спроведување на Кодексот за етичко однесување на членовите на </w:t>
      </w:r>
      <w:r w:rsidR="006F5494">
        <w:rPr>
          <w:lang w:val="mk-MK"/>
        </w:rPr>
        <w:t xml:space="preserve">ВРСМ </w:t>
      </w:r>
      <w:r>
        <w:rPr>
          <w:lang w:val="mk-MK"/>
        </w:rPr>
        <w:t xml:space="preserve">и носителите на јавни функции именувани од страна на </w:t>
      </w:r>
      <w:r w:rsidR="006F5494">
        <w:rPr>
          <w:lang w:val="mk-MK"/>
        </w:rPr>
        <w:t>ВРСМ</w:t>
      </w:r>
      <w:r>
        <w:rPr>
          <w:lang w:val="mk-MK"/>
        </w:rPr>
        <w:t xml:space="preserve">.  </w:t>
      </w:r>
    </w:p>
    <w:p w14:paraId="3F5B53BD" w14:textId="77777777" w:rsidR="00F5796C" w:rsidRDefault="00F5796C" w:rsidP="00F5796C">
      <w:pPr>
        <w:spacing w:after="0"/>
        <w:jc w:val="both"/>
        <w:rPr>
          <w:lang w:val="mk-MK"/>
        </w:rPr>
      </w:pPr>
    </w:p>
    <w:p w14:paraId="2DA85DEA" w14:textId="40C0A3AB" w:rsidR="00F5796C" w:rsidRDefault="00F5796C" w:rsidP="00F5796C">
      <w:pPr>
        <w:spacing w:after="0"/>
        <w:jc w:val="both"/>
        <w:rPr>
          <w:lang w:val="mk-MK"/>
        </w:rPr>
      </w:pPr>
      <w:r>
        <w:rPr>
          <w:lang w:val="mk-MK"/>
        </w:rPr>
        <w:t>Во насока на јакнење на интегритетот на носителите на највисоки функции на извршната власт согласно Препораките од Петтиот евалуационен круг на ГРЕКО, спроведени се проверки на интегритетот преку тестирање на 179 функционери, а планиран е и сеопфатен извештај со збирни заклучоци и препораки за понатамошно постапување. ЗПВРСМ задолжена за политики за добро владеење и Г</w:t>
      </w:r>
      <w:r w:rsidR="00205DF2">
        <w:rPr>
          <w:lang w:val="mk-MK"/>
        </w:rPr>
        <w:t>С</w:t>
      </w:r>
      <w:r>
        <w:rPr>
          <w:lang w:val="mk-MK"/>
        </w:rPr>
        <w:t xml:space="preserve">, со меѓународна поддршка организираа обуки за почитување на Кодексот за етичко однесување за членовите на </w:t>
      </w:r>
      <w:r w:rsidR="002F55EA">
        <w:rPr>
          <w:lang w:val="mk-MK"/>
        </w:rPr>
        <w:t xml:space="preserve">ВРСМ </w:t>
      </w:r>
      <w:r>
        <w:rPr>
          <w:lang w:val="mk-MK"/>
        </w:rPr>
        <w:t xml:space="preserve">и носителите на јавни функции именувани од страна на </w:t>
      </w:r>
      <w:r w:rsidR="006F5494">
        <w:rPr>
          <w:lang w:val="mk-MK"/>
        </w:rPr>
        <w:t>ВРСМ</w:t>
      </w:r>
      <w:r>
        <w:rPr>
          <w:lang w:val="mk-MK"/>
        </w:rPr>
        <w:t xml:space="preserve">. Во текот на 2022 година беа организирани четири обуки за 140 избрани и именувани функционери, што е значаен напредок во однос на опфатот на избрани и именувани функционери во однос на претходниот период. </w:t>
      </w:r>
    </w:p>
    <w:p w14:paraId="2F27B532" w14:textId="77777777" w:rsidR="00F5796C" w:rsidRDefault="00F5796C" w:rsidP="00F5796C">
      <w:pPr>
        <w:spacing w:after="0"/>
        <w:jc w:val="both"/>
        <w:rPr>
          <w:lang w:val="mk-MK"/>
        </w:rPr>
      </w:pPr>
    </w:p>
    <w:p w14:paraId="215F1B2E" w14:textId="39539E4E" w:rsidR="00F5796C" w:rsidRDefault="00F5796C" w:rsidP="00F5796C">
      <w:pPr>
        <w:spacing w:after="0"/>
        <w:jc w:val="both"/>
        <w:rPr>
          <w:lang w:val="mk-MK"/>
        </w:rPr>
      </w:pPr>
      <w:r>
        <w:rPr>
          <w:lang w:val="mk-MK"/>
        </w:rPr>
        <w:t xml:space="preserve">Целта е постигнување на континуирано обучување на сите именувани и избрани носители на јавни функции од страна на </w:t>
      </w:r>
      <w:r w:rsidR="006F5494">
        <w:rPr>
          <w:lang w:val="mk-MK"/>
        </w:rPr>
        <w:t>ВРСМ</w:t>
      </w:r>
      <w:r>
        <w:rPr>
          <w:lang w:val="mk-MK"/>
        </w:rPr>
        <w:t xml:space="preserve">. Одржливоста на започнатиот процес се обезбедува преку спроведување на обуки за обучувачи на вработени во </w:t>
      </w:r>
      <w:r w:rsidR="00E80658">
        <w:rPr>
          <w:lang w:val="mk-MK"/>
        </w:rPr>
        <w:t xml:space="preserve">ГС </w:t>
      </w:r>
      <w:r w:rsidR="00205DF2">
        <w:rPr>
          <w:lang w:val="mk-MK"/>
        </w:rPr>
        <w:t>и КПВРСМ</w:t>
      </w:r>
      <w:r>
        <w:rPr>
          <w:lang w:val="mk-MK"/>
        </w:rPr>
        <w:t>.</w:t>
      </w:r>
    </w:p>
    <w:p w14:paraId="58A26949" w14:textId="77777777" w:rsidR="00F5796C" w:rsidRDefault="00F5796C" w:rsidP="00F5796C">
      <w:pPr>
        <w:spacing w:after="0"/>
        <w:ind w:firstLine="720"/>
        <w:jc w:val="both"/>
        <w:rPr>
          <w:lang w:val="mk-MK"/>
        </w:rPr>
      </w:pPr>
    </w:p>
    <w:p w14:paraId="69ADEA7C" w14:textId="77777777" w:rsidR="00F5796C" w:rsidRPr="006D5ECF" w:rsidRDefault="00F5796C" w:rsidP="00F5796C">
      <w:pPr>
        <w:spacing w:after="0"/>
        <w:jc w:val="both"/>
        <w:rPr>
          <w:b/>
          <w:bCs/>
          <w:lang w:val="mk-MK"/>
        </w:rPr>
      </w:pPr>
      <w:r w:rsidRPr="006D5ECF">
        <w:rPr>
          <w:b/>
          <w:bCs/>
          <w:lang w:val="mk-MK"/>
        </w:rPr>
        <w:t>Транспарентност на институциите и пристап до информации од јавен карактер</w:t>
      </w:r>
    </w:p>
    <w:p w14:paraId="5BC0C6D0" w14:textId="77777777" w:rsidR="00FC58FC" w:rsidRDefault="00FC58FC" w:rsidP="00F5796C">
      <w:pPr>
        <w:jc w:val="both"/>
        <w:rPr>
          <w:lang w:val="mk-MK"/>
        </w:rPr>
      </w:pPr>
    </w:p>
    <w:p w14:paraId="50099680" w14:textId="5CFBB5D6" w:rsidR="00F5796C" w:rsidRDefault="00F5796C" w:rsidP="00F5796C">
      <w:pPr>
        <w:jc w:val="both"/>
        <w:rPr>
          <w:rFonts w:cstheme="minorHAnsi"/>
          <w:lang w:val="mk-MK"/>
        </w:rPr>
      </w:pPr>
      <w:r>
        <w:rPr>
          <w:lang w:val="mk-MK"/>
        </w:rPr>
        <w:t xml:space="preserve">Правото на граѓаните за слободен пристап до информации од јавен карактер се вбројува во едно од основните човекови права и е ефикасен механизам за контрола на државните органи од страна </w:t>
      </w:r>
      <w:r>
        <w:rPr>
          <w:lang w:val="mk-MK"/>
        </w:rPr>
        <w:lastRenderedPageBreak/>
        <w:t xml:space="preserve">на граѓаните и нивно учество во креирањето на јавните политики. </w:t>
      </w:r>
      <w:r>
        <w:rPr>
          <w:rFonts w:cstheme="minorHAnsi"/>
          <w:b/>
          <w:lang w:val="mk-MK"/>
        </w:rPr>
        <w:t>Правната рамка</w:t>
      </w:r>
      <w:r>
        <w:rPr>
          <w:rFonts w:cstheme="minorHAnsi"/>
          <w:b/>
          <w:bCs/>
          <w:lang w:val="mk-MK"/>
        </w:rPr>
        <w:t xml:space="preserve"> </w:t>
      </w:r>
      <w:r>
        <w:rPr>
          <w:rFonts w:cstheme="minorHAnsi"/>
          <w:lang w:val="mk-MK"/>
        </w:rPr>
        <w:t>за обезбедувањето јавност во работењето на јавниот сектор е поставена во член 16 од Уставот на РСМ, во Законот за слободен пристап до информации од јавен карактер</w:t>
      </w:r>
      <w:r>
        <w:rPr>
          <w:rFonts w:cstheme="minorHAnsi"/>
          <w:vertAlign w:val="superscript"/>
          <w:lang w:val="mk-MK"/>
        </w:rPr>
        <w:footnoteReference w:id="64"/>
      </w:r>
      <w:r>
        <w:rPr>
          <w:rFonts w:cstheme="minorHAnsi"/>
          <w:lang w:val="mk-MK"/>
        </w:rPr>
        <w:t xml:space="preserve">, Законот за користење на податоците од јавниот сектор </w:t>
      </w:r>
      <w:r>
        <w:rPr>
          <w:rFonts w:cstheme="minorHAnsi"/>
          <w:vertAlign w:val="superscript"/>
          <w:lang w:val="mk-MK"/>
        </w:rPr>
        <w:footnoteReference w:id="65"/>
      </w:r>
      <w:r>
        <w:rPr>
          <w:rFonts w:cstheme="minorHAnsi"/>
          <w:lang w:val="mk-MK"/>
        </w:rPr>
        <w:t>, Законот за локалната самоуправа</w:t>
      </w:r>
      <w:r>
        <w:rPr>
          <w:rFonts w:cstheme="minorHAnsi"/>
          <w:vertAlign w:val="superscript"/>
          <w:lang w:val="mk-MK"/>
        </w:rPr>
        <w:footnoteReference w:id="66"/>
      </w:r>
      <w:r>
        <w:rPr>
          <w:rFonts w:cstheme="minorHAnsi"/>
          <w:lang w:val="mk-MK"/>
        </w:rPr>
        <w:t xml:space="preserve"> и во други материјални закони. </w:t>
      </w:r>
    </w:p>
    <w:p w14:paraId="1ADF8538" w14:textId="6A9F58D4" w:rsidR="00F5796C" w:rsidRDefault="00F5796C" w:rsidP="00F5796C">
      <w:pPr>
        <w:spacing w:after="0"/>
        <w:jc w:val="both"/>
        <w:rPr>
          <w:lang w:val="mk-MK"/>
        </w:rPr>
      </w:pPr>
      <w:r>
        <w:rPr>
          <w:lang w:val="mk-MK"/>
        </w:rPr>
        <w:t xml:space="preserve">Со Законот за слободен пристап до информации од јавен карактер од 2019 година, започнува да АЗПСПИЈК која е надлежен орган за обезбедување јавност и отвореност во работењето на институциите, како и овозможување на правните и физичките лица да го остварат правото на слободен пристап до информациите од јавен карактер. </w:t>
      </w:r>
      <w:r w:rsidR="001D1515">
        <w:rPr>
          <w:lang w:val="mk-MK"/>
        </w:rPr>
        <w:t>АЗПСПИЈК</w:t>
      </w:r>
      <w:r>
        <w:rPr>
          <w:lang w:val="mk-MK"/>
        </w:rPr>
        <w:t xml:space="preserve"> согласно закон редовно ја ажурира листата на иматели на информации, развива политики и дава насоки во врска со остварувањето на правото на слободен пристап до информациите, води прекршочна постапка преку </w:t>
      </w:r>
      <w:r w:rsidR="006F5494">
        <w:rPr>
          <w:lang w:val="mk-MK"/>
        </w:rPr>
        <w:t xml:space="preserve">прекршочна </w:t>
      </w:r>
      <w:r>
        <w:rPr>
          <w:lang w:val="mk-MK"/>
        </w:rPr>
        <w:t xml:space="preserve">комисија која одлучува по прекршок во согласност со закон и ги едуцира имателите и барателите на информации од јавен карактер и соработува со имателите на информациите. </w:t>
      </w:r>
    </w:p>
    <w:p w14:paraId="0C066B38" w14:textId="77777777" w:rsidR="00F5796C" w:rsidRDefault="00F5796C" w:rsidP="00F5796C">
      <w:pPr>
        <w:spacing w:after="0"/>
        <w:jc w:val="both"/>
        <w:rPr>
          <w:lang w:val="mk-MK"/>
        </w:rPr>
      </w:pPr>
    </w:p>
    <w:p w14:paraId="6D4C0DD2" w14:textId="2304F91F" w:rsidR="00F5796C" w:rsidRDefault="00F5796C" w:rsidP="00F5796C">
      <w:pPr>
        <w:spacing w:after="0"/>
        <w:jc w:val="both"/>
        <w:rPr>
          <w:lang w:val="mk-MK"/>
        </w:rPr>
      </w:pPr>
      <w:r>
        <w:rPr>
          <w:lang w:val="mk-MK"/>
        </w:rPr>
        <w:t xml:space="preserve">Заради остварување на целта на Законот, имателите имаат обврска да одговорат на барањата за слободен пристап до информации од јавен карактер (реактивна транспарентност) и обврска за самостојно објавување информации (проактивна транспарентност). </w:t>
      </w:r>
      <w:r>
        <w:rPr>
          <w:rFonts w:cstheme="minorHAnsi"/>
          <w:lang w:val="mk-MK"/>
        </w:rPr>
        <w:t xml:space="preserve">Следењето на проактивната транспаретност се спроведува според утврдена Методологија за  мониторинг на веб страните на имателите на информациите </w:t>
      </w:r>
      <w:hyperlink r:id="rId26" w:history="1">
        <w:r>
          <w:rPr>
            <w:rStyle w:val="Hyperlink"/>
            <w:rFonts w:cstheme="minorHAnsi"/>
          </w:rPr>
          <w:t>Методологија-за-спроведување-на-мониторинг.pdf (aspi.mk)</w:t>
        </w:r>
      </w:hyperlink>
      <w:r>
        <w:rPr>
          <w:rStyle w:val="FootnoteReference"/>
          <w:rFonts w:cstheme="minorHAnsi"/>
        </w:rPr>
        <w:footnoteReference w:id="67"/>
      </w:r>
      <w:r>
        <w:rPr>
          <w:rFonts w:cstheme="minorHAnsi"/>
          <w:lang w:val="mk-MK"/>
        </w:rPr>
        <w:t xml:space="preserve"> за исполнување на законската обврска за задолжително објавување на 22 категории документи согласно член 10 од ЗСПИЈК. АЗПСПИЈК</w:t>
      </w:r>
      <w:r>
        <w:rPr>
          <w:rFonts w:cstheme="minorHAnsi"/>
        </w:rPr>
        <w:t xml:space="preserve"> спроведува мониторинг на веб локациите на државни институции евидентирани во Листата како иматели. </w:t>
      </w:r>
      <w:r w:rsidR="001D1515">
        <w:rPr>
          <w:rFonts w:cstheme="minorHAnsi"/>
          <w:lang w:val="mk-MK"/>
        </w:rPr>
        <w:t>АЗПСПИЈК</w:t>
      </w:r>
      <w:r w:rsidR="00771754">
        <w:rPr>
          <w:rFonts w:cstheme="minorHAnsi"/>
          <w:lang w:val="mk-MK"/>
        </w:rPr>
        <w:t>,</w:t>
      </w:r>
      <w:r>
        <w:rPr>
          <w:rFonts w:cstheme="minorHAnsi"/>
          <w:lang w:val="mk-MK"/>
        </w:rPr>
        <w:t xml:space="preserve"> спроведувајќи мониторинг утврди дека имателите може и треба да се подобруваат на планот на проактивност кон граѓаните и информациите кои ги публикуваат да ги поставуваат во посебен банер/линк под наслов Листа на информации од јавен карактер на почетната страна од веб страниците. </w:t>
      </w:r>
    </w:p>
    <w:p w14:paraId="4579F943" w14:textId="77777777" w:rsidR="00981BC4" w:rsidRDefault="00981BC4" w:rsidP="00F5796C">
      <w:pPr>
        <w:jc w:val="both"/>
        <w:rPr>
          <w:rFonts w:cstheme="minorHAnsi"/>
          <w:b/>
          <w:bCs/>
          <w:lang w:val="mk-MK"/>
        </w:rPr>
      </w:pPr>
    </w:p>
    <w:p w14:paraId="19BB2043" w14:textId="789D4C03" w:rsidR="00F5796C" w:rsidRPr="008A15B9" w:rsidRDefault="005F795B" w:rsidP="00F5796C">
      <w:pPr>
        <w:jc w:val="both"/>
        <w:rPr>
          <w:rFonts w:cstheme="minorHAnsi"/>
          <w:b/>
          <w:bCs/>
          <w:lang w:val="mk-MK"/>
        </w:rPr>
      </w:pPr>
      <w:r w:rsidRPr="00B5617C">
        <w:rPr>
          <w:rFonts w:cstheme="minorHAnsi"/>
          <w:b/>
          <w:bCs/>
          <w:lang w:val="mk-MK"/>
        </w:rPr>
        <w:t xml:space="preserve">Графикон 4 </w:t>
      </w:r>
      <w:r w:rsidR="008A15B9" w:rsidRPr="00B5617C">
        <w:rPr>
          <w:rFonts w:cstheme="minorHAnsi"/>
          <w:b/>
          <w:bCs/>
          <w:lang w:val="mk-MK"/>
        </w:rPr>
        <w:t>–</w:t>
      </w:r>
      <w:r w:rsidRPr="00B5617C">
        <w:rPr>
          <w:rFonts w:cstheme="minorHAnsi"/>
          <w:b/>
          <w:bCs/>
          <w:lang w:val="mk-MK"/>
        </w:rPr>
        <w:t xml:space="preserve"> </w:t>
      </w:r>
      <w:r w:rsidR="008A15B9" w:rsidRPr="00B5617C">
        <w:rPr>
          <w:rFonts w:cstheme="minorHAnsi"/>
          <w:b/>
          <w:bCs/>
          <w:lang w:val="mk-MK"/>
        </w:rPr>
        <w:t>Резултати од следењето на државни институции за нивото на транспарентност во 2022 година</w:t>
      </w:r>
      <w:r w:rsidR="008A15B9" w:rsidRPr="008A15B9">
        <w:rPr>
          <w:rFonts w:cstheme="minorHAnsi"/>
          <w:b/>
          <w:bCs/>
          <w:lang w:val="mk-MK"/>
        </w:rPr>
        <w:t xml:space="preserve"> </w:t>
      </w:r>
    </w:p>
    <w:p w14:paraId="3AD15E44" w14:textId="77777777" w:rsidR="00F5796C" w:rsidRDefault="00F5796C" w:rsidP="00F5796C">
      <w:pPr>
        <w:jc w:val="center"/>
        <w:rPr>
          <w:rFonts w:cstheme="minorHAnsi"/>
          <w:lang w:val="mk-MK"/>
        </w:rPr>
      </w:pPr>
      <w:r>
        <w:rPr>
          <w:noProof/>
          <w:lang w:val="en-US"/>
        </w:rPr>
        <w:lastRenderedPageBreak/>
        <w:drawing>
          <wp:inline distT="0" distB="0" distL="0" distR="0" wp14:anchorId="64DFA0BF" wp14:editId="633D8655">
            <wp:extent cx="4911725" cy="139319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1A2BD3" w14:textId="5EA410EF" w:rsidR="00F5796C" w:rsidRPr="008A15B9" w:rsidRDefault="008A15B9" w:rsidP="00F5796C">
      <w:pPr>
        <w:jc w:val="both"/>
        <w:rPr>
          <w:rFonts w:cstheme="minorHAnsi"/>
          <w:b/>
          <w:bCs/>
          <w:lang w:val="mk-MK"/>
        </w:rPr>
      </w:pPr>
      <w:r w:rsidRPr="00B5617C">
        <w:rPr>
          <w:rFonts w:cstheme="minorHAnsi"/>
          <w:b/>
          <w:bCs/>
          <w:lang w:val="mk-MK"/>
        </w:rPr>
        <w:t>Графикон 5 – Резултати од следењето на државни институции за нивото на транспарентност во 2021 година</w:t>
      </w:r>
      <w:r w:rsidRPr="008A15B9">
        <w:rPr>
          <w:rFonts w:cstheme="minorHAnsi"/>
          <w:b/>
          <w:bCs/>
          <w:lang w:val="mk-MK"/>
        </w:rPr>
        <w:t xml:space="preserve"> </w:t>
      </w:r>
    </w:p>
    <w:p w14:paraId="400FFE51" w14:textId="77777777" w:rsidR="00F5796C" w:rsidRDefault="00F5796C" w:rsidP="00F5796C">
      <w:pPr>
        <w:jc w:val="center"/>
        <w:rPr>
          <w:rFonts w:cstheme="minorHAnsi"/>
          <w:lang w:val="mk-MK"/>
        </w:rPr>
      </w:pPr>
      <w:r>
        <w:rPr>
          <w:noProof/>
          <w:sz w:val="12"/>
          <w:szCs w:val="12"/>
          <w:lang w:val="en-US"/>
        </w:rPr>
        <w:drawing>
          <wp:inline distT="0" distB="0" distL="0" distR="0" wp14:anchorId="4F1E88BD" wp14:editId="4A5744C9">
            <wp:extent cx="5120640" cy="1463040"/>
            <wp:effectExtent l="0" t="0" r="0" b="0"/>
            <wp:docPr id="1" name="Picture 1" descr="A picture containing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20640" cy="1463040"/>
                    </a:xfrm>
                    <a:prstGeom prst="rect">
                      <a:avLst/>
                    </a:prstGeom>
                    <a:noFill/>
                    <a:ln>
                      <a:noFill/>
                    </a:ln>
                  </pic:spPr>
                </pic:pic>
              </a:graphicData>
            </a:graphic>
          </wp:inline>
        </w:drawing>
      </w:r>
    </w:p>
    <w:p w14:paraId="409C39E6" w14:textId="77777777" w:rsidR="00F5796C" w:rsidRDefault="00F5796C" w:rsidP="00F5796C">
      <w:pPr>
        <w:jc w:val="both"/>
        <w:rPr>
          <w:rFonts w:cstheme="minorHAnsi"/>
          <w:lang w:val="mk-MK"/>
        </w:rPr>
      </w:pPr>
    </w:p>
    <w:p w14:paraId="4466098A" w14:textId="77777777" w:rsidR="00F5796C" w:rsidRDefault="00F5796C" w:rsidP="00F5796C">
      <w:pPr>
        <w:jc w:val="both"/>
        <w:rPr>
          <w:rFonts w:cstheme="minorHAnsi"/>
          <w:lang w:val="mk-MK"/>
        </w:rPr>
      </w:pPr>
      <w:r>
        <w:rPr>
          <w:rFonts w:cstheme="minorHAnsi"/>
          <w:lang w:val="mk-MK"/>
        </w:rPr>
        <w:t xml:space="preserve">Проактивната транспаретност е област од голем интерес на многу невладини организации меѓу кои </w:t>
      </w:r>
      <w:r>
        <w:rPr>
          <w:rFonts w:cstheme="minorHAnsi"/>
        </w:rPr>
        <w:t>Центарот за граѓански комуникации (ЦГК)</w:t>
      </w:r>
      <w:r>
        <w:rPr>
          <w:rStyle w:val="FootnoteReference"/>
          <w:rFonts w:cstheme="minorHAnsi"/>
        </w:rPr>
        <w:footnoteReference w:id="68"/>
      </w:r>
      <w:r>
        <w:rPr>
          <w:rFonts w:cstheme="minorHAnsi"/>
          <w:lang w:val="mk-MK"/>
        </w:rPr>
        <w:t>, Фондација Метаморфозис</w:t>
      </w:r>
      <w:r>
        <w:rPr>
          <w:rStyle w:val="FootnoteReference"/>
          <w:rFonts w:cstheme="minorHAnsi"/>
          <w:lang w:val="mk-MK"/>
        </w:rPr>
        <w:footnoteReference w:id="69"/>
      </w:r>
      <w:r>
        <w:rPr>
          <w:rFonts w:cstheme="minorHAnsi"/>
          <w:lang w:val="mk-MK"/>
        </w:rPr>
        <w:t xml:space="preserve">, </w:t>
      </w:r>
      <w:r>
        <w:rPr>
          <w:rFonts w:cstheme="minorHAnsi"/>
        </w:rPr>
        <w:t>Здружение</w:t>
      </w:r>
      <w:r>
        <w:rPr>
          <w:rFonts w:cstheme="minorHAnsi"/>
          <w:lang w:val="mk-MK"/>
        </w:rPr>
        <w:t>то</w:t>
      </w:r>
      <w:r>
        <w:rPr>
          <w:rFonts w:cstheme="minorHAnsi"/>
        </w:rPr>
        <w:t xml:space="preserve"> за еманципација, солидарност и еднаквост на женити (ЕСЕ), </w:t>
      </w:r>
      <w:r>
        <w:rPr>
          <w:rFonts w:cstheme="minorHAnsi"/>
          <w:lang w:val="mk-MK"/>
        </w:rPr>
        <w:t>и др.</w:t>
      </w:r>
    </w:p>
    <w:p w14:paraId="1988DCEF" w14:textId="512946A7" w:rsidR="00F5796C" w:rsidRDefault="00F5796C" w:rsidP="00F5796C">
      <w:pPr>
        <w:spacing w:after="0"/>
        <w:jc w:val="both"/>
        <w:rPr>
          <w:lang w:val="mk-MK"/>
        </w:rPr>
      </w:pPr>
      <w:r>
        <w:rPr>
          <w:lang w:val="mk-MK"/>
        </w:rPr>
        <w:t xml:space="preserve">Од статистичките податоци кои покажуваат позитивни резултати може да се заклучи дека проактивната транспарентност на институциите е зголемена, што е клучна цел на Стратегијата за транспарентност на </w:t>
      </w:r>
      <w:r w:rsidR="006F5494">
        <w:rPr>
          <w:lang w:val="mk-MK"/>
        </w:rPr>
        <w:t>ВРСМ</w:t>
      </w:r>
      <w:r>
        <w:rPr>
          <w:lang w:val="mk-MK"/>
        </w:rPr>
        <w:t xml:space="preserve"> (2019-2021). Така, најголемиот проблем за граѓаните во однос на транспарентноста на институциите констатиран и во С</w:t>
      </w:r>
      <w:r w:rsidR="00E80658">
        <w:rPr>
          <w:lang w:val="mk-MK"/>
        </w:rPr>
        <w:t xml:space="preserve">тратегијата за </w:t>
      </w:r>
      <w:r>
        <w:rPr>
          <w:lang w:val="mk-MK"/>
        </w:rPr>
        <w:t xml:space="preserve">РЈА </w:t>
      </w:r>
      <w:r w:rsidR="00771754">
        <w:rPr>
          <w:lang w:val="mk-MK"/>
        </w:rPr>
        <w:t>(</w:t>
      </w:r>
      <w:r>
        <w:rPr>
          <w:lang w:val="mk-MK"/>
        </w:rPr>
        <w:t>2018-2022</w:t>
      </w:r>
      <w:r w:rsidR="00771754">
        <w:rPr>
          <w:lang w:val="mk-MK"/>
        </w:rPr>
        <w:t>)</w:t>
      </w:r>
      <w:r>
        <w:rPr>
          <w:lang w:val="mk-MK"/>
        </w:rPr>
        <w:t xml:space="preserve"> беше „молчењето на администрацијата“, односно неодговарањето на институциите по барањата за пристап до информации. Сепак, Извештајот за работата на АЗПСПИЈК за  2022 година покажува дека до неа пристигнале 342 жалби по овој основ, при што постапката е запрена кај 68 од нив бидејќи барателите ги добиле информациите во текот на постапката, а пред донесување на конечно решение на АЗПСПИЈК. Во истиот период минатите години, бројот на вакви жалби се движел помеѓу 750 и 850.</w:t>
      </w:r>
    </w:p>
    <w:p w14:paraId="32908295" w14:textId="77777777" w:rsidR="00F5796C" w:rsidRDefault="00F5796C" w:rsidP="00F5796C">
      <w:pPr>
        <w:spacing w:after="0"/>
        <w:jc w:val="both"/>
        <w:rPr>
          <w:lang w:val="mk-MK"/>
        </w:rPr>
      </w:pPr>
    </w:p>
    <w:p w14:paraId="6CEE6C16" w14:textId="643C6B53" w:rsidR="00F5796C" w:rsidRDefault="00F5796C" w:rsidP="005F795B">
      <w:pPr>
        <w:spacing w:after="0"/>
        <w:jc w:val="both"/>
        <w:rPr>
          <w:lang w:val="mk-MK"/>
        </w:rPr>
      </w:pPr>
      <w:r>
        <w:rPr>
          <w:lang w:val="mk-MK"/>
        </w:rPr>
        <w:t xml:space="preserve">Позитивни ефекти во насока на подигнувањето на нивото на пристап до информации се забележуваат и од работата на </w:t>
      </w:r>
      <w:r w:rsidR="006F5494">
        <w:rPr>
          <w:lang w:val="mk-MK"/>
        </w:rPr>
        <w:t xml:space="preserve">прекршочната </w:t>
      </w:r>
      <w:r>
        <w:rPr>
          <w:lang w:val="mk-MK"/>
        </w:rPr>
        <w:t xml:space="preserve">комисија формирана во рамките на </w:t>
      </w:r>
      <w:r w:rsidR="001D1515">
        <w:rPr>
          <w:rFonts w:cstheme="minorHAnsi"/>
          <w:lang w:val="mk-MK"/>
        </w:rPr>
        <w:t>АЗПСПИЈК</w:t>
      </w:r>
      <w:r>
        <w:rPr>
          <w:lang w:val="mk-MK"/>
        </w:rPr>
        <w:t xml:space="preserve">. Во 2022 година спроведени се 131 прекршочна постапка против службени лица кои во законскиот рок не доставиле годишен извештај за примена на Законот за слободен пристап до информации од </w:t>
      </w:r>
      <w:r>
        <w:rPr>
          <w:lang w:val="mk-MK"/>
        </w:rPr>
        <w:lastRenderedPageBreak/>
        <w:t>јавен карактер, а тоа значи намалување за 2/3 на бројот на недоставени годишни извештаи споредбено со 2021 година.</w:t>
      </w:r>
    </w:p>
    <w:p w14:paraId="1F61636B" w14:textId="77777777" w:rsidR="005F795B" w:rsidRDefault="005F795B" w:rsidP="005F795B">
      <w:pPr>
        <w:spacing w:after="0"/>
        <w:jc w:val="both"/>
        <w:rPr>
          <w:rFonts w:cstheme="minorHAnsi"/>
          <w:lang w:val="mk-MK"/>
        </w:rPr>
      </w:pPr>
    </w:p>
    <w:p w14:paraId="7AEF06A7" w14:textId="6EE341D4" w:rsidR="00F5796C" w:rsidRDefault="00F5796C" w:rsidP="005F795B">
      <w:pPr>
        <w:spacing w:after="0"/>
        <w:jc w:val="both"/>
        <w:rPr>
          <w:rFonts w:cstheme="minorHAnsi"/>
        </w:rPr>
      </w:pPr>
      <w:r>
        <w:rPr>
          <w:rFonts w:cstheme="minorHAnsi"/>
          <w:lang w:val="mk-MK"/>
        </w:rPr>
        <w:t xml:space="preserve">Во рамките на ИПА2 проектот </w:t>
      </w:r>
      <w:r>
        <w:rPr>
          <w:rFonts w:cstheme="minorHAnsi"/>
        </w:rPr>
        <w:t>„Промовирање на транспарентност и отчетност во јавната администрација“</w:t>
      </w:r>
      <w:r>
        <w:rPr>
          <w:rFonts w:cstheme="minorHAnsi"/>
          <w:lang w:val="mk-MK"/>
        </w:rPr>
        <w:t xml:space="preserve"> з</w:t>
      </w:r>
      <w:r>
        <w:rPr>
          <w:rFonts w:cstheme="minorHAnsi"/>
        </w:rPr>
        <w:t xml:space="preserve">а </w:t>
      </w:r>
      <w:r>
        <w:rPr>
          <w:rFonts w:cstheme="minorHAnsi"/>
          <w:lang w:val="mk-MK"/>
        </w:rPr>
        <w:t xml:space="preserve">АЗПСПИЈК беше публикувана </w:t>
      </w:r>
      <w:r>
        <w:rPr>
          <w:rFonts w:cstheme="minorHAnsi"/>
        </w:rPr>
        <w:t>„</w:t>
      </w:r>
      <w:hyperlink r:id="rId29" w:history="1">
        <w:r>
          <w:rPr>
            <w:rStyle w:val="Hyperlink"/>
            <w:rFonts w:cstheme="minorHAnsi"/>
          </w:rPr>
          <w:t>Анализата на примената на Законот за слободен пристап до информации од јавен карактер со препораки за унапредување на системот за слободен пристап до информациите“</w:t>
        </w:r>
      </w:hyperlink>
      <w:r>
        <w:rPr>
          <w:rFonts w:cstheme="minorHAnsi"/>
        </w:rPr>
        <w:t>.</w:t>
      </w:r>
      <w:r>
        <w:rPr>
          <w:rStyle w:val="FootnoteReference"/>
          <w:rFonts w:cstheme="minorHAnsi"/>
        </w:rPr>
        <w:footnoteReference w:id="70"/>
      </w:r>
      <w:r>
        <w:rPr>
          <w:rFonts w:cstheme="minorHAnsi"/>
          <w:lang w:val="mk-MK"/>
        </w:rPr>
        <w:t xml:space="preserve"> Нотирани </w:t>
      </w:r>
      <w:r>
        <w:rPr>
          <w:rFonts w:cstheme="minorHAnsi"/>
        </w:rPr>
        <w:t xml:space="preserve">препораки во Анализата се зголемување на буџетот на </w:t>
      </w:r>
      <w:r>
        <w:rPr>
          <w:rFonts w:cstheme="minorHAnsi"/>
          <w:lang w:val="mk-MK"/>
        </w:rPr>
        <w:t xml:space="preserve">АЗПСПИЈК </w:t>
      </w:r>
      <w:r>
        <w:rPr>
          <w:rFonts w:cstheme="minorHAnsi"/>
        </w:rPr>
        <w:t>за да може да ги исполни своите надлежности во целост, односно да се посвети на едукација на имателите на информации, да може да спроведува голем број на кампањи за да ги едуцира граѓаните и да се насочи кон едуцирање на избраните и именуваните функционери, затоа што од политичката волја на некои органи се покажува дека зависи и слободниот пристап до информации од јавен карактер.</w:t>
      </w:r>
    </w:p>
    <w:p w14:paraId="7AA99672" w14:textId="77777777" w:rsidR="005F795B" w:rsidRDefault="005F795B" w:rsidP="00F5796C">
      <w:pPr>
        <w:spacing w:after="0"/>
        <w:jc w:val="both"/>
        <w:rPr>
          <w:lang w:val="mk-MK"/>
        </w:rPr>
      </w:pPr>
    </w:p>
    <w:p w14:paraId="3EDF1E78" w14:textId="57261928" w:rsidR="00F5796C" w:rsidRDefault="00B12204" w:rsidP="00F5796C">
      <w:pPr>
        <w:spacing w:after="0"/>
        <w:jc w:val="both"/>
        <w:rPr>
          <w:lang w:val="mk-MK"/>
        </w:rPr>
      </w:pPr>
      <w:r>
        <w:rPr>
          <w:lang w:val="mk-MK"/>
        </w:rPr>
        <w:t>Контину</w:t>
      </w:r>
      <w:r w:rsidR="00F5796C">
        <w:rPr>
          <w:lang w:val="mk-MK"/>
        </w:rPr>
        <w:t>ирано се спроведуваат едукативни обуки и работилници, изработка на прирачници, водичи,  како помошни алатки за имателите и барателите на информации од јавен карактер во насока на правилна примена на одредбите од Законот. Следејќи го процесот на дигитализација во работата на државните органи, АЗПСПИЈК имплементираше и два електронски портали наменети за баратели и иматели на информации, кои треба да се промовираат во следниот период како алатка за електронско поднесување и одговарање на барање за слободен пристап до информации од јавен карактер. Искуството покажува дека поддршката на институциите во оваа област, која најчесто се обезбедува со средства од донатори, треба да продолжи бидејќи активностите утврдени со претходната С</w:t>
      </w:r>
      <w:r w:rsidR="006F5494">
        <w:rPr>
          <w:lang w:val="mk-MK"/>
        </w:rPr>
        <w:t xml:space="preserve">тратегија за </w:t>
      </w:r>
      <w:r w:rsidR="00F5796C">
        <w:rPr>
          <w:lang w:val="mk-MK"/>
        </w:rPr>
        <w:t xml:space="preserve">РЈА успешно се реализираат. </w:t>
      </w:r>
    </w:p>
    <w:p w14:paraId="10A0A75B" w14:textId="77777777" w:rsidR="00F5796C" w:rsidRDefault="00F5796C" w:rsidP="00F5796C">
      <w:pPr>
        <w:spacing w:after="0"/>
        <w:jc w:val="both"/>
        <w:rPr>
          <w:lang w:val="mk-MK"/>
        </w:rPr>
      </w:pPr>
    </w:p>
    <w:p w14:paraId="7E4105A7" w14:textId="775D1E73" w:rsidR="00F5796C" w:rsidRPr="00FC58FC" w:rsidRDefault="001D1515" w:rsidP="00FC58FC">
      <w:pPr>
        <w:pStyle w:val="NormalWeb"/>
        <w:shd w:val="clear" w:color="auto" w:fill="FFFFFF"/>
        <w:spacing w:before="0" w:beforeAutospacing="0" w:after="0" w:afterAutospacing="0" w:line="276" w:lineRule="auto"/>
        <w:jc w:val="both"/>
        <w:rPr>
          <w:rFonts w:asciiTheme="minorHAnsi" w:eastAsia="Tahoma" w:hAnsiTheme="minorHAnsi" w:cstheme="minorHAnsi"/>
          <w:sz w:val="22"/>
          <w:szCs w:val="22"/>
        </w:rPr>
      </w:pPr>
      <w:r>
        <w:rPr>
          <w:rFonts w:asciiTheme="minorHAnsi" w:eastAsia="Tahoma" w:hAnsiTheme="minorHAnsi" w:cstheme="minorHAnsi"/>
          <w:sz w:val="22"/>
          <w:szCs w:val="22"/>
          <w:shd w:val="clear" w:color="auto" w:fill="FFFFFF"/>
          <w:lang w:val="mk-MK"/>
        </w:rPr>
        <w:t>МЛС</w:t>
      </w:r>
      <w:r w:rsidR="00F5796C" w:rsidRPr="00FC58FC">
        <w:rPr>
          <w:rFonts w:asciiTheme="minorHAnsi" w:eastAsia="Tahoma" w:hAnsiTheme="minorHAnsi" w:cstheme="minorHAnsi"/>
          <w:sz w:val="22"/>
          <w:szCs w:val="22"/>
          <w:shd w:val="clear" w:color="auto" w:fill="FFFFFF"/>
        </w:rPr>
        <w:t xml:space="preserve"> </w:t>
      </w:r>
      <w:r w:rsidR="00F5796C" w:rsidRPr="00FC58FC">
        <w:rPr>
          <w:rFonts w:asciiTheme="minorHAnsi" w:eastAsia="Tahoma" w:hAnsiTheme="minorHAnsi" w:cstheme="minorHAnsi"/>
          <w:sz w:val="22"/>
          <w:szCs w:val="22"/>
          <w:shd w:val="clear" w:color="auto" w:fill="FFFFFF"/>
          <w:lang w:val="mk-MK"/>
        </w:rPr>
        <w:t>со поддршка</w:t>
      </w:r>
      <w:r w:rsidR="00F5796C" w:rsidRPr="00FC58FC">
        <w:rPr>
          <w:rFonts w:asciiTheme="minorHAnsi" w:eastAsia="Tahoma" w:hAnsiTheme="minorHAnsi" w:cstheme="minorHAnsi"/>
          <w:sz w:val="22"/>
          <w:szCs w:val="22"/>
          <w:shd w:val="clear" w:color="auto" w:fill="FFFFFF"/>
        </w:rPr>
        <w:t xml:space="preserve"> на УСАИД изработи Кодекс за транспарентност на локално ниво чија цел е подобрување на </w:t>
      </w:r>
      <w:r w:rsidR="00F5796C" w:rsidRPr="00FC58FC">
        <w:rPr>
          <w:rFonts w:asciiTheme="minorHAnsi" w:eastAsia="Tahoma" w:hAnsiTheme="minorHAnsi" w:cstheme="minorHAnsi"/>
          <w:sz w:val="22"/>
          <w:szCs w:val="22"/>
          <w:shd w:val="clear" w:color="auto" w:fill="FFFFFF"/>
          <w:lang w:val="mk-MK"/>
        </w:rPr>
        <w:t xml:space="preserve">активната </w:t>
      </w:r>
      <w:r w:rsidR="00F5796C" w:rsidRPr="00FC58FC">
        <w:rPr>
          <w:rFonts w:asciiTheme="minorHAnsi" w:eastAsia="Tahoma" w:hAnsiTheme="minorHAnsi" w:cstheme="minorHAnsi"/>
          <w:sz w:val="22"/>
          <w:szCs w:val="22"/>
          <w:shd w:val="clear" w:color="auto" w:fill="FFFFFF"/>
        </w:rPr>
        <w:t>транспарентнос</w:t>
      </w:r>
      <w:r w:rsidR="00F5796C" w:rsidRPr="00FC58FC">
        <w:rPr>
          <w:rFonts w:asciiTheme="minorHAnsi" w:eastAsia="Tahoma" w:hAnsiTheme="minorHAnsi" w:cstheme="minorHAnsi"/>
          <w:sz w:val="22"/>
          <w:szCs w:val="22"/>
          <w:shd w:val="clear" w:color="auto" w:fill="FFFFFF"/>
          <w:lang w:val="mk-MK"/>
        </w:rPr>
        <w:t>т</w:t>
      </w:r>
      <w:r w:rsidR="00F5796C" w:rsidRPr="00FC58FC">
        <w:rPr>
          <w:rFonts w:asciiTheme="minorHAnsi" w:eastAsia="Tahoma" w:hAnsiTheme="minorHAnsi" w:cstheme="minorHAnsi"/>
          <w:sz w:val="22"/>
          <w:szCs w:val="22"/>
          <w:shd w:val="clear" w:color="auto" w:fill="FFFFFF"/>
        </w:rPr>
        <w:t xml:space="preserve"> и отчетност на единиците на локалната самоуправа преку определување на главниот извор на информации, како и структурата на информациите коишто треба да бидат објавени на општинските веб страници.</w:t>
      </w:r>
    </w:p>
    <w:p w14:paraId="1F82CF55" w14:textId="77777777" w:rsidR="00F5796C" w:rsidRPr="00FC58FC" w:rsidRDefault="00F5796C" w:rsidP="00FC58FC">
      <w:pPr>
        <w:pStyle w:val="NormalWeb"/>
        <w:shd w:val="clear" w:color="auto" w:fill="FFFFFF"/>
        <w:spacing w:before="75" w:beforeAutospacing="0" w:after="75" w:afterAutospacing="0" w:line="276" w:lineRule="auto"/>
        <w:jc w:val="both"/>
        <w:rPr>
          <w:rFonts w:asciiTheme="minorHAnsi" w:eastAsia="Tahoma" w:hAnsiTheme="minorHAnsi" w:cstheme="minorHAnsi"/>
          <w:sz w:val="22"/>
          <w:szCs w:val="22"/>
        </w:rPr>
      </w:pPr>
      <w:r w:rsidRPr="00FC58FC">
        <w:rPr>
          <w:rFonts w:asciiTheme="minorHAnsi" w:eastAsia="Tahoma" w:hAnsiTheme="minorHAnsi" w:cstheme="minorHAnsi"/>
          <w:sz w:val="22"/>
          <w:szCs w:val="22"/>
          <w:shd w:val="clear" w:color="auto" w:fill="FFFFFF"/>
        </w:rPr>
        <w:t>Кодексот за транспарентност на локално ниво содржи минимум стандарди за проактивно информирање на јавноста за работата на органите на општината, услугите што ги обезбедува општината преку јавните служби, како и други информации коишто ги создава или со коишто располага општината. Целта е преку примена на овие стандарди да се обезбеди воедначен пристап до информациите во сите општини на предвидлив начин, со исполнување минимум стандарди и на задоволително техничко ниво.</w:t>
      </w:r>
    </w:p>
    <w:p w14:paraId="7858A680" w14:textId="163B306F" w:rsidR="00F5796C" w:rsidRPr="00FC58FC" w:rsidRDefault="00F5796C" w:rsidP="00FC58FC">
      <w:pPr>
        <w:pStyle w:val="NormalWeb"/>
        <w:shd w:val="clear" w:color="auto" w:fill="FFFFFF"/>
        <w:spacing w:before="75" w:beforeAutospacing="0" w:after="75" w:afterAutospacing="0" w:line="276" w:lineRule="auto"/>
        <w:jc w:val="both"/>
        <w:rPr>
          <w:rFonts w:ascii="Calibri" w:eastAsia="Tahoma" w:hAnsi="Calibri" w:cs="Calibri"/>
          <w:sz w:val="22"/>
          <w:szCs w:val="22"/>
        </w:rPr>
      </w:pPr>
      <w:r w:rsidRPr="00FC58FC">
        <w:rPr>
          <w:rFonts w:ascii="Calibri" w:eastAsia="Tahoma" w:hAnsi="Calibri" w:cs="Calibri"/>
          <w:sz w:val="22"/>
          <w:szCs w:val="22"/>
          <w:shd w:val="clear" w:color="auto" w:fill="FFFFFF"/>
        </w:rPr>
        <w:lastRenderedPageBreak/>
        <w:t>Потребата за изработка на Кодексот за транспарентност на локално ниво произлегува од Законот за локалната самоуправа, З</w:t>
      </w:r>
      <w:r w:rsidR="001D1515">
        <w:rPr>
          <w:rFonts w:ascii="Calibri" w:eastAsia="Tahoma" w:hAnsi="Calibri" w:cs="Calibri"/>
          <w:sz w:val="22"/>
          <w:szCs w:val="22"/>
          <w:shd w:val="clear" w:color="auto" w:fill="FFFFFF"/>
          <w:lang w:val="mk-MK"/>
        </w:rPr>
        <w:t>СПИЈК</w:t>
      </w:r>
      <w:r w:rsidRPr="00FC58FC">
        <w:rPr>
          <w:rFonts w:ascii="Calibri" w:eastAsia="Tahoma" w:hAnsi="Calibri" w:cs="Calibri"/>
          <w:sz w:val="22"/>
          <w:szCs w:val="22"/>
          <w:shd w:val="clear" w:color="auto" w:fill="FFFFFF"/>
        </w:rPr>
        <w:t>, Законот за користење информации од јавниот сектор како и Законот за заштита на личните податоци, а е предвидена со Акцискиот план за спроведување на Програмата за одржлив локален развој и децентрализација</w:t>
      </w:r>
      <w:r w:rsidR="001076F3">
        <w:rPr>
          <w:rFonts w:ascii="Calibri" w:eastAsia="Tahoma" w:hAnsi="Calibri" w:cs="Calibri"/>
          <w:sz w:val="22"/>
          <w:szCs w:val="22"/>
          <w:shd w:val="clear" w:color="auto" w:fill="FFFFFF"/>
          <w:lang w:val="mk-MK"/>
        </w:rPr>
        <w:t>(</w:t>
      </w:r>
      <w:r w:rsidRPr="00FC58FC">
        <w:rPr>
          <w:rFonts w:ascii="Calibri" w:eastAsia="Tahoma" w:hAnsi="Calibri" w:cs="Calibri"/>
          <w:sz w:val="22"/>
          <w:szCs w:val="22"/>
          <w:shd w:val="clear" w:color="auto" w:fill="FFFFFF"/>
        </w:rPr>
        <w:t>2021-2026</w:t>
      </w:r>
      <w:r w:rsidR="001076F3">
        <w:rPr>
          <w:rFonts w:ascii="Calibri" w:eastAsia="Tahoma" w:hAnsi="Calibri" w:cs="Calibri"/>
          <w:sz w:val="22"/>
          <w:szCs w:val="22"/>
          <w:shd w:val="clear" w:color="auto" w:fill="FFFFFF"/>
          <w:lang w:val="mk-MK"/>
        </w:rPr>
        <w:t>)</w:t>
      </w:r>
      <w:r w:rsidRPr="00FC58FC">
        <w:rPr>
          <w:rFonts w:ascii="Calibri" w:eastAsia="Tahoma" w:hAnsi="Calibri" w:cs="Calibri"/>
          <w:sz w:val="22"/>
          <w:szCs w:val="22"/>
          <w:shd w:val="clear" w:color="auto" w:fill="FFFFFF"/>
        </w:rPr>
        <w:t>.  </w:t>
      </w:r>
    </w:p>
    <w:p w14:paraId="7BF8664C" w14:textId="77777777" w:rsidR="00F5796C" w:rsidRDefault="00F5796C" w:rsidP="00F5796C">
      <w:pPr>
        <w:spacing w:after="0"/>
        <w:jc w:val="both"/>
        <w:rPr>
          <w:lang w:val="mk-MK"/>
        </w:rPr>
      </w:pPr>
    </w:p>
    <w:p w14:paraId="03795DBC" w14:textId="77777777" w:rsidR="00F5796C" w:rsidRPr="006D5ECF" w:rsidRDefault="00F5796C" w:rsidP="00F5796C">
      <w:pPr>
        <w:spacing w:after="0"/>
        <w:jc w:val="both"/>
        <w:rPr>
          <w:b/>
          <w:bCs/>
          <w:lang w:val="mk-MK"/>
        </w:rPr>
      </w:pPr>
      <w:r w:rsidRPr="006D5ECF">
        <w:rPr>
          <w:b/>
          <w:bCs/>
          <w:lang w:val="mk-MK"/>
        </w:rPr>
        <w:t>Отворени податоци</w:t>
      </w:r>
    </w:p>
    <w:p w14:paraId="5858BD0A" w14:textId="77777777" w:rsidR="00FC58FC" w:rsidRDefault="00FC58FC" w:rsidP="00F5796C">
      <w:pPr>
        <w:jc w:val="both"/>
        <w:rPr>
          <w:rFonts w:ascii="Calibri" w:hAnsi="Calibri" w:cs="Calibri"/>
          <w:lang w:val="mk-MK"/>
        </w:rPr>
      </w:pPr>
    </w:p>
    <w:p w14:paraId="620DACF8" w14:textId="056649D0" w:rsidR="00F5796C" w:rsidRDefault="007C2186" w:rsidP="00F5796C">
      <w:pPr>
        <w:jc w:val="both"/>
        <w:rPr>
          <w:rFonts w:ascii="Calibri" w:hAnsi="Calibri" w:cs="Calibri"/>
          <w:lang w:val="mk-MK"/>
        </w:rPr>
      </w:pPr>
      <w:r>
        <w:rPr>
          <w:rFonts w:ascii="Calibri" w:hAnsi="Calibri" w:cs="Calibri"/>
          <w:lang w:val="mk-MK"/>
        </w:rPr>
        <w:t>ВРСМ</w:t>
      </w:r>
      <w:r w:rsidR="00F5796C">
        <w:rPr>
          <w:rFonts w:ascii="Calibri" w:hAnsi="Calibri" w:cs="Calibri"/>
          <w:lang w:val="mk-MK"/>
        </w:rPr>
        <w:t xml:space="preserve"> препозна дека отворените податоци можат да бидат силен поттик за социјален и економски развој и дека може да се искористат и за подобрување на управувањето преку зголемување на транспарентноста, отвореноста, интегритетот и јавното учество во централната и локалната власт.</w:t>
      </w:r>
    </w:p>
    <w:p w14:paraId="41B17E5C" w14:textId="77777777" w:rsidR="00F5796C" w:rsidRDefault="00F5796C" w:rsidP="00F5796C">
      <w:pPr>
        <w:jc w:val="both"/>
        <w:rPr>
          <w:rFonts w:ascii="Calibri" w:hAnsi="Calibri" w:cs="Calibri"/>
          <w:lang w:val="mk-MK"/>
        </w:rPr>
      </w:pPr>
      <w:r>
        <w:rPr>
          <w:rFonts w:ascii="Calibri" w:hAnsi="Calibri" w:cs="Calibri"/>
          <w:lang w:val="mk-MK"/>
        </w:rPr>
        <w:t>Политиките</w:t>
      </w:r>
      <w:r>
        <w:rPr>
          <w:rStyle w:val="FootnoteReference"/>
          <w:rFonts w:ascii="Calibri" w:hAnsi="Calibri" w:cs="Calibri"/>
        </w:rPr>
        <w:footnoteReference w:id="71"/>
      </w:r>
      <w:r>
        <w:rPr>
          <w:rFonts w:ascii="Calibri" w:hAnsi="Calibri" w:cs="Calibri"/>
          <w:lang w:val="mk-MK"/>
        </w:rPr>
        <w:t xml:space="preserve"> кои го уредуваат ова прашање ја дефинираат обврската на институциите од јавниот сектор за објавување на податоците кои ги создаваат (во отворен формат), со цел да се овозможи користење на податоците од страна на физичките и правните лица во креирање на нови информации, содржини, апликации и услуги и ги дефинираат стратешките цели со кои се поттикнува објавувањето и користењето на отворените податоци, со цел да се придонесе кон зголемување на транспарентноста и отчетноста на јавниот сектор, да се подобри квалитетот на услугите кои тие ги нудат и во исто време да се поттикнат иновациите. </w:t>
      </w:r>
    </w:p>
    <w:p w14:paraId="51496836" w14:textId="46C42293" w:rsidR="00F5796C" w:rsidRDefault="00F5796C" w:rsidP="00F5796C">
      <w:pPr>
        <w:jc w:val="both"/>
        <w:rPr>
          <w:rFonts w:ascii="Calibri" w:hAnsi="Calibri" w:cs="Calibri"/>
          <w:color w:val="FF0000"/>
          <w:lang w:val="mk-MK"/>
        </w:rPr>
      </w:pPr>
      <w:r>
        <w:rPr>
          <w:rFonts w:ascii="Calibri" w:hAnsi="Calibri" w:cs="Calibri"/>
          <w:lang w:val="mk-MK"/>
        </w:rPr>
        <w:t>М</w:t>
      </w:r>
      <w:r w:rsidR="001076F3">
        <w:rPr>
          <w:rFonts w:ascii="Calibri" w:hAnsi="Calibri" w:cs="Calibri"/>
          <w:lang w:val="mk-MK"/>
        </w:rPr>
        <w:t>ИОА</w:t>
      </w:r>
      <w:r>
        <w:rPr>
          <w:rFonts w:ascii="Calibri" w:hAnsi="Calibri" w:cs="Calibri"/>
          <w:lang w:val="mk-MK"/>
        </w:rPr>
        <w:t xml:space="preserve"> е надлежна институција за координација на процесот за отворени податоци и одржување на порталот за отворени податоци </w:t>
      </w:r>
      <w:hyperlink r:id="rId30" w:history="1">
        <w:r>
          <w:rPr>
            <w:rStyle w:val="Hyperlink"/>
            <w:rFonts w:ascii="Calibri" w:hAnsi="Calibri" w:cs="Calibri"/>
            <w:lang w:val="mk-MK"/>
          </w:rPr>
          <w:t>www.data.gov.mk</w:t>
        </w:r>
      </w:hyperlink>
      <w:r>
        <w:rPr>
          <w:rFonts w:ascii="Calibri" w:hAnsi="Calibri" w:cs="Calibri"/>
          <w:lang w:val="mk-MK"/>
        </w:rPr>
        <w:t xml:space="preserve"> како централен каталог на отворени податоци. </w:t>
      </w:r>
    </w:p>
    <w:p w14:paraId="082FC2D3" w14:textId="76D429AB" w:rsidR="00F5796C" w:rsidRDefault="00F5796C" w:rsidP="00F5796C">
      <w:pPr>
        <w:jc w:val="both"/>
        <w:rPr>
          <w:rFonts w:ascii="Calibri" w:hAnsi="Calibri" w:cs="Calibri"/>
          <w:lang w:val="mk-MK"/>
        </w:rPr>
      </w:pPr>
      <w:r>
        <w:rPr>
          <w:rFonts w:ascii="Calibri" w:hAnsi="Calibri" w:cs="Calibri"/>
          <w:lang w:val="mk-MK"/>
        </w:rPr>
        <w:t>И покрај постојните предизвици со недоволниот број  на државни службеници кои се задолжени за управување со процесот и порталот за отворени податоци, во рамки на редовните активности континуирано се работи на поддршка на  институциите во процесот на отворање на податоците и во однос на техничките аспекти и начинот на функционирање на порталот за отворени податоци. Во три циклуси се обезбеди директна поддршка и обука за членовите на тимовите за отворени податоци од институциите, попис и каталогизација на податочните сетови, приоритизација на податочните сетови, креирање и објавување на податочни сетови во отворен формат и креирање на интерни процедури за отворени податоци за институциите. Заклучно со  декември 2022 година на Порталот за отворени податоци се објавени 58</w:t>
      </w:r>
      <w:r>
        <w:rPr>
          <w:rFonts w:ascii="Calibri" w:hAnsi="Calibri" w:cs="Calibri"/>
        </w:rPr>
        <w:t>0</w:t>
      </w:r>
      <w:r>
        <w:rPr>
          <w:rFonts w:ascii="Calibri" w:hAnsi="Calibri" w:cs="Calibri"/>
          <w:lang w:val="mk-MK"/>
        </w:rPr>
        <w:t xml:space="preserve"> податочни сетови од 74 институции</w:t>
      </w:r>
      <w:r>
        <w:rPr>
          <w:rFonts w:ascii="Calibri" w:hAnsi="Calibri" w:cs="Calibri"/>
        </w:rPr>
        <w:t xml:space="preserve"> (</w:t>
      </w:r>
      <w:r>
        <w:rPr>
          <w:rFonts w:ascii="Calibri" w:hAnsi="Calibri" w:cs="Calibri"/>
          <w:lang w:val="mk-MK"/>
        </w:rPr>
        <w:t>задолжени за објавување се сите министерства, агенции и дирекции</w:t>
      </w:r>
      <w:r>
        <w:rPr>
          <w:rFonts w:ascii="Calibri" w:hAnsi="Calibri" w:cs="Calibri"/>
        </w:rPr>
        <w:t>)</w:t>
      </w:r>
      <w:r>
        <w:rPr>
          <w:rFonts w:ascii="Calibri" w:hAnsi="Calibri" w:cs="Calibri"/>
          <w:lang w:val="mk-MK"/>
        </w:rPr>
        <w:t xml:space="preserve"> од јавниот сектор. Додадена вредност на порталот даваат податоците објавени од институции кои не се обврзани да објават податоци, но го препознале порталот како добра алатка за објавување на нивните податоци за обработка од коирисниците. На порталот се објавени три апликации кои се продукт на отворените податоци од порталот, а се изработени на Хакатони. Дополнително во насока на унапредување на вештините, изработен е автоматизиран вебинар (видео-обука) од 10 лекции за отворени податоци кои се достапни на порталот data.gov.mk и беше спроведена обука за обучувачи од страна на експерти  од Институтот за отворени податоци од Велика Британија. </w:t>
      </w:r>
    </w:p>
    <w:p w14:paraId="2B51DF03" w14:textId="402A69BC" w:rsidR="00F5796C" w:rsidRDefault="00F5796C" w:rsidP="00FC58FC">
      <w:pPr>
        <w:spacing w:after="0" w:line="276" w:lineRule="auto"/>
        <w:jc w:val="both"/>
        <w:rPr>
          <w:rFonts w:ascii="Times New Roman" w:hAnsi="Times New Roman" w:cs="Times New Roman"/>
          <w:sz w:val="24"/>
          <w:szCs w:val="24"/>
        </w:rPr>
      </w:pPr>
      <w:r>
        <w:rPr>
          <w:rFonts w:ascii="Calibri" w:hAnsi="Calibri" w:cs="Calibri"/>
          <w:lang w:val="mk-MK"/>
        </w:rPr>
        <w:t>М</w:t>
      </w:r>
      <w:r w:rsidR="001076F3">
        <w:rPr>
          <w:rFonts w:ascii="Calibri" w:hAnsi="Calibri" w:cs="Calibri"/>
          <w:lang w:val="mk-MK"/>
        </w:rPr>
        <w:t>ИОА</w:t>
      </w:r>
      <w:r>
        <w:rPr>
          <w:rFonts w:ascii="Calibri" w:hAnsi="Calibri" w:cs="Calibri"/>
          <w:lang w:val="mk-MK"/>
        </w:rPr>
        <w:t xml:space="preserve"> работи на усогласување со ЕУ Директивата за отворени податоци и реупотреба на информациите од јавниот сектор (2019/1024), заради што е формирана работна група за подготовка </w:t>
      </w:r>
      <w:r>
        <w:rPr>
          <w:rFonts w:ascii="Calibri" w:hAnsi="Calibri" w:cs="Calibri"/>
          <w:lang w:val="mk-MK"/>
        </w:rPr>
        <w:lastRenderedPageBreak/>
        <w:t xml:space="preserve">на Законот за изменување и дополнување на </w:t>
      </w:r>
      <w:r w:rsidR="007C2186">
        <w:rPr>
          <w:rFonts w:ascii="Calibri" w:hAnsi="Calibri" w:cs="Calibri"/>
          <w:lang w:val="mk-MK"/>
        </w:rPr>
        <w:t>З</w:t>
      </w:r>
      <w:r>
        <w:rPr>
          <w:rFonts w:ascii="Calibri" w:hAnsi="Calibri" w:cs="Calibri"/>
          <w:lang w:val="mk-MK"/>
        </w:rPr>
        <w:t>аконот за користење на податоците од јавниот сектор. Истото ќе придонесе за зајакнување на економијата на податоци преку зајакнување на позитивниот ефект од повторната употреба на податоците од јавниот сектор врз економијата и општеството, прилагодување на технолошките промени во областа на управувањето и користењето на податоците, фер конкуренција преку намалување на постоечките бариери за пристап до повторна употреба и оневозможување на  појава на нови бариери и зголемување на количината на податоци од јавниот сектор достапни за повторна употреба.</w:t>
      </w:r>
      <w:r>
        <w:rPr>
          <w:rFonts w:ascii="Times New Roman" w:hAnsi="Times New Roman" w:cs="Times New Roman"/>
          <w:sz w:val="24"/>
          <w:szCs w:val="24"/>
          <w:lang w:val="mk-MK"/>
        </w:rPr>
        <w:t xml:space="preserve"> </w:t>
      </w:r>
    </w:p>
    <w:p w14:paraId="7EE53F11" w14:textId="77777777" w:rsidR="00F5796C" w:rsidRDefault="00F5796C" w:rsidP="00F5796C">
      <w:pPr>
        <w:spacing w:after="0"/>
        <w:ind w:firstLine="720"/>
        <w:jc w:val="both"/>
        <w:rPr>
          <w:lang w:val="mk-MK"/>
        </w:rPr>
      </w:pPr>
      <w:r>
        <w:rPr>
          <w:lang w:val="mk-MK"/>
        </w:rPr>
        <w:t xml:space="preserve"> </w:t>
      </w:r>
    </w:p>
    <w:p w14:paraId="3BB16C3B" w14:textId="77777777" w:rsidR="00F5796C" w:rsidRDefault="00F5796C" w:rsidP="00F5796C">
      <w:pPr>
        <w:spacing w:after="0"/>
        <w:ind w:firstLine="720"/>
        <w:jc w:val="both"/>
        <w:rPr>
          <w:lang w:val="mk-MK"/>
        </w:rPr>
      </w:pPr>
    </w:p>
    <w:p w14:paraId="60D62399" w14:textId="45B518B0" w:rsidR="00F5796C" w:rsidRDefault="00B26F37" w:rsidP="00F5796C">
      <w:pPr>
        <w:pStyle w:val="Heading2"/>
        <w:numPr>
          <w:ilvl w:val="1"/>
          <w:numId w:val="1"/>
        </w:numPr>
        <w:rPr>
          <w:lang w:val="mk-MK"/>
        </w:rPr>
      </w:pPr>
      <w:r>
        <w:rPr>
          <w:lang w:val="mk-MK"/>
        </w:rPr>
        <w:t>Прио</w:t>
      </w:r>
      <w:r w:rsidR="00F5796C">
        <w:rPr>
          <w:lang w:val="mk-MK"/>
        </w:rPr>
        <w:t>р</w:t>
      </w:r>
      <w:r>
        <w:rPr>
          <w:lang w:val="mk-MK"/>
        </w:rPr>
        <w:t>и</w:t>
      </w:r>
      <w:r w:rsidR="00F5796C">
        <w:rPr>
          <w:lang w:val="mk-MK"/>
        </w:rPr>
        <w:t xml:space="preserve">тетна област 4: </w:t>
      </w:r>
      <w:r w:rsidR="00C46E34">
        <w:rPr>
          <w:lang w:val="mk-MK"/>
        </w:rPr>
        <w:t xml:space="preserve">Давање услуги и </w:t>
      </w:r>
      <w:r w:rsidR="00F5796C">
        <w:rPr>
          <w:lang w:val="mk-MK"/>
        </w:rPr>
        <w:t xml:space="preserve">Дигитална трансформација </w:t>
      </w:r>
    </w:p>
    <w:p w14:paraId="3CC99FF5" w14:textId="1E0A3C78" w:rsidR="00F5796C" w:rsidRDefault="00F5796C" w:rsidP="00F5796C">
      <w:pPr>
        <w:rPr>
          <w:lang w:val="mk-MK"/>
        </w:rPr>
      </w:pPr>
    </w:p>
    <w:p w14:paraId="053E9783" w14:textId="77777777" w:rsidR="00F5796C" w:rsidRPr="00E402B0" w:rsidRDefault="00F5796C" w:rsidP="00FC58FC">
      <w:pPr>
        <w:spacing w:line="276" w:lineRule="auto"/>
        <w:jc w:val="both"/>
        <w:rPr>
          <w:rFonts w:cs="Calibri"/>
        </w:rPr>
      </w:pPr>
      <w:r w:rsidRPr="00E402B0">
        <w:rPr>
          <w:rFonts w:cs="Calibri"/>
        </w:rPr>
        <w:t xml:space="preserve">За создавање на околина погодна за дигитална трансформација која до највисок можен степен ќе го автоматизира процесот на испорака на јавни услуги, идентификувана е потреба за интервенции во три аспекти: </w:t>
      </w:r>
    </w:p>
    <w:p w14:paraId="4D471E15" w14:textId="7103C413" w:rsidR="00F5796C" w:rsidRPr="00E402B0" w:rsidRDefault="00F5796C" w:rsidP="00F5796C">
      <w:pPr>
        <w:pStyle w:val="ListParagraph"/>
        <w:numPr>
          <w:ilvl w:val="0"/>
          <w:numId w:val="2"/>
        </w:numPr>
        <w:rPr>
          <w:rFonts w:cs="Calibri"/>
        </w:rPr>
      </w:pPr>
      <w:r>
        <w:rPr>
          <w:rFonts w:cs="Calibri"/>
          <w:lang w:val="mk-MK"/>
        </w:rPr>
        <w:t xml:space="preserve">Законска </w:t>
      </w:r>
      <w:r w:rsidRPr="00E402B0">
        <w:rPr>
          <w:rFonts w:cs="Calibri"/>
        </w:rPr>
        <w:t>рамка</w:t>
      </w:r>
      <w:r w:rsidR="001076F3">
        <w:rPr>
          <w:rFonts w:cs="Calibri"/>
          <w:lang w:val="mk-MK"/>
        </w:rPr>
        <w:t>;</w:t>
      </w:r>
    </w:p>
    <w:p w14:paraId="3C59ECE3" w14:textId="79442C7E" w:rsidR="00F5796C" w:rsidRPr="00E402B0" w:rsidRDefault="00F5796C" w:rsidP="00F5796C">
      <w:pPr>
        <w:pStyle w:val="ListParagraph"/>
        <w:numPr>
          <w:ilvl w:val="0"/>
          <w:numId w:val="2"/>
        </w:numPr>
        <w:rPr>
          <w:rFonts w:cs="Calibri"/>
        </w:rPr>
      </w:pPr>
      <w:r w:rsidRPr="00E402B0">
        <w:rPr>
          <w:rFonts w:cs="Calibri"/>
        </w:rPr>
        <w:t>Техничка рамка (инфраструктура)</w:t>
      </w:r>
      <w:r w:rsidR="001076F3">
        <w:rPr>
          <w:rFonts w:cs="Calibri"/>
          <w:lang w:val="mk-MK"/>
        </w:rPr>
        <w:t xml:space="preserve"> и</w:t>
      </w:r>
    </w:p>
    <w:p w14:paraId="60E19176" w14:textId="10996665" w:rsidR="00F5796C" w:rsidRPr="00E402B0" w:rsidRDefault="00F5796C" w:rsidP="00F5796C">
      <w:pPr>
        <w:pStyle w:val="ListParagraph"/>
        <w:numPr>
          <w:ilvl w:val="0"/>
          <w:numId w:val="2"/>
        </w:numPr>
        <w:rPr>
          <w:rFonts w:cs="Calibri"/>
        </w:rPr>
      </w:pPr>
      <w:r w:rsidRPr="00E402B0">
        <w:rPr>
          <w:rFonts w:cs="Calibri"/>
        </w:rPr>
        <w:t>Организациска и институционална рамка</w:t>
      </w:r>
      <w:r w:rsidR="001076F3">
        <w:rPr>
          <w:rFonts w:cs="Calibri"/>
          <w:lang w:val="mk-MK"/>
        </w:rPr>
        <w:t>.</w:t>
      </w:r>
    </w:p>
    <w:p w14:paraId="48964345" w14:textId="1EF475AB" w:rsidR="00F5796C" w:rsidRDefault="00F5796C" w:rsidP="00F5796C">
      <w:pPr>
        <w:jc w:val="both"/>
        <w:rPr>
          <w:rFonts w:cs="Calibri"/>
        </w:rPr>
      </w:pPr>
      <w:r w:rsidRPr="00906A55">
        <w:rPr>
          <w:rFonts w:cs="Calibri"/>
          <w:lang w:val="mk-MK"/>
        </w:rPr>
        <w:t xml:space="preserve">Законската </w:t>
      </w:r>
      <w:r w:rsidRPr="00906A55">
        <w:rPr>
          <w:rFonts w:cs="Calibri"/>
        </w:rPr>
        <w:t>рамка</w:t>
      </w:r>
      <w:r w:rsidRPr="00E402B0">
        <w:rPr>
          <w:rFonts w:cs="Calibri"/>
        </w:rPr>
        <w:t xml:space="preserve"> е составена од неколку хоризонтални законски решенија, при што секое законско решение регулира одреден аспект од работата на јавната администрација</w:t>
      </w:r>
      <w:r w:rsidRPr="00E402B0">
        <w:rPr>
          <w:rFonts w:cs="Calibri"/>
          <w:lang w:val="mk-MK"/>
        </w:rPr>
        <w:t>,</w:t>
      </w:r>
      <w:r w:rsidRPr="00E402B0">
        <w:rPr>
          <w:rFonts w:cs="Calibri"/>
        </w:rPr>
        <w:t xml:space="preserve"> како и приватниот сектор. Од друга страна, иако се преземени бројни чекори во контекст на воспоставување на соодветна техничка рамка и ИКТ инфраструктурата (интероперабилност, </w:t>
      </w:r>
      <w:r w:rsidR="001076F3">
        <w:rPr>
          <w:rFonts w:cs="Calibri"/>
          <w:lang w:val="mk-MK"/>
        </w:rPr>
        <w:t xml:space="preserve">Национален </w:t>
      </w:r>
      <w:r w:rsidRPr="00E402B0">
        <w:rPr>
          <w:rFonts w:cs="Calibri"/>
        </w:rPr>
        <w:t xml:space="preserve">портал за </w:t>
      </w:r>
      <w:r w:rsidR="00F11ED2">
        <w:rPr>
          <w:rFonts w:cs="Calibri"/>
          <w:lang w:val="mk-MK"/>
        </w:rPr>
        <w:t xml:space="preserve">електронски </w:t>
      </w:r>
      <w:r w:rsidRPr="00E402B0">
        <w:rPr>
          <w:rFonts w:cs="Calibri"/>
        </w:rPr>
        <w:t xml:space="preserve">услуги, регистар на население итн), сепак постои потреба за подобро искористување на потенцијалот кој овие решенија го нудат. </w:t>
      </w:r>
      <w:r w:rsidRPr="00E402B0">
        <w:rPr>
          <w:rFonts w:cs="Calibri"/>
          <w:lang w:val="mk-MK"/>
        </w:rPr>
        <w:t xml:space="preserve">Поради не постоење на соодветна институционална рамка не може </w:t>
      </w:r>
      <w:r w:rsidRPr="00E402B0">
        <w:rPr>
          <w:rFonts w:cs="Calibri"/>
        </w:rPr>
        <w:t xml:space="preserve">да се овозможи соодветна примена на законите како и максимално искористување на ИКТ инфраструктурата. Со соодветни акции и интервенции во овие три аспекти се очекува да се забрза целиот неизбежен процес на дигитализација, кој пак е клучен катализатор на економскиот раст, конкурентноста и иновациите, модернизацијата и сеопфатниот социоекономски напредок.  </w:t>
      </w:r>
    </w:p>
    <w:p w14:paraId="479F7B05" w14:textId="77777777" w:rsidR="00F5796C" w:rsidRPr="0016052D" w:rsidRDefault="00F5796C" w:rsidP="00F5796C">
      <w:pPr>
        <w:jc w:val="both"/>
        <w:rPr>
          <w:rFonts w:ascii="Calibri" w:hAnsi="Calibri" w:cs="Calibri"/>
          <w:lang w:val="mk-MK"/>
        </w:rPr>
      </w:pPr>
      <w:r w:rsidRPr="0016052D">
        <w:rPr>
          <w:rFonts w:ascii="Calibri" w:hAnsi="Calibri" w:cs="Calibri"/>
          <w:lang w:val="mk-MK"/>
        </w:rPr>
        <w:t>К</w:t>
      </w:r>
      <w:r w:rsidRPr="0016052D">
        <w:rPr>
          <w:rFonts w:ascii="Calibri" w:hAnsi="Calibri" w:cs="Calibri"/>
        </w:rPr>
        <w:t>ако посебен предизвик се наметнува дигитализацијата на општинските административни услуги со оглед на потребата од комплексни организациски прилагодувања,</w:t>
      </w:r>
      <w:r w:rsidRPr="0016052D">
        <w:rPr>
          <w:rFonts w:ascii="Calibri" w:hAnsi="Calibri" w:cs="Calibri"/>
          <w:lang w:val="mk-MK"/>
        </w:rPr>
        <w:t xml:space="preserve"> </w:t>
      </w:r>
      <w:r w:rsidRPr="0016052D">
        <w:rPr>
          <w:rFonts w:ascii="Calibri" w:hAnsi="Calibri" w:cs="Calibri"/>
        </w:rPr>
        <w:t>поедноставување на процедурите и постигнување на ефективен степен на интероперабилност</w:t>
      </w:r>
      <w:r w:rsidRPr="0016052D">
        <w:rPr>
          <w:rFonts w:ascii="Calibri" w:hAnsi="Calibri" w:cs="Calibri"/>
          <w:lang w:val="mk-MK"/>
        </w:rPr>
        <w:t>, проследено со изградба на соодветни капацитети и стандарди.</w:t>
      </w:r>
    </w:p>
    <w:p w14:paraId="4C3F3732" w14:textId="3B024428" w:rsidR="00F5796C" w:rsidRPr="00FC58FC" w:rsidRDefault="00F5796C" w:rsidP="00FC58FC">
      <w:pPr>
        <w:spacing w:line="276" w:lineRule="auto"/>
        <w:jc w:val="both"/>
        <w:rPr>
          <w:rFonts w:ascii="Calibri" w:hAnsi="Calibri" w:cs="Calibri"/>
          <w:b/>
          <w:bCs/>
          <w:lang w:val="mk-MK"/>
        </w:rPr>
      </w:pPr>
      <w:r w:rsidRPr="00FC58FC">
        <w:rPr>
          <w:rFonts w:ascii="Calibri" w:hAnsi="Calibri" w:cs="Calibri"/>
          <w:lang w:val="mk-MK"/>
        </w:rPr>
        <w:t>Министерството за локална самоуправа, со подрршка на УНДП</w:t>
      </w:r>
      <w:r w:rsidR="00FC58FC">
        <w:rPr>
          <w:rFonts w:ascii="Calibri" w:hAnsi="Calibri" w:cs="Calibri"/>
          <w:lang w:val="mk-MK"/>
        </w:rPr>
        <w:t>,</w:t>
      </w:r>
      <w:r w:rsidRPr="00FC58FC">
        <w:rPr>
          <w:rFonts w:ascii="Calibri" w:hAnsi="Calibri" w:cs="Calibri"/>
          <w:lang w:val="mk-MK"/>
        </w:rPr>
        <w:t xml:space="preserve"> подготви анализи за сост</w:t>
      </w:r>
      <w:r w:rsidRPr="00FC58FC">
        <w:rPr>
          <w:rStyle w:val="cf01"/>
          <w:rFonts w:ascii="Calibri" w:hAnsi="Calibri" w:cs="Calibri"/>
          <w:sz w:val="22"/>
          <w:szCs w:val="22"/>
          <w:lang w:val="mk-MK"/>
        </w:rPr>
        <w:t>ојбите и потенцијалите за дигитализација на општините со препорака за модели за имплементација, за потребата и можноста за унифицирање на е-услугите на локално ниво, како и за можноста за употреба на Националниот поратал за услугите кои ги даваат единиците на локалната самоуправа. Наведените анализи проследени со препораки за следни чекори и потребни предуслови ќе придонесат во процесот на пре</w:t>
      </w:r>
      <w:r w:rsidR="00AF5C48">
        <w:rPr>
          <w:rStyle w:val="cf01"/>
          <w:rFonts w:ascii="Calibri" w:hAnsi="Calibri" w:cs="Calibri"/>
          <w:sz w:val="22"/>
          <w:szCs w:val="22"/>
          <w:lang w:val="mk-MK"/>
        </w:rPr>
        <w:t>з</w:t>
      </w:r>
      <w:r w:rsidRPr="00FC58FC">
        <w:rPr>
          <w:rStyle w:val="cf01"/>
          <w:rFonts w:ascii="Calibri" w:hAnsi="Calibri" w:cs="Calibri"/>
          <w:sz w:val="22"/>
          <w:szCs w:val="22"/>
          <w:lang w:val="mk-MK"/>
        </w:rPr>
        <w:t>емање на понатамошни активности од страна на надлежните органи и институции, а со цел испорака на локалните услуги на ефективен начин, со еднаков третман, пристап и достапност за секој граѓанин.</w:t>
      </w:r>
    </w:p>
    <w:p w14:paraId="0B6A4042" w14:textId="60FD8972" w:rsidR="00F5796C" w:rsidRPr="00E402B0" w:rsidRDefault="000E4598" w:rsidP="00F5796C">
      <w:pPr>
        <w:jc w:val="both"/>
        <w:rPr>
          <w:rFonts w:cs="Calibri"/>
          <w:b/>
          <w:bCs/>
        </w:rPr>
      </w:pPr>
      <w:r>
        <w:rPr>
          <w:rFonts w:cs="Calibri"/>
          <w:b/>
          <w:bCs/>
          <w:lang w:val="mk-MK"/>
        </w:rPr>
        <w:lastRenderedPageBreak/>
        <w:t>Правна</w:t>
      </w:r>
      <w:r w:rsidR="00F5796C" w:rsidRPr="00E402B0">
        <w:rPr>
          <w:rFonts w:cs="Calibri"/>
          <w:b/>
          <w:bCs/>
        </w:rPr>
        <w:t xml:space="preserve"> рамка</w:t>
      </w:r>
    </w:p>
    <w:p w14:paraId="062FE7A4" w14:textId="36271B7A" w:rsidR="00F5796C" w:rsidRPr="00E402B0" w:rsidRDefault="007C2186" w:rsidP="00FC58FC">
      <w:pPr>
        <w:spacing w:line="276" w:lineRule="auto"/>
        <w:jc w:val="both"/>
        <w:rPr>
          <w:rFonts w:cs="Calibri"/>
        </w:rPr>
      </w:pPr>
      <w:r>
        <w:rPr>
          <w:rFonts w:cs="Calibri"/>
          <w:lang w:val="mk-MK"/>
        </w:rPr>
        <w:t>ЗОУП</w:t>
      </w:r>
      <w:r w:rsidR="00F5796C" w:rsidRPr="00E402B0">
        <w:rPr>
          <w:rFonts w:cs="Calibri"/>
        </w:rPr>
        <w:t xml:space="preserve"> претставува општ правен основ за практична примена на ИКТ решенија во сите процеси кои ги подразбира една постапка, а воедно го трасира патот кон поефикасни, поедноставни и побрзи управни постапки кои ги олеснуваат економските активности. Одговорноста за прибирање на докази по службена должност и по електронски пат од страна на институциите е клучна одредба, со што практично се воспоставува едношалтерски систем кој претставува интеграција и рационализација на јавните услуги од гледна точка на странките.  Законот предвидува и задолжително делегирање на надлежности за одлучување во управна постапка на с</w:t>
      </w:r>
      <w:r w:rsidR="00AF5C48">
        <w:rPr>
          <w:rFonts w:cs="Calibri"/>
          <w:lang w:val="mk-MK"/>
        </w:rPr>
        <w:t>лужбениците – специјалисти за управна постапка</w:t>
      </w:r>
      <w:r w:rsidR="00F5796C" w:rsidRPr="00E402B0">
        <w:rPr>
          <w:rFonts w:cs="Calibri"/>
        </w:rPr>
        <w:t xml:space="preserve"> во институциите со што се намалува ризикот од политизација на административните одлуки и значително се подобрува ефикасноста на управните постапки, а воспоставувањето на определени ограничувања на дискреционите овластувања се значаен чекор кон обезбедување на правна сигурност и правна предвидливост во заштитата на правата на граѓаните. Како дел од активностите од С</w:t>
      </w:r>
      <w:r>
        <w:rPr>
          <w:rFonts w:cs="Calibri"/>
          <w:lang w:val="mk-MK"/>
        </w:rPr>
        <w:t xml:space="preserve">тратегијата за </w:t>
      </w:r>
      <w:r w:rsidR="00F5796C" w:rsidRPr="00E402B0">
        <w:rPr>
          <w:rFonts w:cs="Calibri"/>
        </w:rPr>
        <w:t xml:space="preserve">РЈА </w:t>
      </w:r>
      <w:r w:rsidR="00AF5C48">
        <w:rPr>
          <w:rFonts w:cs="Calibri"/>
          <w:lang w:val="mk-MK"/>
        </w:rPr>
        <w:t>(</w:t>
      </w:r>
      <w:r w:rsidR="00F5796C" w:rsidRPr="00E402B0">
        <w:rPr>
          <w:rFonts w:cs="Calibri"/>
        </w:rPr>
        <w:t>2018-2022</w:t>
      </w:r>
      <w:r w:rsidR="00AF5C48">
        <w:rPr>
          <w:rFonts w:cs="Calibri"/>
          <w:lang w:val="mk-MK"/>
        </w:rPr>
        <w:t>)</w:t>
      </w:r>
      <w:r w:rsidR="00F5796C" w:rsidRPr="00E402B0">
        <w:rPr>
          <w:rFonts w:cs="Calibri"/>
        </w:rPr>
        <w:t xml:space="preserve">, во 2019 година се усвоија Законот за централен регистар на население („Службен весник на Република Северна </w:t>
      </w:r>
      <w:r w:rsidR="00B26F37" w:rsidRPr="00E402B0">
        <w:rPr>
          <w:rFonts w:cs="Calibri"/>
        </w:rPr>
        <w:t>Македонија“</w:t>
      </w:r>
      <w:r w:rsidR="00B26F37">
        <w:rPr>
          <w:rFonts w:cs="Calibri"/>
          <w:lang w:val="mk-MK"/>
        </w:rPr>
        <w:t xml:space="preserve"> </w:t>
      </w:r>
      <w:r w:rsidR="00F5796C" w:rsidRPr="00E402B0">
        <w:rPr>
          <w:rFonts w:cs="Calibri"/>
        </w:rPr>
        <w:t xml:space="preserve">бр. 98/19 и 275/19), Законот за електронско управување и електронски услуги </w:t>
      </w:r>
      <w:r w:rsidR="00F5796C" w:rsidRPr="00E402B0">
        <w:rPr>
          <w:rFonts w:cs="Calibri"/>
          <w:color w:val="000000"/>
          <w:shd w:val="clear" w:color="auto" w:fill="FFFFFF"/>
        </w:rPr>
        <w:t>(„Службен весник на Република Северна Македонија“</w:t>
      </w:r>
      <w:r w:rsidR="00B26F37">
        <w:rPr>
          <w:rFonts w:cs="Calibri"/>
          <w:color w:val="000000"/>
          <w:shd w:val="clear" w:color="auto" w:fill="FFFFFF"/>
          <w:lang w:val="mk-MK"/>
        </w:rPr>
        <w:t xml:space="preserve"> </w:t>
      </w:r>
      <w:r w:rsidR="00F5796C" w:rsidRPr="00E402B0">
        <w:rPr>
          <w:rFonts w:cs="Calibri"/>
          <w:color w:val="000000"/>
          <w:shd w:val="clear" w:color="auto" w:fill="FFFFFF"/>
        </w:rPr>
        <w:t xml:space="preserve">бр. 98/19 и 244/19) </w:t>
      </w:r>
      <w:r w:rsidR="00F5796C" w:rsidRPr="00E402B0">
        <w:rPr>
          <w:rFonts w:cs="Calibri"/>
        </w:rPr>
        <w:t xml:space="preserve">и Законот за електронски документи, електронска идентификација и доверливи услуги </w:t>
      </w:r>
      <w:r w:rsidR="00F5796C" w:rsidRPr="00E402B0">
        <w:rPr>
          <w:rFonts w:cs="Calibri"/>
          <w:color w:val="000000"/>
          <w:shd w:val="clear" w:color="auto" w:fill="FFFFFF"/>
        </w:rPr>
        <w:t>(„Службен весник на Република Северна Македонија“</w:t>
      </w:r>
      <w:r w:rsidR="00B26F37">
        <w:rPr>
          <w:rFonts w:cs="Calibri"/>
          <w:color w:val="000000"/>
          <w:shd w:val="clear" w:color="auto" w:fill="FFFFFF"/>
          <w:lang w:val="mk-MK"/>
        </w:rPr>
        <w:t xml:space="preserve"> </w:t>
      </w:r>
      <w:r w:rsidR="00F5796C" w:rsidRPr="00E402B0">
        <w:rPr>
          <w:rFonts w:cs="Calibri"/>
          <w:color w:val="000000"/>
          <w:shd w:val="clear" w:color="auto" w:fill="FFFFFF"/>
        </w:rPr>
        <w:t xml:space="preserve">бр. 101/19 и 275/19) </w:t>
      </w:r>
      <w:r w:rsidR="00F5796C" w:rsidRPr="00E402B0">
        <w:rPr>
          <w:rFonts w:cs="Calibri"/>
        </w:rPr>
        <w:t xml:space="preserve">кои се усогласени со европското законодавство во делот за дигитализација и </w:t>
      </w:r>
      <w:r w:rsidR="00AF5C48">
        <w:rPr>
          <w:rFonts w:cs="Calibri"/>
          <w:lang w:val="mk-MK"/>
        </w:rPr>
        <w:t xml:space="preserve">претставуваат </w:t>
      </w:r>
      <w:r w:rsidR="002A6848">
        <w:rPr>
          <w:rFonts w:cs="Calibri"/>
          <w:lang w:val="mk-MK"/>
        </w:rPr>
        <w:t>законска</w:t>
      </w:r>
      <w:r w:rsidR="00F5796C" w:rsidRPr="00E402B0">
        <w:rPr>
          <w:rFonts w:cs="Calibri"/>
        </w:rPr>
        <w:t xml:space="preserve"> рамка за ефикасно и ефективно давање на услуги по електронски пат, а врз основа на утврдени стандарди и процедури. </w:t>
      </w:r>
    </w:p>
    <w:p w14:paraId="76D632E0" w14:textId="77777777" w:rsidR="00F5796C" w:rsidRPr="00E402B0" w:rsidRDefault="00F5796C" w:rsidP="00F5796C">
      <w:pPr>
        <w:jc w:val="both"/>
        <w:rPr>
          <w:rFonts w:cs="Calibri"/>
        </w:rPr>
      </w:pPr>
      <w:r w:rsidRPr="00E402B0">
        <w:rPr>
          <w:rFonts w:cs="Calibri"/>
        </w:rPr>
        <w:t xml:space="preserve">Сепак, во изминативе години државата се соочува со низа предизвици при конкретната операционализација на реформата која треба да важи за сите институции. Од една страна, тие се соочуваат со недостиг на соодветна ИКТ опрема </w:t>
      </w:r>
      <w:r w:rsidRPr="00E402B0">
        <w:rPr>
          <w:rFonts w:cs="Calibri"/>
          <w:lang w:val="mk-MK"/>
        </w:rPr>
        <w:t xml:space="preserve">за кој нема конкретни и прецизни податоци, </w:t>
      </w:r>
      <w:r w:rsidRPr="00E402B0">
        <w:rPr>
          <w:rFonts w:cs="Calibri"/>
        </w:rPr>
        <w:t xml:space="preserve">со која целосно ќе се експлоатира потенцијалот што го нуди оваа законска рамка, а од друга страна пак, потребна е суштинска промена на административната култура. Ова подразбира цел сет на активности, кој се однесува како на самите навики на административните службеници и нивниот менталитет, така и на свесноста и совесноста на функционерите и нивната посветеност. Административните бариери во посебните </w:t>
      </w:r>
      <w:r w:rsidRPr="00E402B0">
        <w:rPr>
          <w:rFonts w:cs="Calibri"/>
          <w:lang w:val="mk-MK"/>
        </w:rPr>
        <w:t xml:space="preserve">процесни </w:t>
      </w:r>
      <w:r w:rsidRPr="00E402B0">
        <w:rPr>
          <w:rFonts w:cs="Calibri"/>
        </w:rPr>
        <w:t>закони кои не се усогласени со Законот за општа управна постапка се сé уште пречка за дигитализација на процесите и доследна примена на Законот за општа управна постапка, како и за следењето на позадинското работење и административните процедури. Конечно, прописите кои го уредуваат архивското работење не го регулираат складирањето на електронски документи, а во моментов не постојат и технички предуслови за безбедно складирање и архивирање на овие материјали.</w:t>
      </w:r>
    </w:p>
    <w:p w14:paraId="126AB357" w14:textId="1555EA6B" w:rsidR="00F5796C" w:rsidRPr="00E402B0" w:rsidRDefault="00F5796C" w:rsidP="00F5796C">
      <w:pPr>
        <w:jc w:val="both"/>
        <w:rPr>
          <w:rFonts w:cs="Calibri"/>
        </w:rPr>
      </w:pPr>
      <w:r w:rsidRPr="00E402B0">
        <w:rPr>
          <w:rFonts w:cs="Calibri"/>
        </w:rPr>
        <w:t xml:space="preserve">Овие констатации се потврдуваат и низ содржината на Извештајот </w:t>
      </w:r>
      <w:r w:rsidR="002A6848">
        <w:rPr>
          <w:rFonts w:cs="Calibri"/>
          <w:lang w:val="mk-MK"/>
        </w:rPr>
        <w:t xml:space="preserve">за мониторинг </w:t>
      </w:r>
      <w:r w:rsidRPr="00E402B0">
        <w:rPr>
          <w:rFonts w:cs="Calibri"/>
        </w:rPr>
        <w:t xml:space="preserve">на СИГМА од 2021 година, Извештајот на Европската Комисија за напредокот на </w:t>
      </w:r>
      <w:r w:rsidR="007C2186">
        <w:rPr>
          <w:rFonts w:cs="Calibri"/>
          <w:lang w:val="mk-MK"/>
        </w:rPr>
        <w:t>РСМ</w:t>
      </w:r>
      <w:r w:rsidRPr="00E402B0">
        <w:rPr>
          <w:rFonts w:cs="Calibri"/>
        </w:rPr>
        <w:t xml:space="preserve"> од 2022 година и извештаите на граѓанскиот сектор.</w:t>
      </w:r>
    </w:p>
    <w:p w14:paraId="226EBCBE" w14:textId="77777777" w:rsidR="00F5796C" w:rsidRPr="00E402B0" w:rsidRDefault="00F5796C" w:rsidP="00F5796C">
      <w:pPr>
        <w:rPr>
          <w:rFonts w:cs="Calibri"/>
          <w:b/>
          <w:bCs/>
        </w:rPr>
      </w:pPr>
      <w:r w:rsidRPr="00E402B0">
        <w:rPr>
          <w:rFonts w:cs="Calibri"/>
          <w:b/>
          <w:bCs/>
        </w:rPr>
        <w:t xml:space="preserve">Техничка рамка (инфраструктура) </w:t>
      </w:r>
    </w:p>
    <w:p w14:paraId="0D4B77FA" w14:textId="77777777" w:rsidR="00F5796C" w:rsidRPr="00E402B0" w:rsidRDefault="00F5796C" w:rsidP="00F5796C">
      <w:pPr>
        <w:jc w:val="both"/>
        <w:rPr>
          <w:rFonts w:cs="Calibri"/>
        </w:rPr>
      </w:pPr>
      <w:r w:rsidRPr="00E402B0">
        <w:rPr>
          <w:rFonts w:cs="Calibri"/>
        </w:rPr>
        <w:t xml:space="preserve">Во изминатиот период се работеше на воспоставување на клучни хоризонтални системи и алатки кои се основни катализатори на дигиталната трансформација на македонската администрација. Сепак, </w:t>
      </w:r>
      <w:r w:rsidRPr="00E402B0">
        <w:rPr>
          <w:rFonts w:cs="Calibri"/>
          <w:b/>
          <w:bCs/>
        </w:rPr>
        <w:t>фрагментираниот институционален пристап</w:t>
      </w:r>
      <w:r w:rsidRPr="00E402B0">
        <w:rPr>
          <w:rFonts w:cs="Calibri"/>
        </w:rPr>
        <w:t xml:space="preserve"> при набавка на ИТ опрема, развојот на е-</w:t>
      </w:r>
      <w:r w:rsidRPr="00E402B0">
        <w:rPr>
          <w:rFonts w:cs="Calibri"/>
        </w:rPr>
        <w:lastRenderedPageBreak/>
        <w:t xml:space="preserve">решенија, колокациски услуги или трошоци за одржување, резултира со нерационално канализирање на ресурсите и напорите кои се насочуваат кон развојот на техничките капацитети на институциите.  </w:t>
      </w:r>
    </w:p>
    <w:p w14:paraId="23467914" w14:textId="1D2D2CA2" w:rsidR="00F5796C" w:rsidRPr="00E402B0" w:rsidRDefault="00F5796C" w:rsidP="00F5796C">
      <w:pPr>
        <w:jc w:val="both"/>
        <w:rPr>
          <w:rFonts w:cs="Calibri"/>
        </w:rPr>
      </w:pPr>
      <w:r w:rsidRPr="00E402B0">
        <w:rPr>
          <w:rFonts w:cs="Calibri"/>
        </w:rPr>
        <w:t xml:space="preserve">Нивото на </w:t>
      </w:r>
      <w:r w:rsidRPr="00E402B0">
        <w:rPr>
          <w:rFonts w:cs="Calibri"/>
          <w:b/>
          <w:bCs/>
        </w:rPr>
        <w:t>дигитализацијата на регистри, развојот на електронски услуги како и расположливоста со капацитети</w:t>
      </w:r>
      <w:r w:rsidRPr="00E402B0">
        <w:rPr>
          <w:rFonts w:cs="Calibri"/>
        </w:rPr>
        <w:t xml:space="preserve"> се разликуваат од институција до институција. Во процесот на дигитализација од круцијална важност е ниту една институција да не биде изоставена, бидејќи податоците со кои тие располагаат често се суштински за целосна испорака на комплексни услуги. Од друга страна, иако постои портал за електронски услуги кој во 2019 година беше пуштен во употреба, а во 2022 година надграден да испорачува услуги и за правни лица, бројот на услуги </w:t>
      </w:r>
      <w:r w:rsidRPr="00E402B0">
        <w:rPr>
          <w:rStyle w:val="FootnoteReference"/>
          <w:rFonts w:cs="Calibri"/>
        </w:rPr>
        <w:footnoteReference w:id="72"/>
      </w:r>
      <w:r w:rsidRPr="00E402B0">
        <w:rPr>
          <w:rFonts w:cs="Calibri"/>
        </w:rPr>
        <w:t xml:space="preserve">не прави значителна промена кај бизнисите и граѓаните. </w:t>
      </w:r>
      <w:r w:rsidR="00DF0807">
        <w:rPr>
          <w:rFonts w:cs="Calibri"/>
          <w:lang w:val="mk-MK"/>
        </w:rPr>
        <w:t>Нивото на постоечките 95</w:t>
      </w:r>
      <w:r w:rsidRPr="00E402B0">
        <w:rPr>
          <w:rFonts w:cs="Calibri"/>
          <w:lang w:val="mk-MK"/>
        </w:rPr>
        <w:t xml:space="preserve"> е-услуги достапни на Националниот портал за е-услуги е на четврто ниво на софистицираност</w:t>
      </w:r>
      <w:r w:rsidRPr="00E402B0">
        <w:rPr>
          <w:rStyle w:val="FootnoteReference"/>
          <w:rFonts w:cs="Calibri"/>
          <w:lang w:val="mk-MK"/>
        </w:rPr>
        <w:footnoteReference w:id="73"/>
      </w:r>
      <w:r w:rsidRPr="00E402B0">
        <w:rPr>
          <w:rFonts w:cs="Calibri"/>
          <w:lang w:val="mk-MK"/>
        </w:rPr>
        <w:t xml:space="preserve">. </w:t>
      </w:r>
      <w:r w:rsidRPr="00E402B0">
        <w:rPr>
          <w:rFonts w:cs="Calibri"/>
        </w:rPr>
        <w:t>Сепак, за испорака на електронски услуги неопходна е поголема интероперабилност помеѓу институциите и автоматизација на процесите. Еден од новите системи кој започна да се реализира со ЕУ поддршка е новата платформа за дигитализација на регистри со која секој регистар ќе може да се постави во безбедна дигитална средина. Овој систем ќе биде пуштен во употреба во текот на 2023 година.</w:t>
      </w:r>
    </w:p>
    <w:p w14:paraId="619FC423" w14:textId="77777777" w:rsidR="00F5796C" w:rsidRPr="00E402B0" w:rsidRDefault="00F5796C" w:rsidP="00F5796C">
      <w:pPr>
        <w:jc w:val="both"/>
        <w:rPr>
          <w:rFonts w:cs="Calibri"/>
        </w:rPr>
      </w:pPr>
      <w:r w:rsidRPr="00E402B0">
        <w:rPr>
          <w:rFonts w:cs="Calibri"/>
        </w:rPr>
        <w:t xml:space="preserve">Иако </w:t>
      </w:r>
      <w:r w:rsidRPr="00E402B0">
        <w:rPr>
          <w:rFonts w:cs="Calibri"/>
          <w:b/>
          <w:bCs/>
        </w:rPr>
        <w:t>платформата за интероперабилност</w:t>
      </w:r>
      <w:r w:rsidRPr="00E402B0">
        <w:rPr>
          <w:rFonts w:cs="Calibri"/>
        </w:rPr>
        <w:t xml:space="preserve"> е во функција и државата вложува значителни ресурси за одржување на хардверската опрема и софтверските решенија, постои слаба искористеност на потенцијалот и само неколку институции активно разменуваат податоци. Ова создава непропорционалност помеѓу трошоците за функционирањето и бенефитите кои платформата ги нуди. Помеѓу другите причини, ова е делумно и резултат на индивидуалните напори на институциите за дигитализација на нивните процеси, притоа непосветувајќи доволно внимание за компатибилноста на нивните системи со системот за интероперабилност. Сепак, не помалку важна е и природата на другите причини, која може да се идентификува во раководствата на институциите и отсуство на одговорност заради неутврдена надлежност за спроведување на инспекциски надзор во областа на законите кои го регулираат користењето на информатичко-комуникациските технологии, но и отпорот на вработените кон промени во нивниот начин на работа.</w:t>
      </w:r>
    </w:p>
    <w:p w14:paraId="493464AE" w14:textId="7F2FF0E7" w:rsidR="00F5796C" w:rsidRPr="00E402B0" w:rsidRDefault="00F5796C" w:rsidP="00F5796C">
      <w:pPr>
        <w:jc w:val="both"/>
        <w:rPr>
          <w:rFonts w:cs="Calibri"/>
        </w:rPr>
      </w:pPr>
      <w:r w:rsidRPr="00E402B0">
        <w:rPr>
          <w:rFonts w:cs="Calibri"/>
        </w:rPr>
        <w:t xml:space="preserve">Една од позначајните активности утврдена со Стратегијата за </w:t>
      </w:r>
      <w:r w:rsidR="007C2186">
        <w:rPr>
          <w:rFonts w:cs="Calibri"/>
          <w:lang w:val="mk-MK"/>
        </w:rPr>
        <w:t>РЈА</w:t>
      </w:r>
      <w:r w:rsidRPr="00E402B0">
        <w:rPr>
          <w:rFonts w:cs="Calibri"/>
        </w:rPr>
        <w:t xml:space="preserve"> 2018-2022 година беше воспоставување на системот за </w:t>
      </w:r>
      <w:r w:rsidRPr="00E402B0">
        <w:rPr>
          <w:rFonts w:cs="Calibri"/>
          <w:b/>
        </w:rPr>
        <w:t xml:space="preserve">Централен регистар на население, </w:t>
      </w:r>
      <w:r w:rsidRPr="00E402B0">
        <w:rPr>
          <w:rFonts w:cs="Calibri"/>
        </w:rPr>
        <w:t xml:space="preserve">која беше успешно реализирана во 2019 година. Главната цел на централниот </w:t>
      </w:r>
      <w:r w:rsidRPr="00E402B0">
        <w:rPr>
          <w:rFonts w:cs="Calibri"/>
          <w:bCs/>
        </w:rPr>
        <w:t>регистар на население</w:t>
      </w:r>
      <w:r w:rsidRPr="00E402B0">
        <w:rPr>
          <w:rFonts w:cs="Calibri"/>
        </w:rPr>
        <w:t xml:space="preserve"> е да генерира прецизна идентификација на секој поединец кој живее на територијата на </w:t>
      </w:r>
      <w:r w:rsidR="007C2186">
        <w:rPr>
          <w:rFonts w:cs="Calibri"/>
          <w:lang w:val="mk-MK"/>
        </w:rPr>
        <w:t>РСМ</w:t>
      </w:r>
      <w:r w:rsidRPr="00E402B0">
        <w:rPr>
          <w:rFonts w:cs="Calibri"/>
        </w:rPr>
        <w:t xml:space="preserve"> (вклучувајќи ги и лицата со привремен престој и поединците со постојан престој во земјата), како и нејзините државјани кои живеат надвор од земјата. Во контекст на испораката на услуги, потребна е интеграција на оваа алатка со други постоечки системи за максимално да се експлоатира целиот потенцијал кој го нуди. Тоа значи дека при секоја испорака на јавни услуги задолжително ќе бидат преземени податоци од системот за Централен регистар на население за секое лице кое е опфатено во дадената услуга. Системот за централен регистар на население се користи како основа за доверливата услуга за електронска идентификација од страна на давателите на доверливи услуги и истиот е основа за формирање на дигитален идентитет на граѓаните. Преку точноста на податоците во регистарот се влијае врз квалитетот на податоците во сите системи кои користат податоци од овој регистар.</w:t>
      </w:r>
    </w:p>
    <w:p w14:paraId="7A074B9D" w14:textId="1A3B8256" w:rsidR="00F5796C" w:rsidRPr="00E402B0" w:rsidRDefault="00F5796C" w:rsidP="00F5796C">
      <w:pPr>
        <w:jc w:val="both"/>
        <w:rPr>
          <w:rFonts w:cs="Calibri"/>
        </w:rPr>
      </w:pPr>
      <w:r w:rsidRPr="00E402B0">
        <w:rPr>
          <w:rFonts w:cs="Calibri"/>
        </w:rPr>
        <w:lastRenderedPageBreak/>
        <w:t xml:space="preserve">Воведување во секоја институција на систем за електронско менаџирање на документи, односно </w:t>
      </w:r>
      <w:r w:rsidRPr="00E402B0">
        <w:rPr>
          <w:rFonts w:cs="Calibri"/>
          <w:b/>
        </w:rPr>
        <w:t>ДМС</w:t>
      </w:r>
      <w:r w:rsidRPr="00E402B0">
        <w:rPr>
          <w:rFonts w:cs="Calibri"/>
        </w:rPr>
        <w:t xml:space="preserve"> е основен предуслов за тие да можат да ги дигитализираат своите процеси. </w:t>
      </w:r>
      <w:r w:rsidR="00F9266F">
        <w:rPr>
          <w:rFonts w:cs="Calibri"/>
          <w:lang w:val="mk-MK"/>
        </w:rPr>
        <w:t>МИОА</w:t>
      </w:r>
      <w:r w:rsidRPr="00E402B0">
        <w:rPr>
          <w:rFonts w:cs="Calibri"/>
        </w:rPr>
        <w:t xml:space="preserve">успешно менаџира централизиран систем во кој се приклучени 20 институции, меѓу кои и една општина. Сепак, ваков ДМС систем треба да се користи од страна на сите институции на државно и на локално ниво со што ќе се овозможи целосна автоматизација на управувањето и испораката на електронски документи. За имплементација и користење на ваков систем се наметнува потребата од поседување на соодветни дигитални вештини кај вработените во јавниот сектор. </w:t>
      </w:r>
      <w:r w:rsidRPr="00E402B0">
        <w:rPr>
          <w:rFonts w:cs="Calibri"/>
          <w:lang w:val="mk-MK"/>
        </w:rPr>
        <w:t xml:space="preserve">Недостатокот од хардверска опрема, поврзаност на институциите со стабилна интернет конекција, како и минималниот број на лиценци доведува до вклученост од 0,01% </w:t>
      </w:r>
      <w:r w:rsidRPr="00E402B0">
        <w:rPr>
          <w:rStyle w:val="FootnoteReference"/>
          <w:rFonts w:cs="Calibri"/>
          <w:lang w:val="mk-MK"/>
        </w:rPr>
        <w:footnoteReference w:id="74"/>
      </w:r>
      <w:r w:rsidRPr="00E402B0">
        <w:rPr>
          <w:rFonts w:cs="Calibri"/>
          <w:lang w:val="mk-MK"/>
        </w:rPr>
        <w:t xml:space="preserve">на институциите во </w:t>
      </w:r>
      <w:r w:rsidR="008645FB">
        <w:rPr>
          <w:rFonts w:cs="Calibri"/>
          <w:lang w:val="mk-MK"/>
        </w:rPr>
        <w:t xml:space="preserve">ДМС </w:t>
      </w:r>
      <w:r w:rsidRPr="00E402B0">
        <w:rPr>
          <w:rFonts w:cs="Calibri"/>
          <w:lang w:val="mk-MK"/>
        </w:rPr>
        <w:t xml:space="preserve">системот. </w:t>
      </w:r>
      <w:r w:rsidRPr="00E402B0">
        <w:rPr>
          <w:rFonts w:cs="Calibri"/>
        </w:rPr>
        <w:t>Со соодветна имплементација на ДМС систем</w:t>
      </w:r>
      <w:r w:rsidR="008645FB">
        <w:rPr>
          <w:rFonts w:cs="Calibri"/>
          <w:lang w:val="mk-MK"/>
        </w:rPr>
        <w:t>от</w:t>
      </w:r>
      <w:r w:rsidRPr="00E402B0">
        <w:rPr>
          <w:rFonts w:cs="Calibri"/>
        </w:rPr>
        <w:t xml:space="preserve"> би се обезбедила ревизорска трага </w:t>
      </w:r>
      <w:r w:rsidRPr="00E402B0">
        <w:rPr>
          <w:rFonts w:cs="Calibri"/>
          <w:lang w:val="mk-MK"/>
        </w:rPr>
        <w:t xml:space="preserve">за следење </w:t>
      </w:r>
      <w:r w:rsidRPr="00E402B0">
        <w:rPr>
          <w:rFonts w:cs="Calibri"/>
        </w:rPr>
        <w:t>на документот,</w:t>
      </w:r>
      <w:r w:rsidRPr="00E402B0">
        <w:rPr>
          <w:rFonts w:cs="Calibri"/>
          <w:lang w:val="mk-MK"/>
        </w:rPr>
        <w:t xml:space="preserve"> поднесување на барање, моментален статус во спроведување на барањето,</w:t>
      </w:r>
      <w:r w:rsidRPr="00E402B0">
        <w:rPr>
          <w:rFonts w:cs="Calibri"/>
        </w:rPr>
        <w:t xml:space="preserve"> доставување и постапување по него. Ова </w:t>
      </w:r>
      <w:r w:rsidRPr="00E402B0">
        <w:rPr>
          <w:rFonts w:cs="Calibri"/>
          <w:lang w:val="mk-MK"/>
        </w:rPr>
        <w:t>ќе доведе до</w:t>
      </w:r>
      <w:r w:rsidRPr="00E402B0">
        <w:rPr>
          <w:rFonts w:cs="Calibri"/>
        </w:rPr>
        <w:t xml:space="preserve"> зголемен квалитет на сите услуги кон граѓаните и бизнисите, како и подобрена комуникација помеѓу институциите.</w:t>
      </w:r>
    </w:p>
    <w:p w14:paraId="04ECAF2A" w14:textId="77777777" w:rsidR="00F5796C" w:rsidRPr="00E402B0" w:rsidRDefault="00F5796C" w:rsidP="00F5796C">
      <w:pPr>
        <w:jc w:val="both"/>
        <w:rPr>
          <w:rFonts w:cs="Calibri"/>
        </w:rPr>
      </w:pPr>
      <w:r w:rsidRPr="00E402B0">
        <w:rPr>
          <w:rFonts w:cs="Calibri"/>
        </w:rPr>
        <w:t xml:space="preserve">Во процесот на дигитализација неопходно е да се посвети соодветно внимание да не бидат изоставени одредени групи на корисници и да се обезбедат услови за непречено остварување на правата на сите граѓани.  Ублажувањето на овие ризици подразбира мерки за овозможување на пристап до интернет и информатички и комуникациски технологии кои се предуслов за користење на електронски услуги, но и развој на дигитални вештини. Во однос на обезбедување на </w:t>
      </w:r>
      <w:r w:rsidRPr="00E402B0">
        <w:rPr>
          <w:rFonts w:cs="Calibri"/>
          <w:b/>
        </w:rPr>
        <w:t>целосна дигитална инклузивност</w:t>
      </w:r>
      <w:r w:rsidRPr="00E402B0">
        <w:rPr>
          <w:rFonts w:cs="Calibri"/>
        </w:rPr>
        <w:t xml:space="preserve">, Националната стратегија за правата на лицата со попреченост на Република Северна Македонија 2023-2030 година, </w:t>
      </w:r>
      <w:r w:rsidRPr="00E402B0">
        <w:rPr>
          <w:rFonts w:cs="Calibri"/>
          <w:lang w:val="mk-MK"/>
        </w:rPr>
        <w:t xml:space="preserve">која е во фаза на подготовка </w:t>
      </w:r>
      <w:r w:rsidRPr="00E402B0">
        <w:rPr>
          <w:rFonts w:cs="Calibri"/>
        </w:rPr>
        <w:t xml:space="preserve">предвидува активности за воспоставување на дигиталната пристапност, со особено внимание на соодветна имплементација на WCAG (Web Content Accessibility Guidelines) стандардот на сите веб страни што се од јавен и општ интерес на граѓаните. </w:t>
      </w:r>
    </w:p>
    <w:p w14:paraId="07088BBE" w14:textId="77777777" w:rsidR="00F5796C" w:rsidRPr="00E402B0" w:rsidRDefault="00F5796C" w:rsidP="00F5796C">
      <w:pPr>
        <w:jc w:val="both"/>
        <w:rPr>
          <w:rFonts w:cs="Calibri"/>
          <w:u w:val="single"/>
        </w:rPr>
      </w:pPr>
      <w:r w:rsidRPr="00E402B0">
        <w:rPr>
          <w:rFonts w:cs="Calibri"/>
        </w:rPr>
        <w:t>Како што е погоре наведено, дигитализација</w:t>
      </w:r>
      <w:r w:rsidRPr="00E402B0">
        <w:rPr>
          <w:rFonts w:cs="Calibri"/>
          <w:lang w:val="mk-MK"/>
        </w:rPr>
        <w:t>та</w:t>
      </w:r>
      <w:r w:rsidRPr="00E402B0">
        <w:rPr>
          <w:rFonts w:cs="Calibri"/>
        </w:rPr>
        <w:t xml:space="preserve"> на </w:t>
      </w:r>
      <w:r w:rsidRPr="00E402B0">
        <w:rPr>
          <w:rFonts w:cs="Calibri"/>
          <w:lang w:val="mk-MK"/>
        </w:rPr>
        <w:t xml:space="preserve">државните институции кои нудат услуги за граѓаните </w:t>
      </w:r>
      <w:r w:rsidRPr="00E402B0">
        <w:rPr>
          <w:rFonts w:cs="Calibri"/>
        </w:rPr>
        <w:t>треба да биде пресликана во едно централно место кон граѓаните и бизнисите, односно во Националниот портал за електронски услуги. На овој портал граѓаните и бизнисите на лесен и едноставен начин ќе можат да ги пронајдат услугите, да аплицираат, да го следат процесот на нивна реализација или да ги пронајдат документите од веќе добиените услуги од институциите на локално и централно ниво.</w:t>
      </w:r>
    </w:p>
    <w:p w14:paraId="6DE5B550" w14:textId="404118F1" w:rsidR="00F5796C" w:rsidRPr="00437D3A" w:rsidRDefault="00F5796C" w:rsidP="00F5796C">
      <w:pPr>
        <w:jc w:val="both"/>
        <w:rPr>
          <w:rFonts w:cs="Calibri"/>
        </w:rPr>
      </w:pPr>
      <w:r w:rsidRPr="00437D3A">
        <w:rPr>
          <w:rFonts w:cs="Calibri"/>
        </w:rPr>
        <w:t xml:space="preserve">Во февруари 2021 година </w:t>
      </w:r>
      <w:r w:rsidR="007C2186">
        <w:rPr>
          <w:rFonts w:cs="Calibri"/>
          <w:lang w:val="mk-MK"/>
        </w:rPr>
        <w:t>ВРСМ</w:t>
      </w:r>
      <w:r w:rsidRPr="00437D3A">
        <w:rPr>
          <w:rFonts w:cs="Calibri"/>
        </w:rPr>
        <w:t xml:space="preserve"> </w:t>
      </w:r>
      <w:r w:rsidRPr="00437D3A">
        <w:rPr>
          <w:rFonts w:cs="Calibri"/>
          <w:lang w:val="mk-MK"/>
        </w:rPr>
        <w:t xml:space="preserve">ја усвои </w:t>
      </w:r>
      <w:r w:rsidRPr="00437D3A">
        <w:rPr>
          <w:rFonts w:cs="Calibri"/>
        </w:rPr>
        <w:t xml:space="preserve">новата Методологија за оценка на индекс на квалитет на институциите која беше предвидена со Програмата за работа на </w:t>
      </w:r>
      <w:r w:rsidR="001D1515">
        <w:rPr>
          <w:rFonts w:cs="Calibri"/>
          <w:lang w:val="mk-MK"/>
        </w:rPr>
        <w:t>ВРСМ</w:t>
      </w:r>
      <w:r w:rsidRPr="00437D3A">
        <w:rPr>
          <w:rFonts w:cs="Calibri"/>
        </w:rPr>
        <w:t xml:space="preserve"> 2021 – 2022</w:t>
      </w:r>
      <w:r w:rsidRPr="00437D3A">
        <w:rPr>
          <w:rFonts w:cs="Calibri"/>
          <w:lang w:val="mk-MK"/>
        </w:rPr>
        <w:t xml:space="preserve"> година</w:t>
      </w:r>
      <w:r w:rsidRPr="00437D3A">
        <w:rPr>
          <w:rFonts w:cs="Calibri"/>
        </w:rPr>
        <w:t>.</w:t>
      </w:r>
    </w:p>
    <w:p w14:paraId="2069AE3B" w14:textId="77777777" w:rsidR="00F5796C" w:rsidRPr="000F7E3C" w:rsidRDefault="00F5796C" w:rsidP="00F5796C">
      <w:pPr>
        <w:jc w:val="both"/>
        <w:rPr>
          <w:rFonts w:cs="Calibri"/>
        </w:rPr>
      </w:pPr>
      <w:r w:rsidRPr="000F7E3C">
        <w:rPr>
          <w:rFonts w:cs="Calibri"/>
        </w:rPr>
        <w:t>Методологијата за оценка на квалитетот на работата на институциите опфаќа собирање податоци, правење анализи и известување со цел да се добијат информации за напредокот во имплементацијата на целите и реформите, како и евентуалните проблеми во работењето</w:t>
      </w:r>
      <w:r w:rsidRPr="000F7E3C">
        <w:rPr>
          <w:rFonts w:cs="Calibri"/>
          <w:lang w:val="mk-MK"/>
        </w:rPr>
        <w:t xml:space="preserve"> на институциите во кои се врши мерењето</w:t>
      </w:r>
      <w:r w:rsidRPr="000F7E3C">
        <w:rPr>
          <w:rFonts w:cs="Calibri"/>
        </w:rPr>
        <w:t>. Процесот опфаќа мерење на начинот на управување со ресурсите на институцијата, процеси на работење и испорачување на услуги</w:t>
      </w:r>
      <w:r w:rsidRPr="000F7E3C">
        <w:rPr>
          <w:rFonts w:cs="Calibri"/>
          <w:lang w:val="mk-MK"/>
        </w:rPr>
        <w:t>,</w:t>
      </w:r>
      <w:r w:rsidRPr="000F7E3C">
        <w:rPr>
          <w:rFonts w:cs="Calibri"/>
        </w:rPr>
        <w:t xml:space="preserve"> </w:t>
      </w:r>
      <w:r w:rsidRPr="000F7E3C">
        <w:rPr>
          <w:rFonts w:cs="Calibri"/>
          <w:lang w:val="mk-MK"/>
        </w:rPr>
        <w:t xml:space="preserve">како </w:t>
      </w:r>
      <w:r w:rsidRPr="000F7E3C">
        <w:rPr>
          <w:rFonts w:cs="Calibri"/>
        </w:rPr>
        <w:t xml:space="preserve">и резултатите од работењето. </w:t>
      </w:r>
    </w:p>
    <w:p w14:paraId="114DE421" w14:textId="77777777" w:rsidR="00F5796C" w:rsidRPr="00437D3A" w:rsidRDefault="00F5796C" w:rsidP="00F5796C">
      <w:pPr>
        <w:jc w:val="both"/>
        <w:rPr>
          <w:rFonts w:cs="Calibri"/>
        </w:rPr>
      </w:pPr>
      <w:r w:rsidRPr="00437D3A">
        <w:rPr>
          <w:rFonts w:cs="Calibri"/>
        </w:rPr>
        <w:t>Мерење на задоволството на корисниците според оваа Методологија се состои во две фази:</w:t>
      </w:r>
    </w:p>
    <w:p w14:paraId="74357F88" w14:textId="73D250E1" w:rsidR="00F5796C" w:rsidRPr="00437D3A" w:rsidRDefault="00F5796C" w:rsidP="00F5796C">
      <w:pPr>
        <w:jc w:val="both"/>
        <w:rPr>
          <w:rFonts w:cs="Calibri"/>
          <w:lang w:val="mk-MK"/>
        </w:rPr>
      </w:pPr>
      <w:r w:rsidRPr="00437D3A">
        <w:rPr>
          <w:rFonts w:cs="Calibri"/>
        </w:rPr>
        <w:lastRenderedPageBreak/>
        <w:t>•</w:t>
      </w:r>
      <w:r w:rsidRPr="00437D3A">
        <w:rPr>
          <w:rFonts w:cs="Calibri"/>
        </w:rPr>
        <w:tab/>
        <w:t>М</w:t>
      </w:r>
      <w:r w:rsidR="005F795B">
        <w:rPr>
          <w:rFonts w:cs="Calibri"/>
          <w:lang w:val="mk-MK"/>
        </w:rPr>
        <w:t>ИОА</w:t>
      </w:r>
      <w:r w:rsidRPr="00437D3A">
        <w:rPr>
          <w:rFonts w:cs="Calibri"/>
        </w:rPr>
        <w:t xml:space="preserve"> </w:t>
      </w:r>
      <w:r w:rsidRPr="00437D3A">
        <w:rPr>
          <w:rFonts w:cs="Calibri"/>
          <w:lang w:val="mk-MK"/>
        </w:rPr>
        <w:t xml:space="preserve">ги доставува прашалниците </w:t>
      </w:r>
      <w:r w:rsidRPr="00437D3A">
        <w:rPr>
          <w:rFonts w:cs="Calibri"/>
        </w:rPr>
        <w:t>до инс</w:t>
      </w:r>
      <w:r>
        <w:rPr>
          <w:rFonts w:cs="Calibri"/>
        </w:rPr>
        <w:t>титуции во вои се врши мерењето</w:t>
      </w:r>
      <w:r w:rsidRPr="00437D3A">
        <w:rPr>
          <w:rFonts w:cs="Calibri"/>
          <w:lang w:val="mk-MK"/>
        </w:rPr>
        <w:t xml:space="preserve"> а истите ги п</w:t>
      </w:r>
      <w:r w:rsidRPr="00437D3A">
        <w:rPr>
          <w:rFonts w:cs="Calibri"/>
        </w:rPr>
        <w:t>о</w:t>
      </w:r>
      <w:r w:rsidR="00B26F37">
        <w:rPr>
          <w:rFonts w:cs="Calibri"/>
        </w:rPr>
        <w:t xml:space="preserve">полнуваат </w:t>
      </w:r>
      <w:r w:rsidRPr="00437D3A">
        <w:rPr>
          <w:rFonts w:cs="Calibri"/>
        </w:rPr>
        <w:t xml:space="preserve">однапред подготвените прашалници кои содржат прашања од пет области на институционалното работење и тоа: </w:t>
      </w:r>
      <w:r w:rsidRPr="00437D3A">
        <w:rPr>
          <w:rFonts w:cs="Calibri"/>
          <w:lang w:val="mk-MK"/>
        </w:rPr>
        <w:t>с</w:t>
      </w:r>
      <w:r w:rsidRPr="00437D3A">
        <w:rPr>
          <w:rFonts w:cs="Calibri"/>
        </w:rPr>
        <w:t>тратешко планирање, управување со човечки ресурси, обезбедување услуги, транспарентност и управување со квалитет</w:t>
      </w:r>
      <w:r w:rsidRPr="00437D3A">
        <w:rPr>
          <w:rFonts w:cs="Calibri"/>
          <w:lang w:val="mk-MK"/>
        </w:rPr>
        <w:t xml:space="preserve"> и така пополнети ги враќаат во МИОА.</w:t>
      </w:r>
    </w:p>
    <w:p w14:paraId="436A716D" w14:textId="36D13F45" w:rsidR="00F5796C" w:rsidRPr="00437D3A" w:rsidRDefault="00F5796C" w:rsidP="00F5796C">
      <w:pPr>
        <w:jc w:val="both"/>
        <w:rPr>
          <w:rFonts w:cs="Calibri"/>
        </w:rPr>
      </w:pPr>
      <w:r w:rsidRPr="00437D3A">
        <w:rPr>
          <w:rFonts w:cs="Calibri"/>
        </w:rPr>
        <w:t>•</w:t>
      </w:r>
      <w:r w:rsidRPr="00437D3A">
        <w:rPr>
          <w:rFonts w:cs="Calibri"/>
        </w:rPr>
        <w:tab/>
      </w:r>
      <w:r w:rsidRPr="00437D3A">
        <w:rPr>
          <w:rFonts w:cs="Calibri"/>
          <w:lang w:val="mk-MK"/>
        </w:rPr>
        <w:t>М</w:t>
      </w:r>
      <w:r w:rsidR="005F795B">
        <w:rPr>
          <w:rFonts w:cs="Calibri"/>
          <w:lang w:val="mk-MK"/>
        </w:rPr>
        <w:t xml:space="preserve">ИОА </w:t>
      </w:r>
      <w:r w:rsidRPr="00437D3A">
        <w:rPr>
          <w:rFonts w:cs="Calibri"/>
          <w:lang w:val="mk-MK"/>
        </w:rPr>
        <w:t xml:space="preserve">ангажира </w:t>
      </w:r>
      <w:r w:rsidRPr="00437D3A">
        <w:rPr>
          <w:rFonts w:cs="Calibri"/>
        </w:rPr>
        <w:t>надворешна куќа која врши теренско истражување на задоволство на граѓаните од услугите на институциите во кои се врши мерењето</w:t>
      </w:r>
      <w:r w:rsidRPr="00437D3A">
        <w:rPr>
          <w:rFonts w:cs="Calibri"/>
          <w:lang w:val="mk-MK"/>
        </w:rPr>
        <w:t>,</w:t>
      </w:r>
      <w:r>
        <w:rPr>
          <w:rFonts w:cs="Calibri"/>
          <w:lang w:val="mk-MK"/>
        </w:rPr>
        <w:t xml:space="preserve"> </w:t>
      </w:r>
      <w:r w:rsidRPr="00437D3A">
        <w:rPr>
          <w:rFonts w:cs="Calibri"/>
          <w:lang w:val="mk-MK"/>
        </w:rPr>
        <w:t>преку</w:t>
      </w:r>
      <w:r w:rsidRPr="00437D3A">
        <w:rPr>
          <w:rFonts w:cs="Calibri"/>
        </w:rPr>
        <w:t xml:space="preserve"> однапред подготвени урнеци од анкета и таен клиент.</w:t>
      </w:r>
    </w:p>
    <w:p w14:paraId="658E4786" w14:textId="57B78FCB" w:rsidR="00F5796C" w:rsidRPr="00B26F37" w:rsidRDefault="00F5796C" w:rsidP="00F5796C">
      <w:pPr>
        <w:jc w:val="both"/>
        <w:rPr>
          <w:rFonts w:cs="Calibri"/>
          <w:lang w:val="mk-MK"/>
        </w:rPr>
      </w:pPr>
      <w:r w:rsidRPr="00437D3A">
        <w:rPr>
          <w:rFonts w:cs="Calibri"/>
        </w:rPr>
        <w:t>•</w:t>
      </w:r>
      <w:r w:rsidRPr="00437D3A">
        <w:rPr>
          <w:rFonts w:cs="Calibri"/>
        </w:rPr>
        <w:tab/>
        <w:t>Резултатите од одговорите се внесуваат во однапред подготвената матрица која го пресметува резултатот од истржувањето</w:t>
      </w:r>
      <w:r w:rsidR="00B26F37">
        <w:rPr>
          <w:rFonts w:cs="Calibri"/>
          <w:lang w:val="mk-MK"/>
        </w:rPr>
        <w:t>.</w:t>
      </w:r>
    </w:p>
    <w:p w14:paraId="1E5AD339" w14:textId="5D5897CA" w:rsidR="00F5796C" w:rsidRPr="00437D3A" w:rsidRDefault="00F5796C" w:rsidP="00F5796C">
      <w:pPr>
        <w:jc w:val="both"/>
        <w:rPr>
          <w:rFonts w:cs="Calibri"/>
        </w:rPr>
      </w:pPr>
      <w:r w:rsidRPr="00437D3A">
        <w:rPr>
          <w:rFonts w:cs="Calibri"/>
        </w:rPr>
        <w:t>Прв циклус на мерење на задоволството беше спроведен во 2021 година</w:t>
      </w:r>
      <w:r w:rsidR="00B26F37">
        <w:rPr>
          <w:rFonts w:cs="Calibri"/>
          <w:lang w:val="mk-MK"/>
        </w:rPr>
        <w:t>,</w:t>
      </w:r>
      <w:r w:rsidRPr="00437D3A">
        <w:rPr>
          <w:rFonts w:cs="Calibri"/>
        </w:rPr>
        <w:t xml:space="preserve"> а извештајот од анализата ги рангираше институциите според успешноста.</w:t>
      </w:r>
    </w:p>
    <w:p w14:paraId="1D65E8A2" w14:textId="77777777" w:rsidR="00F5796C" w:rsidRPr="00E402B0" w:rsidRDefault="00F5796C" w:rsidP="00F5796C">
      <w:pPr>
        <w:jc w:val="both"/>
        <w:rPr>
          <w:rFonts w:cs="Calibri"/>
          <w:b/>
          <w:bCs/>
        </w:rPr>
      </w:pPr>
      <w:r w:rsidRPr="00E402B0">
        <w:rPr>
          <w:rFonts w:cs="Calibri"/>
          <w:b/>
          <w:bCs/>
        </w:rPr>
        <w:t>Организациска и институционална рамка</w:t>
      </w:r>
    </w:p>
    <w:p w14:paraId="699A47CB" w14:textId="14751DCD" w:rsidR="00F5796C" w:rsidRPr="00E402B0" w:rsidRDefault="00F5796C" w:rsidP="00F5796C">
      <w:pPr>
        <w:jc w:val="both"/>
        <w:rPr>
          <w:rFonts w:cs="Calibri"/>
        </w:rPr>
      </w:pPr>
      <w:r w:rsidRPr="00E402B0">
        <w:rPr>
          <w:rFonts w:cs="Calibri"/>
        </w:rPr>
        <w:t xml:space="preserve">Основен предизвик за доследна реализација на дигитализацијата на процесите во јавната администрација претставува недостатокот на ИТ професионалци во јавниот сектор. </w:t>
      </w:r>
      <w:r>
        <w:rPr>
          <w:rFonts w:cs="Calibri"/>
          <w:lang w:val="mk-MK"/>
        </w:rPr>
        <w:t xml:space="preserve">Така, само на  ниво на министерства, од вкупно систематизирани 431 работно место во одделенијата за ИТ, пополнети се само 210, односно помалку од половина од систематизираните места за овој вид на специјализирани кадри. </w:t>
      </w:r>
      <w:r w:rsidRPr="00E402B0">
        <w:rPr>
          <w:rFonts w:cs="Calibri"/>
        </w:rPr>
        <w:t xml:space="preserve">Дополнителен проблем претставува отсуството на законска можност овој вид кадар да биде конкурентен на понудата на приватниот сектор во однос на платите, надоместоците и другите бенефити. При индивидуалните институционални напори за решавање на ова прашање најчесто се нудат решенија каде што не се прави јасна дистинкција помеѓу ИТ кадарот и останатите вработени. </w:t>
      </w:r>
    </w:p>
    <w:p w14:paraId="5EC138BF" w14:textId="7CB691BD" w:rsidR="00F5796C" w:rsidRPr="00E402B0" w:rsidRDefault="00F5796C" w:rsidP="00F5796C">
      <w:pPr>
        <w:jc w:val="both"/>
        <w:rPr>
          <w:rFonts w:cs="Calibri"/>
        </w:rPr>
      </w:pPr>
      <w:r w:rsidRPr="00E402B0">
        <w:rPr>
          <w:rFonts w:cs="Calibri"/>
        </w:rPr>
        <w:t xml:space="preserve">Во однос на институционалната и организациска рамка, дигиталната трансформација е можеби единствената област каде не постои институција надлежна за спроведување, како и институција надлежна за вршење на инспекциски надзор над спроведувањето на утврдените политики. Институциите не располагаат со организациони едници надлежни за клучните ИТ системи. </w:t>
      </w:r>
      <w:r w:rsidR="00F4399F">
        <w:rPr>
          <w:rFonts w:cs="Calibri"/>
          <w:lang w:val="mk-MK"/>
        </w:rPr>
        <w:t>Оваа</w:t>
      </w:r>
      <w:r w:rsidRPr="00E402B0">
        <w:rPr>
          <w:rFonts w:cs="Calibri"/>
        </w:rPr>
        <w:t>констатација се однесува и на актуелната состојба во судските органи, особено во однос на нивното дигитално поврзување со институциите што ја сочинуваат јавната администрација.</w:t>
      </w:r>
    </w:p>
    <w:p w14:paraId="35AAD6D9" w14:textId="22BA0B01" w:rsidR="00F5796C" w:rsidRDefault="00F5796C" w:rsidP="00F5796C">
      <w:pPr>
        <w:jc w:val="both"/>
        <w:rPr>
          <w:rFonts w:cs="Calibri"/>
          <w:lang w:val="mk-MK"/>
        </w:rPr>
      </w:pPr>
      <w:r w:rsidRPr="00E402B0">
        <w:rPr>
          <w:rFonts w:cs="Calibri"/>
          <w:lang w:val="mk-MK"/>
        </w:rPr>
        <w:t>Од 2018 година се воспоставуваат и опремуваат деловни простории – Центри за услуги, именувани како „Една точка за услуги“</w:t>
      </w:r>
      <w:r w:rsidR="00E142CC">
        <w:rPr>
          <w:rFonts w:cs="Calibri"/>
          <w:lang w:val="mk-MK"/>
        </w:rPr>
        <w:t xml:space="preserve"> (ЕТУ)</w:t>
      </w:r>
      <w:r w:rsidRPr="00E402B0">
        <w:rPr>
          <w:rFonts w:cs="Calibri"/>
          <w:lang w:val="mk-MK"/>
        </w:rPr>
        <w:t>, со што им се овозможува на граѓаните, вклучувајќи ги и лицата со попреченост, на едно место да добијат услуги и информации од различни државни и јавни институции.</w:t>
      </w:r>
      <w:r w:rsidRPr="00E402B0">
        <w:rPr>
          <w:rFonts w:cs="Calibri"/>
        </w:rPr>
        <w:t xml:space="preserve"> До </w:t>
      </w:r>
      <w:r w:rsidRPr="00E402B0">
        <w:rPr>
          <w:rFonts w:cs="Calibri"/>
          <w:lang w:val="mk-MK"/>
        </w:rPr>
        <w:t xml:space="preserve">2022 година </w:t>
      </w:r>
      <w:r w:rsidRPr="00E402B0">
        <w:rPr>
          <w:rFonts w:cs="Calibri"/>
        </w:rPr>
        <w:t xml:space="preserve">отворени се </w:t>
      </w:r>
      <w:r w:rsidR="007C2186">
        <w:rPr>
          <w:rFonts w:cs="Calibri"/>
          <w:lang w:val="mk-MK"/>
        </w:rPr>
        <w:t>пет</w:t>
      </w:r>
      <w:r w:rsidR="007C2186" w:rsidRPr="00E402B0">
        <w:rPr>
          <w:rFonts w:cs="Calibri"/>
        </w:rPr>
        <w:t xml:space="preserve"> </w:t>
      </w:r>
      <w:r w:rsidRPr="00E402B0">
        <w:rPr>
          <w:rFonts w:cs="Calibri"/>
        </w:rPr>
        <w:t>ЕТУ центри во Скопје, Тетово, Куманово, Битол</w:t>
      </w:r>
      <w:r w:rsidRPr="00E402B0">
        <w:rPr>
          <w:rFonts w:cs="Calibri"/>
          <w:lang w:val="mk-MK"/>
        </w:rPr>
        <w:t>а</w:t>
      </w:r>
      <w:r w:rsidRPr="00E402B0">
        <w:rPr>
          <w:rFonts w:cs="Calibri"/>
        </w:rPr>
        <w:t xml:space="preserve"> и Охрид.</w:t>
      </w:r>
      <w:r w:rsidRPr="00E402B0">
        <w:rPr>
          <w:rFonts w:cs="Calibri"/>
          <w:lang w:val="mk-MK"/>
        </w:rPr>
        <w:t xml:space="preserve"> Во продолжение е даден график </w:t>
      </w:r>
      <w:r w:rsidR="00512A53">
        <w:rPr>
          <w:rFonts w:cs="Calibri"/>
          <w:lang w:val="mk-MK"/>
        </w:rPr>
        <w:t>за бројот на посети за користење на услугите</w:t>
      </w:r>
      <w:r w:rsidRPr="00E402B0">
        <w:rPr>
          <w:rFonts w:cs="Calibri"/>
          <w:lang w:val="mk-MK"/>
        </w:rPr>
        <w:t>:</w:t>
      </w:r>
    </w:p>
    <w:p w14:paraId="13DA0F9A" w14:textId="77777777" w:rsidR="005F795B" w:rsidRDefault="005F795B" w:rsidP="00F5796C">
      <w:pPr>
        <w:jc w:val="both"/>
        <w:rPr>
          <w:rFonts w:cs="Calibri"/>
          <w:lang w:val="mk-MK"/>
        </w:rPr>
      </w:pPr>
    </w:p>
    <w:p w14:paraId="1988354A" w14:textId="2C7CE54C" w:rsidR="005F795B" w:rsidRPr="008A15B9" w:rsidRDefault="005F795B" w:rsidP="005F795B">
      <w:pPr>
        <w:spacing w:after="0"/>
        <w:jc w:val="center"/>
        <w:rPr>
          <w:rFonts w:cs="Calibri"/>
          <w:b/>
          <w:bCs/>
        </w:rPr>
      </w:pPr>
      <w:r w:rsidRPr="00B5617C">
        <w:rPr>
          <w:rFonts w:cs="Calibri"/>
          <w:b/>
          <w:bCs/>
          <w:lang w:val="mk-MK"/>
        </w:rPr>
        <w:t xml:space="preserve">Графикон </w:t>
      </w:r>
      <w:r w:rsidR="008A15B9" w:rsidRPr="00B5617C">
        <w:rPr>
          <w:rFonts w:cs="Calibri"/>
          <w:b/>
          <w:bCs/>
          <w:lang w:val="mk-MK"/>
        </w:rPr>
        <w:t>6</w:t>
      </w:r>
      <w:r w:rsidRPr="00B5617C">
        <w:rPr>
          <w:rFonts w:cs="Calibri"/>
          <w:b/>
          <w:bCs/>
          <w:lang w:val="mk-MK"/>
        </w:rPr>
        <w:t xml:space="preserve"> - </w:t>
      </w:r>
      <w:r w:rsidRPr="00B5617C">
        <w:rPr>
          <w:rFonts w:cs="Calibri"/>
          <w:b/>
          <w:bCs/>
        </w:rPr>
        <w:t xml:space="preserve">Посетеност на 5 пет ЕТУ центри </w:t>
      </w:r>
      <w:r w:rsidRPr="00B5617C">
        <w:rPr>
          <w:rFonts w:cs="Calibri"/>
          <w:b/>
          <w:bCs/>
          <w:lang w:val="mk-MK"/>
        </w:rPr>
        <w:t xml:space="preserve">во </w:t>
      </w:r>
      <w:r w:rsidRPr="00B5617C">
        <w:rPr>
          <w:rFonts w:cs="Calibri"/>
          <w:b/>
          <w:bCs/>
        </w:rPr>
        <w:t>2022 година</w:t>
      </w:r>
    </w:p>
    <w:p w14:paraId="0ADDD3B0" w14:textId="197106DE" w:rsidR="005F795B" w:rsidRPr="00E402B0" w:rsidRDefault="005F795B" w:rsidP="00F5796C">
      <w:pPr>
        <w:jc w:val="both"/>
        <w:rPr>
          <w:rFonts w:cs="Calibri"/>
          <w:lang w:val="mk-MK"/>
        </w:rPr>
      </w:pPr>
    </w:p>
    <w:p w14:paraId="7601060A" w14:textId="77777777" w:rsidR="00F5796C" w:rsidRPr="00E402B0" w:rsidRDefault="00F5796C" w:rsidP="00F5796C">
      <w:pPr>
        <w:spacing w:after="0"/>
        <w:jc w:val="center"/>
        <w:rPr>
          <w:rFonts w:cs="Calibri"/>
          <w:lang w:val="mk-MK"/>
        </w:rPr>
      </w:pPr>
      <w:r w:rsidRPr="00E402B0">
        <w:rPr>
          <w:rFonts w:cs="Calibri"/>
          <w:b/>
          <w:noProof/>
          <w:lang w:val="en-US"/>
        </w:rPr>
        <w:lastRenderedPageBreak/>
        <w:drawing>
          <wp:inline distT="0" distB="0" distL="0" distR="0" wp14:anchorId="3D2D7608" wp14:editId="10F6BEEB">
            <wp:extent cx="3762375" cy="2068830"/>
            <wp:effectExtent l="0" t="0" r="0" b="0"/>
            <wp:docPr id="4" name="Picture 4" descr="Chart, lin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62375" cy="2068830"/>
                    </a:xfrm>
                    <a:prstGeom prst="rect">
                      <a:avLst/>
                    </a:prstGeom>
                    <a:noFill/>
                    <a:ln>
                      <a:noFill/>
                    </a:ln>
                  </pic:spPr>
                </pic:pic>
              </a:graphicData>
            </a:graphic>
          </wp:inline>
        </w:drawing>
      </w:r>
    </w:p>
    <w:p w14:paraId="782220F0" w14:textId="77777777" w:rsidR="00F5796C" w:rsidRDefault="00F5796C" w:rsidP="00F5796C">
      <w:pPr>
        <w:spacing w:after="0"/>
        <w:jc w:val="center"/>
        <w:rPr>
          <w:rFonts w:cs="Calibri"/>
          <w:b/>
          <w:bCs/>
        </w:rPr>
      </w:pPr>
    </w:p>
    <w:p w14:paraId="4F1D38E5" w14:textId="77777777" w:rsidR="008A15B9" w:rsidRPr="00E402B0" w:rsidRDefault="008A15B9" w:rsidP="008A15B9">
      <w:pPr>
        <w:spacing w:after="0"/>
        <w:jc w:val="center"/>
        <w:rPr>
          <w:rFonts w:cs="Calibri"/>
          <w:b/>
          <w:bCs/>
        </w:rPr>
      </w:pPr>
      <w:r>
        <w:rPr>
          <w:rFonts w:cs="Calibri"/>
          <w:b/>
          <w:bCs/>
          <w:lang w:val="mk-MK"/>
        </w:rPr>
        <w:t xml:space="preserve">Графикон 7 - </w:t>
      </w:r>
      <w:r w:rsidRPr="00E402B0">
        <w:rPr>
          <w:rFonts w:cs="Calibri"/>
          <w:b/>
          <w:bCs/>
        </w:rPr>
        <w:t>Резервации на термини во ЕТУ центрите</w:t>
      </w:r>
    </w:p>
    <w:p w14:paraId="05A0170E" w14:textId="2F1C9085" w:rsidR="008A15B9" w:rsidRPr="008A15B9" w:rsidRDefault="008A15B9" w:rsidP="00F5796C">
      <w:pPr>
        <w:spacing w:after="0"/>
        <w:jc w:val="center"/>
        <w:rPr>
          <w:rFonts w:cs="Calibri"/>
          <w:b/>
          <w:bCs/>
          <w:lang w:val="mk-MK"/>
        </w:rPr>
      </w:pPr>
    </w:p>
    <w:p w14:paraId="50568DB9" w14:textId="77777777" w:rsidR="00F5796C" w:rsidRPr="00E402B0" w:rsidRDefault="00F5796C" w:rsidP="00F5796C">
      <w:pPr>
        <w:spacing w:after="0"/>
        <w:jc w:val="center"/>
        <w:rPr>
          <w:rFonts w:cs="Calibri"/>
          <w:lang w:val="mk-MK"/>
        </w:rPr>
      </w:pPr>
      <w:r w:rsidRPr="00E402B0">
        <w:rPr>
          <w:rFonts w:cs="Calibri"/>
          <w:noProof/>
          <w:lang w:val="en-US"/>
        </w:rPr>
        <w:drawing>
          <wp:inline distT="0" distB="0" distL="0" distR="0" wp14:anchorId="29232451" wp14:editId="6507066D">
            <wp:extent cx="3897630" cy="2578100"/>
            <wp:effectExtent l="0" t="0" r="0" b="0"/>
            <wp:docPr id="6" name="Picture 6" descr="Chart, lin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97630" cy="2578100"/>
                    </a:xfrm>
                    <a:prstGeom prst="rect">
                      <a:avLst/>
                    </a:prstGeom>
                    <a:noFill/>
                    <a:ln>
                      <a:noFill/>
                    </a:ln>
                  </pic:spPr>
                </pic:pic>
              </a:graphicData>
            </a:graphic>
          </wp:inline>
        </w:drawing>
      </w:r>
    </w:p>
    <w:p w14:paraId="104BA189" w14:textId="77777777" w:rsidR="00512A53" w:rsidRDefault="00512A53" w:rsidP="00F5796C">
      <w:pPr>
        <w:spacing w:after="0"/>
        <w:jc w:val="both"/>
        <w:rPr>
          <w:rFonts w:cs="Calibri"/>
        </w:rPr>
      </w:pPr>
    </w:p>
    <w:p w14:paraId="2DBCA23D" w14:textId="5644DBFC" w:rsidR="00F5796C" w:rsidRPr="00E402B0" w:rsidRDefault="00F5796C" w:rsidP="00F5796C">
      <w:pPr>
        <w:spacing w:after="0"/>
        <w:jc w:val="both"/>
        <w:rPr>
          <w:rFonts w:cs="Calibri"/>
        </w:rPr>
      </w:pPr>
      <w:r w:rsidRPr="00E402B0">
        <w:rPr>
          <w:rFonts w:cs="Calibri"/>
        </w:rPr>
        <w:t xml:space="preserve">Во однос на посетеноста на овие </w:t>
      </w:r>
      <w:r w:rsidR="007C2186">
        <w:rPr>
          <w:rFonts w:cs="Calibri"/>
          <w:lang w:val="mk-MK"/>
        </w:rPr>
        <w:t>пет</w:t>
      </w:r>
      <w:r w:rsidRPr="00E402B0">
        <w:rPr>
          <w:rFonts w:cs="Calibri"/>
        </w:rPr>
        <w:t xml:space="preserve"> ЕТУ центри, кумулативно на годишно ниво за 2021 година биле реализирани 23.534 посети од граѓани во ЕТУ центрите за остварување на одредени услуги или добивање на информации, додека во 2022 година оваа бројка изнесува 49.982 посети од граѓани во овие ЕТУ центри, со тоа што сакаме да нагласиме дека повеќе од 2/3 од овие посети биле реализирани во ЕТУ центарот во Скопје.</w:t>
      </w:r>
    </w:p>
    <w:p w14:paraId="38A8BA2E" w14:textId="77777777" w:rsidR="00F5796C" w:rsidRDefault="00F5796C" w:rsidP="00F5796C">
      <w:pPr>
        <w:spacing w:after="0"/>
        <w:jc w:val="both"/>
        <w:rPr>
          <w:rFonts w:cs="Calibri"/>
        </w:rPr>
      </w:pPr>
    </w:p>
    <w:p w14:paraId="3BFB3D25" w14:textId="0301F2E7" w:rsidR="00F5796C" w:rsidRPr="00E402B0" w:rsidRDefault="00F5796C" w:rsidP="00F5796C">
      <w:pPr>
        <w:spacing w:after="0"/>
        <w:jc w:val="both"/>
        <w:rPr>
          <w:rFonts w:cs="Calibri"/>
        </w:rPr>
      </w:pPr>
      <w:r w:rsidRPr="00E402B0">
        <w:rPr>
          <w:rFonts w:cs="Calibri"/>
        </w:rPr>
        <w:t>Дополнително</w:t>
      </w:r>
      <w:r w:rsidR="00B26F37">
        <w:rPr>
          <w:rFonts w:cs="Calibri"/>
          <w:lang w:val="mk-MK"/>
        </w:rPr>
        <w:t>,</w:t>
      </w:r>
      <w:r w:rsidRPr="00E402B0">
        <w:rPr>
          <w:rFonts w:cs="Calibri"/>
        </w:rPr>
        <w:t xml:space="preserve"> </w:t>
      </w:r>
      <w:r w:rsidR="00F4399F">
        <w:rPr>
          <w:rFonts w:cs="Calibri"/>
          <w:lang w:val="mk-MK"/>
        </w:rPr>
        <w:t>се бележи</w:t>
      </w:r>
      <w:r w:rsidRPr="00E402B0">
        <w:rPr>
          <w:rFonts w:cs="Calibri"/>
        </w:rPr>
        <w:t xml:space="preserve"> прогресивен раст на користењето на можноста од страна на граѓаните за електронско закажување на термин за посета на ЕТУ центарот преку платформата „Мој Ред“ </w:t>
      </w:r>
      <w:r w:rsidR="00B26F37">
        <w:rPr>
          <w:rFonts w:cs="Calibri"/>
        </w:rPr>
        <w:t xml:space="preserve">дел од системот „Земи бројче“ </w:t>
      </w:r>
      <w:r w:rsidRPr="00E402B0">
        <w:rPr>
          <w:rFonts w:cs="Calibri"/>
        </w:rPr>
        <w:t xml:space="preserve">и досега над 1.000 граѓани ја искористиле можноста само во последната половина од 2022 година од кога е и ставен системот во полн капацитет. </w:t>
      </w:r>
    </w:p>
    <w:p w14:paraId="30658464" w14:textId="77777777" w:rsidR="00F5796C" w:rsidRDefault="00F5796C" w:rsidP="00F5796C">
      <w:pPr>
        <w:spacing w:after="0"/>
        <w:jc w:val="both"/>
        <w:rPr>
          <w:rFonts w:cs="Calibri"/>
        </w:rPr>
      </w:pPr>
    </w:p>
    <w:p w14:paraId="4194C2E6" w14:textId="55F9FC29" w:rsidR="00F5796C" w:rsidRPr="00E402B0" w:rsidRDefault="00F5796C" w:rsidP="008A15B9">
      <w:pPr>
        <w:spacing w:after="0"/>
        <w:jc w:val="both"/>
        <w:rPr>
          <w:rFonts w:cs="Calibri"/>
        </w:rPr>
      </w:pPr>
      <w:r w:rsidRPr="00202BF0">
        <w:rPr>
          <w:rFonts w:cs="Calibri"/>
        </w:rPr>
        <w:t>Во однос на показателот</w:t>
      </w:r>
      <w:r w:rsidRPr="00E402B0">
        <w:rPr>
          <w:rFonts w:cs="Calibri"/>
        </w:rPr>
        <w:t xml:space="preserve"> за квалитет на услугата во ЕТУ центрите, каде што го мериме времето на чекање</w:t>
      </w:r>
      <w:r w:rsidR="00E142CC">
        <w:rPr>
          <w:rFonts w:cs="Calibri"/>
          <w:lang w:val="mk-MK"/>
        </w:rPr>
        <w:t>,</w:t>
      </w:r>
      <w:r w:rsidRPr="00E402B0">
        <w:rPr>
          <w:rFonts w:cs="Calibri"/>
        </w:rPr>
        <w:t xml:space="preserve"> граѓанинот од пристигнување односно од моментот на земање на тикет за реден број до неговото повикување за услужување, </w:t>
      </w:r>
      <w:r w:rsidR="00F4399F">
        <w:rPr>
          <w:rFonts w:cs="Calibri"/>
          <w:lang w:val="mk-MK"/>
        </w:rPr>
        <w:t xml:space="preserve">има </w:t>
      </w:r>
      <w:r w:rsidRPr="00E402B0">
        <w:rPr>
          <w:rFonts w:cs="Calibri"/>
        </w:rPr>
        <w:t xml:space="preserve">напредок </w:t>
      </w:r>
      <w:r w:rsidR="00F4399F">
        <w:rPr>
          <w:rFonts w:cs="Calibri"/>
          <w:lang w:val="mk-MK"/>
        </w:rPr>
        <w:t xml:space="preserve">во однос на </w:t>
      </w:r>
      <w:r w:rsidRPr="00E402B0">
        <w:rPr>
          <w:rFonts w:cs="Calibri"/>
        </w:rPr>
        <w:t>2021 година</w:t>
      </w:r>
      <w:r w:rsidR="00E142CC">
        <w:rPr>
          <w:rFonts w:cs="Calibri"/>
          <w:lang w:val="mk-MK"/>
        </w:rPr>
        <w:t>. Имено</w:t>
      </w:r>
      <w:r w:rsidR="00F4399F">
        <w:rPr>
          <w:rFonts w:cs="Calibri"/>
          <w:lang w:val="mk-MK"/>
        </w:rPr>
        <w:t xml:space="preserve">, </w:t>
      </w:r>
      <w:r w:rsidRPr="00E402B0">
        <w:rPr>
          <w:rFonts w:cs="Calibri"/>
        </w:rPr>
        <w:t xml:space="preserve"> </w:t>
      </w:r>
      <w:r w:rsidR="00512A53" w:rsidRPr="00E402B0">
        <w:rPr>
          <w:rFonts w:cs="Calibri"/>
        </w:rPr>
        <w:t>во 2022</w:t>
      </w:r>
      <w:r w:rsidR="00512A53">
        <w:rPr>
          <w:rFonts w:cs="Calibri"/>
          <w:lang w:val="mk-MK"/>
        </w:rPr>
        <w:t xml:space="preserve"> година</w:t>
      </w:r>
      <w:r w:rsidRPr="00E402B0">
        <w:rPr>
          <w:rFonts w:cs="Calibri"/>
        </w:rPr>
        <w:t xml:space="preserve"> просечното време на чекање за повикување за услужување е околу 15-тина минути, што е </w:t>
      </w:r>
      <w:r w:rsidRPr="00E402B0">
        <w:rPr>
          <w:rFonts w:cs="Calibri"/>
        </w:rPr>
        <w:lastRenderedPageBreak/>
        <w:t xml:space="preserve">резултат на подобрениот начин на менаџирање на човечкиот кадар и подобрената само дисциплина на шалтерските службеници бидејќи и самите имаат увид во нивните статистички податоци во однос на нивната ефективност и ефикасност на </w:t>
      </w:r>
      <w:r w:rsidR="00E142CC">
        <w:rPr>
          <w:rFonts w:cs="Calibri"/>
          <w:lang w:val="mk-MK"/>
        </w:rPr>
        <w:t>давање услуги</w:t>
      </w:r>
      <w:r w:rsidRPr="00E402B0">
        <w:rPr>
          <w:rFonts w:cs="Calibri"/>
        </w:rPr>
        <w:t xml:space="preserve"> на граѓаните.</w:t>
      </w:r>
    </w:p>
    <w:p w14:paraId="4489953E" w14:textId="77777777" w:rsidR="008A15B9" w:rsidRDefault="008A15B9" w:rsidP="008A15B9">
      <w:pPr>
        <w:spacing w:after="0"/>
        <w:jc w:val="both"/>
        <w:rPr>
          <w:rFonts w:cs="Calibri"/>
          <w:lang w:val="mk-MK"/>
        </w:rPr>
      </w:pPr>
    </w:p>
    <w:p w14:paraId="114FE83F" w14:textId="7B3BE9E9" w:rsidR="00F5796C" w:rsidRPr="00E402B0" w:rsidRDefault="00512A53" w:rsidP="008A15B9">
      <w:pPr>
        <w:spacing w:after="0"/>
        <w:jc w:val="both"/>
        <w:rPr>
          <w:rFonts w:cs="Calibri"/>
          <w:lang w:val="mk-MK"/>
        </w:rPr>
      </w:pPr>
      <w:r>
        <w:rPr>
          <w:rFonts w:cs="Calibri"/>
          <w:lang w:val="mk-MK"/>
        </w:rPr>
        <w:t xml:space="preserve">И покрај постигнатите резултати, постојат одредени </w:t>
      </w:r>
      <w:r w:rsidR="00F5796C" w:rsidRPr="00E402B0">
        <w:rPr>
          <w:rFonts w:cs="Calibri"/>
          <w:lang w:val="mk-MK"/>
        </w:rPr>
        <w:t>проблеми</w:t>
      </w:r>
      <w:r>
        <w:rPr>
          <w:rFonts w:cs="Calibri"/>
          <w:lang w:val="mk-MK"/>
        </w:rPr>
        <w:t xml:space="preserve"> кои се систематизирани во следниве 12 точки:</w:t>
      </w:r>
    </w:p>
    <w:p w14:paraId="418D62C6" w14:textId="724B8D21" w:rsidR="00F5796C" w:rsidRPr="00E402B0" w:rsidRDefault="00F5796C" w:rsidP="00F5796C">
      <w:pPr>
        <w:jc w:val="both"/>
        <w:rPr>
          <w:rFonts w:cs="Calibri"/>
          <w:lang w:val="mk-MK"/>
        </w:rPr>
      </w:pPr>
      <w:r w:rsidRPr="00E402B0">
        <w:rPr>
          <w:rFonts w:cs="Calibri"/>
          <w:lang w:val="mk-MK"/>
        </w:rPr>
        <w:t>1)</w:t>
      </w:r>
      <w:r w:rsidRPr="00E402B0">
        <w:rPr>
          <w:rFonts w:cs="Calibri"/>
          <w:lang w:val="mk-MK"/>
        </w:rPr>
        <w:tab/>
        <w:t>Нема унапредување и развој на софтверот „Прокси Модул“ уште од 2019 година, а без унапредување на тој модул преку кој се овозможуваат едношалтерските услуги, шалтерските службеници не</w:t>
      </w:r>
      <w:r>
        <w:rPr>
          <w:rFonts w:cs="Calibri"/>
          <w:lang w:val="mk-MK"/>
        </w:rPr>
        <w:t xml:space="preserve"> </w:t>
      </w:r>
      <w:r w:rsidRPr="00E402B0">
        <w:rPr>
          <w:rFonts w:cs="Calibri"/>
          <w:lang w:val="mk-MK"/>
        </w:rPr>
        <w:t xml:space="preserve">можат да ги обезбедуваат најфреквентните услуги потребни за граѓаните ( </w:t>
      </w:r>
      <w:r w:rsidR="00E142CC">
        <w:rPr>
          <w:rFonts w:cs="Calibri"/>
          <w:lang w:val="mk-MK"/>
        </w:rPr>
        <w:t xml:space="preserve">на </w:t>
      </w:r>
      <w:r w:rsidRPr="00E402B0">
        <w:rPr>
          <w:rFonts w:cs="Calibri"/>
          <w:lang w:val="mk-MK"/>
        </w:rPr>
        <w:t>пример</w:t>
      </w:r>
      <w:r w:rsidR="00E142CC">
        <w:rPr>
          <w:rFonts w:cs="Calibri"/>
          <w:lang w:val="mk-MK"/>
        </w:rPr>
        <w:t>:</w:t>
      </w:r>
      <w:r w:rsidRPr="00E402B0">
        <w:rPr>
          <w:rFonts w:cs="Calibri"/>
          <w:lang w:val="mk-MK"/>
        </w:rPr>
        <w:t xml:space="preserve"> Извод од матична книга на родените)</w:t>
      </w:r>
      <w:r>
        <w:rPr>
          <w:rFonts w:cs="Calibri"/>
          <w:lang w:val="mk-MK"/>
        </w:rPr>
        <w:t xml:space="preserve">, </w:t>
      </w:r>
      <w:r w:rsidRPr="00E402B0">
        <w:rPr>
          <w:rFonts w:cs="Calibri"/>
          <w:lang w:val="mk-MK"/>
        </w:rPr>
        <w:t xml:space="preserve">ниту пак </w:t>
      </w:r>
      <w:r>
        <w:rPr>
          <w:rFonts w:cs="Calibri"/>
          <w:lang w:val="mk-MK"/>
        </w:rPr>
        <w:t xml:space="preserve">можат </w:t>
      </w:r>
      <w:r w:rsidRPr="00E402B0">
        <w:rPr>
          <w:rFonts w:cs="Calibri"/>
          <w:lang w:val="mk-MK"/>
        </w:rPr>
        <w:t>да предлагаат додавање на нови функционалности кои им се потребни за олеснување и за подобро функционирање на едношалтерскиот систем</w:t>
      </w:r>
      <w:r>
        <w:rPr>
          <w:rFonts w:cs="Calibri"/>
          <w:lang w:val="mk-MK"/>
        </w:rPr>
        <w:t>;</w:t>
      </w:r>
    </w:p>
    <w:p w14:paraId="68132503" w14:textId="57721BD4" w:rsidR="00F5796C" w:rsidRPr="00E402B0" w:rsidRDefault="00F5796C" w:rsidP="00F5796C">
      <w:pPr>
        <w:jc w:val="both"/>
        <w:rPr>
          <w:rFonts w:cs="Calibri"/>
          <w:lang w:val="mk-MK"/>
        </w:rPr>
      </w:pPr>
      <w:r w:rsidRPr="00E402B0">
        <w:rPr>
          <w:rFonts w:cs="Calibri"/>
          <w:lang w:val="mk-MK"/>
        </w:rPr>
        <w:t>2)</w:t>
      </w:r>
      <w:r w:rsidRPr="00E402B0">
        <w:rPr>
          <w:rFonts w:cs="Calibri"/>
          <w:lang w:val="mk-MK"/>
        </w:rPr>
        <w:tab/>
        <w:t>Не е овозможено проблемите да ги пријавуваат лично шалтерските службеници во директна комуникација со изведувачот – во истиот момент кога има проблем со реализација на одредена услуга за некоја странка (и телефонска и преку систем за тикети) што пак доведува до неинформираност на шалтерските службеници за периодот на недостапност на услугите за точно да ги информираат странките при побарувањето за остварување на услугата</w:t>
      </w:r>
      <w:r>
        <w:rPr>
          <w:rFonts w:cs="Calibri"/>
          <w:lang w:val="mk-MK"/>
        </w:rPr>
        <w:t>;</w:t>
      </w:r>
    </w:p>
    <w:p w14:paraId="417FD130" w14:textId="77777777" w:rsidR="00F5796C" w:rsidRPr="00E402B0" w:rsidRDefault="00F5796C" w:rsidP="00F5796C">
      <w:pPr>
        <w:jc w:val="both"/>
        <w:rPr>
          <w:rFonts w:cs="Calibri"/>
          <w:lang w:val="mk-MK"/>
        </w:rPr>
      </w:pPr>
      <w:r w:rsidRPr="00E402B0">
        <w:rPr>
          <w:rFonts w:cs="Calibri"/>
          <w:lang w:val="mk-MK"/>
        </w:rPr>
        <w:t>3)</w:t>
      </w:r>
      <w:r w:rsidRPr="00E402B0">
        <w:rPr>
          <w:rFonts w:cs="Calibri"/>
          <w:lang w:val="mk-MK"/>
        </w:rPr>
        <w:tab/>
        <w:t>Не е овозможена обука на шалтерските службеници при додавањето на нова услуга во Прокси Модулот, како да посредуваат за истата и да побараат појаснување од изведувачот доколку се соочат со непредвидена нова ситуација</w:t>
      </w:r>
      <w:r>
        <w:rPr>
          <w:rFonts w:cs="Calibri"/>
          <w:lang w:val="mk-MK"/>
        </w:rPr>
        <w:t>;</w:t>
      </w:r>
      <w:r w:rsidRPr="00E402B0">
        <w:rPr>
          <w:rFonts w:cs="Calibri"/>
          <w:lang w:val="mk-MK"/>
        </w:rPr>
        <w:t xml:space="preserve"> </w:t>
      </w:r>
    </w:p>
    <w:p w14:paraId="5F88E3E5" w14:textId="77777777" w:rsidR="00F5796C" w:rsidRPr="00E402B0" w:rsidRDefault="00F5796C" w:rsidP="00F5796C">
      <w:pPr>
        <w:jc w:val="both"/>
        <w:rPr>
          <w:rFonts w:cs="Calibri"/>
          <w:lang w:val="mk-MK"/>
        </w:rPr>
      </w:pPr>
      <w:r w:rsidRPr="00E402B0">
        <w:rPr>
          <w:rFonts w:cs="Calibri"/>
          <w:lang w:val="mk-MK"/>
        </w:rPr>
        <w:t>4)</w:t>
      </w:r>
      <w:r w:rsidRPr="00E402B0">
        <w:rPr>
          <w:rFonts w:cs="Calibri"/>
          <w:lang w:val="mk-MK"/>
        </w:rPr>
        <w:tab/>
        <w:t>Не е овозможена интеграција со физички PoS терминал за наплата, за да може шалтерските службеници да ги даваат услугите кои се наплаќаат</w:t>
      </w:r>
      <w:r>
        <w:rPr>
          <w:rFonts w:cs="Calibri"/>
          <w:lang w:val="mk-MK"/>
        </w:rPr>
        <w:t>;</w:t>
      </w:r>
    </w:p>
    <w:p w14:paraId="219BB0A5" w14:textId="77777777" w:rsidR="00F5796C" w:rsidRPr="00E402B0" w:rsidRDefault="00F5796C" w:rsidP="00F5796C">
      <w:pPr>
        <w:jc w:val="both"/>
        <w:rPr>
          <w:rFonts w:cs="Calibri"/>
          <w:lang w:val="mk-MK"/>
        </w:rPr>
      </w:pPr>
      <w:r w:rsidRPr="00E402B0">
        <w:rPr>
          <w:rFonts w:cs="Calibri"/>
          <w:lang w:val="mk-MK"/>
        </w:rPr>
        <w:t>5)</w:t>
      </w:r>
      <w:r w:rsidRPr="00E402B0">
        <w:rPr>
          <w:rFonts w:cs="Calibri"/>
          <w:lang w:val="mk-MK"/>
        </w:rPr>
        <w:tab/>
        <w:t>Прокси модулот не е интегриран со ДМС системот за заведување на договорите, кои ги склучуваат шалтерските службеници со странките</w:t>
      </w:r>
      <w:r>
        <w:rPr>
          <w:rFonts w:cs="Calibri"/>
          <w:lang w:val="mk-MK"/>
        </w:rPr>
        <w:t>;</w:t>
      </w:r>
    </w:p>
    <w:p w14:paraId="6CD4655B" w14:textId="04364924" w:rsidR="00F5796C" w:rsidRPr="00E402B0" w:rsidRDefault="00F5796C" w:rsidP="00F5796C">
      <w:pPr>
        <w:jc w:val="both"/>
        <w:rPr>
          <w:rFonts w:cs="Calibri"/>
          <w:lang w:val="mk-MK"/>
        </w:rPr>
      </w:pPr>
      <w:r w:rsidRPr="00E402B0">
        <w:rPr>
          <w:rFonts w:cs="Calibri"/>
          <w:lang w:val="mk-MK"/>
        </w:rPr>
        <w:t>6)</w:t>
      </w:r>
      <w:r w:rsidRPr="00E402B0">
        <w:rPr>
          <w:rFonts w:cs="Calibri"/>
          <w:lang w:val="mk-MK"/>
        </w:rPr>
        <w:tab/>
        <w:t>Прокси модулот не е интегриран со порталот за</w:t>
      </w:r>
      <w:r w:rsidR="00202BF0">
        <w:rPr>
          <w:rFonts w:cs="Calibri"/>
          <w:lang w:val="mk-MK"/>
        </w:rPr>
        <w:t xml:space="preserve"> </w:t>
      </w:r>
      <w:r w:rsidR="00E142CC">
        <w:rPr>
          <w:rFonts w:cs="Calibri"/>
          <w:lang w:val="mk-MK"/>
        </w:rPr>
        <w:t>ЕТУ</w:t>
      </w:r>
      <w:r w:rsidRPr="00E402B0">
        <w:rPr>
          <w:rFonts w:cs="Calibri"/>
          <w:lang w:val="mk-MK"/>
        </w:rPr>
        <w:t>, за граѓаните на јавно достапен начин континуирано да се информираат со ажурирани податоци. Податоците не се ажурирани од 2019 година</w:t>
      </w:r>
      <w:r>
        <w:rPr>
          <w:rFonts w:cs="Calibri"/>
          <w:lang w:val="mk-MK"/>
        </w:rPr>
        <w:t>;</w:t>
      </w:r>
    </w:p>
    <w:p w14:paraId="2B4155D6" w14:textId="5AF9F5C5" w:rsidR="00F5796C" w:rsidRPr="00E402B0" w:rsidRDefault="00F5796C" w:rsidP="00F5796C">
      <w:pPr>
        <w:jc w:val="both"/>
        <w:rPr>
          <w:rFonts w:cs="Calibri"/>
          <w:lang w:val="mk-MK"/>
        </w:rPr>
      </w:pPr>
      <w:r w:rsidRPr="00E402B0">
        <w:rPr>
          <w:rFonts w:cs="Calibri"/>
          <w:lang w:val="mk-MK"/>
        </w:rPr>
        <w:t>7)</w:t>
      </w:r>
      <w:r w:rsidRPr="00E402B0">
        <w:rPr>
          <w:rFonts w:cs="Calibri"/>
          <w:lang w:val="mk-MK"/>
        </w:rPr>
        <w:tab/>
        <w:t xml:space="preserve">Не се обезбедени средства за одржување на ИТ уредите и останатата опрема, гаранциите на истите завршуваат оваа година и доколку се расипе одредена опрема нема како да се сервисира. </w:t>
      </w:r>
      <w:r>
        <w:rPr>
          <w:rFonts w:cs="Calibri"/>
          <w:lang w:val="mk-MK"/>
        </w:rPr>
        <w:t>Постојат</w:t>
      </w:r>
      <w:r w:rsidRPr="00E402B0">
        <w:rPr>
          <w:rFonts w:cs="Calibri"/>
          <w:lang w:val="mk-MK"/>
        </w:rPr>
        <w:t xml:space="preserve"> дефекти кои го попречуваат дури и работењето на локацијата </w:t>
      </w:r>
      <w:r w:rsidR="001757F8">
        <w:rPr>
          <w:rFonts w:cs="Calibri"/>
          <w:lang w:val="mk-MK"/>
        </w:rPr>
        <w:t xml:space="preserve">( на </w:t>
      </w:r>
      <w:r w:rsidRPr="00E402B0">
        <w:rPr>
          <w:rFonts w:cs="Calibri"/>
          <w:lang w:val="mk-MK"/>
        </w:rPr>
        <w:t>пример ЕТУ Охрид, не е функционална инвертер климата за топлење и ладење на локалот</w:t>
      </w:r>
      <w:r w:rsidR="001757F8">
        <w:rPr>
          <w:rFonts w:cs="Calibri"/>
          <w:lang w:val="mk-MK"/>
        </w:rPr>
        <w:t>)</w:t>
      </w:r>
      <w:r>
        <w:rPr>
          <w:rFonts w:cs="Calibri"/>
          <w:lang w:val="mk-MK"/>
        </w:rPr>
        <w:t>;</w:t>
      </w:r>
    </w:p>
    <w:p w14:paraId="0486BD4D" w14:textId="77777777" w:rsidR="00F5796C" w:rsidRPr="00E402B0" w:rsidRDefault="00F5796C" w:rsidP="00F5796C">
      <w:pPr>
        <w:jc w:val="both"/>
        <w:rPr>
          <w:rFonts w:cs="Calibri"/>
          <w:lang w:val="mk-MK"/>
        </w:rPr>
      </w:pPr>
      <w:r w:rsidRPr="00E402B0">
        <w:rPr>
          <w:rFonts w:cs="Calibri"/>
          <w:lang w:val="mk-MK"/>
        </w:rPr>
        <w:t>8)</w:t>
      </w:r>
      <w:r w:rsidRPr="00E402B0">
        <w:rPr>
          <w:rFonts w:cs="Calibri"/>
          <w:lang w:val="mk-MK"/>
        </w:rPr>
        <w:tab/>
        <w:t xml:space="preserve">Не е оформен </w:t>
      </w:r>
      <w:r>
        <w:rPr>
          <w:rFonts w:cs="Calibri"/>
          <w:lang w:val="mk-MK"/>
        </w:rPr>
        <w:t>с</w:t>
      </w:r>
      <w:r w:rsidRPr="00E402B0">
        <w:rPr>
          <w:rFonts w:cs="Calibri"/>
          <w:lang w:val="mk-MK"/>
        </w:rPr>
        <w:t>ектор/</w:t>
      </w:r>
      <w:r>
        <w:rPr>
          <w:rFonts w:cs="Calibri"/>
          <w:lang w:val="mk-MK"/>
        </w:rPr>
        <w:t>о</w:t>
      </w:r>
      <w:r w:rsidRPr="00E402B0">
        <w:rPr>
          <w:rFonts w:cs="Calibri"/>
          <w:lang w:val="mk-MK"/>
        </w:rPr>
        <w:t>дделение за координација на ЕТУ. Сеуште за одредени ЕТУ локации не е решено кадровското прашање со шалтерските службеници, од аспект на нивен постојан ангажман, и начинот на мониторинг на евиденцијата на физичко присуство на работно место</w:t>
      </w:r>
      <w:r>
        <w:rPr>
          <w:rFonts w:cs="Calibri"/>
          <w:lang w:val="mk-MK"/>
        </w:rPr>
        <w:t>;</w:t>
      </w:r>
    </w:p>
    <w:p w14:paraId="4018DC2F" w14:textId="77777777" w:rsidR="00F5796C" w:rsidRPr="00E402B0" w:rsidRDefault="00F5796C" w:rsidP="00F5796C">
      <w:pPr>
        <w:jc w:val="both"/>
        <w:rPr>
          <w:rFonts w:cs="Calibri"/>
          <w:lang w:val="mk-MK"/>
        </w:rPr>
      </w:pPr>
      <w:r w:rsidRPr="00E402B0">
        <w:rPr>
          <w:rFonts w:cs="Calibri"/>
          <w:lang w:val="mk-MK"/>
        </w:rPr>
        <w:t>9)</w:t>
      </w:r>
      <w:r w:rsidRPr="00E402B0">
        <w:rPr>
          <w:rFonts w:cs="Calibri"/>
          <w:lang w:val="mk-MK"/>
        </w:rPr>
        <w:tab/>
        <w:t>Нема осигурување на движните и недвижните ствари во ЕТУ центрите</w:t>
      </w:r>
      <w:r>
        <w:rPr>
          <w:rFonts w:cs="Calibri"/>
          <w:lang w:val="mk-MK"/>
        </w:rPr>
        <w:t>;</w:t>
      </w:r>
    </w:p>
    <w:p w14:paraId="14C3CD2B" w14:textId="0972084A" w:rsidR="00F5796C" w:rsidRPr="00E402B0" w:rsidRDefault="00F5796C" w:rsidP="00F5796C">
      <w:pPr>
        <w:jc w:val="both"/>
        <w:rPr>
          <w:rFonts w:cs="Calibri"/>
          <w:lang w:val="mk-MK"/>
        </w:rPr>
      </w:pPr>
      <w:r w:rsidRPr="00E402B0">
        <w:rPr>
          <w:rFonts w:cs="Calibri"/>
          <w:lang w:val="mk-MK"/>
        </w:rPr>
        <w:t>10)</w:t>
      </w:r>
      <w:r w:rsidRPr="00E402B0">
        <w:rPr>
          <w:rFonts w:cs="Calibri"/>
          <w:lang w:val="mk-MK"/>
        </w:rPr>
        <w:tab/>
        <w:t xml:space="preserve">Нема мобилни телефони (броеви) на име на ЕТУ </w:t>
      </w:r>
      <w:r w:rsidR="001757F8">
        <w:rPr>
          <w:rFonts w:cs="Calibri"/>
          <w:lang w:val="mk-MK"/>
        </w:rPr>
        <w:t>центрите</w:t>
      </w:r>
      <w:r w:rsidRPr="00E402B0">
        <w:rPr>
          <w:rFonts w:cs="Calibri"/>
          <w:lang w:val="mk-MK"/>
        </w:rPr>
        <w:t xml:space="preserve">, преку кои шалтерските </w:t>
      </w:r>
      <w:r w:rsidR="001757F8">
        <w:rPr>
          <w:rFonts w:cs="Calibri"/>
          <w:lang w:val="mk-MK"/>
        </w:rPr>
        <w:t xml:space="preserve">службеници </w:t>
      </w:r>
      <w:r w:rsidRPr="00E402B0">
        <w:rPr>
          <w:rFonts w:cs="Calibri"/>
          <w:lang w:val="mk-MK"/>
        </w:rPr>
        <w:t>ќе може да ги известуваат граѓаните по СМС</w:t>
      </w:r>
      <w:r w:rsidR="001757F8">
        <w:rPr>
          <w:rFonts w:cs="Calibri"/>
          <w:lang w:val="mk-MK"/>
        </w:rPr>
        <w:t>/</w:t>
      </w:r>
      <w:r w:rsidRPr="00E402B0">
        <w:rPr>
          <w:rFonts w:cs="Calibri"/>
          <w:lang w:val="mk-MK"/>
        </w:rPr>
        <w:t>вибер, за статусот на одреден предмет или разрешување на одреден проблем</w:t>
      </w:r>
      <w:r>
        <w:rPr>
          <w:rFonts w:cs="Calibri"/>
          <w:lang w:val="mk-MK"/>
        </w:rPr>
        <w:t>;</w:t>
      </w:r>
    </w:p>
    <w:p w14:paraId="36A2B926" w14:textId="77777777" w:rsidR="00F5796C" w:rsidRPr="00E402B0" w:rsidRDefault="00F5796C" w:rsidP="00F5796C">
      <w:pPr>
        <w:jc w:val="both"/>
        <w:rPr>
          <w:rFonts w:cs="Calibri"/>
          <w:lang w:val="mk-MK"/>
        </w:rPr>
      </w:pPr>
      <w:r w:rsidRPr="00E402B0">
        <w:rPr>
          <w:rFonts w:cs="Calibri"/>
          <w:lang w:val="mk-MK"/>
        </w:rPr>
        <w:lastRenderedPageBreak/>
        <w:t>11)</w:t>
      </w:r>
      <w:r w:rsidRPr="00E402B0">
        <w:rPr>
          <w:rFonts w:cs="Calibri"/>
          <w:lang w:val="mk-MK"/>
        </w:rPr>
        <w:tab/>
        <w:t>Скратени се средствата во Буџетот за 2022 година за унапредување и развој на Прокси Модулот,  иако беа обезбедени средства и беше предвидено во годишниот план за јавни набавки за 2022 година „ Надградба на прокси Модулот и Развивање на софтверско решение за потребите на ЕТУ и стандарди за комуникација со различни е-портали “</w:t>
      </w:r>
      <w:r>
        <w:rPr>
          <w:rFonts w:cs="Calibri"/>
          <w:lang w:val="mk-MK"/>
        </w:rPr>
        <w:t>;</w:t>
      </w:r>
    </w:p>
    <w:p w14:paraId="1BA5A812" w14:textId="76B4B62D" w:rsidR="00F5796C" w:rsidRDefault="00F5796C" w:rsidP="00F5796C">
      <w:pPr>
        <w:jc w:val="both"/>
        <w:rPr>
          <w:rFonts w:cs="Calibri"/>
          <w:lang w:val="mk-MK"/>
        </w:rPr>
      </w:pPr>
      <w:r w:rsidRPr="00E402B0">
        <w:rPr>
          <w:rFonts w:cs="Calibri"/>
          <w:lang w:val="mk-MK"/>
        </w:rPr>
        <w:t>12)</w:t>
      </w:r>
      <w:r w:rsidRPr="00E402B0">
        <w:rPr>
          <w:rFonts w:cs="Calibri"/>
          <w:lang w:val="mk-MK"/>
        </w:rPr>
        <w:tab/>
        <w:t>Нема унапредување на правната рамка, за подобра искористеност на отпечатената форма од електронски издадениот документ, за неговата верификација од страна на институциите и неговото безусловно прифаќање како валиден документ.</w:t>
      </w:r>
    </w:p>
    <w:p w14:paraId="2341AAD2" w14:textId="29430E49" w:rsidR="00512A53" w:rsidRDefault="00512A53" w:rsidP="00F5796C">
      <w:pPr>
        <w:jc w:val="both"/>
        <w:rPr>
          <w:rFonts w:cs="Calibri"/>
          <w:lang w:val="mk-MK"/>
        </w:rPr>
      </w:pPr>
    </w:p>
    <w:p w14:paraId="0C87D1C0" w14:textId="77777777" w:rsidR="00512A53" w:rsidRPr="00E402B0" w:rsidRDefault="00512A53" w:rsidP="00F5796C">
      <w:pPr>
        <w:jc w:val="both"/>
        <w:rPr>
          <w:rFonts w:cs="Calibri"/>
          <w:lang w:val="mk-MK"/>
        </w:rPr>
      </w:pPr>
    </w:p>
    <w:p w14:paraId="531C2E62" w14:textId="77777777" w:rsidR="002A2063" w:rsidRDefault="002A2063" w:rsidP="00ED026D">
      <w:pPr>
        <w:pStyle w:val="Heading1"/>
        <w:rPr>
          <w:lang w:val="mk-MK"/>
        </w:rPr>
        <w:sectPr w:rsidR="002A2063" w:rsidSect="00F73F19">
          <w:footerReference w:type="default" r:id="rId3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9BE7F7E" w14:textId="1E62E5F2" w:rsidR="00F5796C" w:rsidRPr="00AC68FC" w:rsidRDefault="00ED026D" w:rsidP="00ED026D">
      <w:pPr>
        <w:pStyle w:val="Heading1"/>
        <w:rPr>
          <w:b/>
          <w:bCs/>
          <w:lang w:val="mk-MK"/>
        </w:rPr>
      </w:pPr>
      <w:r w:rsidRPr="00AC68FC">
        <w:rPr>
          <w:b/>
          <w:bCs/>
          <w:lang w:val="mk-MK"/>
        </w:rPr>
        <w:lastRenderedPageBreak/>
        <w:t xml:space="preserve">3. Стратешка рамка </w:t>
      </w:r>
    </w:p>
    <w:p w14:paraId="4386733F" w14:textId="18000E82" w:rsidR="00ED026D" w:rsidRDefault="00ED026D" w:rsidP="00ED026D">
      <w:pPr>
        <w:rPr>
          <w:lang w:val="mk-MK"/>
        </w:rPr>
      </w:pPr>
    </w:p>
    <w:p w14:paraId="553943CD" w14:textId="2AB83C59" w:rsidR="00ED026D" w:rsidRPr="00ED026D" w:rsidRDefault="00ED026D" w:rsidP="00512A53">
      <w:pPr>
        <w:spacing w:after="0" w:line="276" w:lineRule="auto"/>
        <w:jc w:val="both"/>
        <w:rPr>
          <w:lang w:val="mk-MK"/>
        </w:rPr>
      </w:pPr>
      <w:r w:rsidRPr="00E402B0">
        <w:rPr>
          <w:rFonts w:cs="Calibri"/>
          <w:lang w:val="mk-MK"/>
        </w:rPr>
        <w:t>Со оглед дека времетраењето на преговорите за полноправно членство зависат од брзината со која се спроведуваат реформите во државата</w:t>
      </w:r>
      <w:r>
        <w:rPr>
          <w:rFonts w:cs="Calibri"/>
          <w:lang w:val="mk-MK"/>
        </w:rPr>
        <w:t>, а и</w:t>
      </w:r>
      <w:r>
        <w:rPr>
          <w:lang w:val="mk-MK"/>
        </w:rPr>
        <w:t xml:space="preserve">мајќи ја предвид анализата на состојбите и утврдените предивици во секоја од приоритетните области, </w:t>
      </w:r>
      <w:r w:rsidRPr="00E402B0">
        <w:rPr>
          <w:rFonts w:cs="Calibri"/>
          <w:lang w:val="mk-MK"/>
        </w:rPr>
        <w:t xml:space="preserve">со </w:t>
      </w:r>
      <w:r w:rsidRPr="00B5617C">
        <w:rPr>
          <w:rFonts w:cs="Calibri"/>
          <w:lang w:val="mk-MK"/>
        </w:rPr>
        <w:t xml:space="preserve">Стратегијата за </w:t>
      </w:r>
      <w:r w:rsidR="008A15B9" w:rsidRPr="00B5617C">
        <w:rPr>
          <w:rFonts w:cs="Calibri"/>
          <w:lang w:val="mk-MK"/>
        </w:rPr>
        <w:t>РЈА</w:t>
      </w:r>
      <w:r w:rsidRPr="00E402B0">
        <w:rPr>
          <w:rFonts w:cs="Calibri"/>
          <w:lang w:val="mk-MK"/>
        </w:rPr>
        <w:t xml:space="preserve">, во временскиот </w:t>
      </w:r>
      <w:r w:rsidRPr="00142DD3">
        <w:rPr>
          <w:rFonts w:cs="Calibri"/>
          <w:lang w:val="mk-MK"/>
        </w:rPr>
        <w:t xml:space="preserve">период до кога се очекува </w:t>
      </w:r>
      <w:r w:rsidR="00202BF0">
        <w:rPr>
          <w:rFonts w:cs="Calibri"/>
          <w:lang w:val="mk-MK"/>
        </w:rPr>
        <w:t>РСМ</w:t>
      </w:r>
      <w:r w:rsidRPr="00142DD3">
        <w:rPr>
          <w:rFonts w:cs="Calibri"/>
          <w:lang w:val="mk-MK"/>
        </w:rPr>
        <w:t xml:space="preserve"> да стане полноправна членка на ЕУ,  с</w:t>
      </w:r>
      <w:r w:rsidRPr="00E402B0">
        <w:rPr>
          <w:rFonts w:cs="Calibri"/>
          <w:lang w:val="mk-MK"/>
        </w:rPr>
        <w:t xml:space="preserve">е </w:t>
      </w:r>
      <w:r w:rsidRPr="00906A55">
        <w:rPr>
          <w:rFonts w:cs="Calibri"/>
          <w:lang w:val="mk-MK"/>
        </w:rPr>
        <w:t>поставува с</w:t>
      </w:r>
      <w:r w:rsidRPr="00E402B0">
        <w:rPr>
          <w:rFonts w:cs="Calibri"/>
          <w:lang w:val="mk-MK"/>
        </w:rPr>
        <w:t>леднава</w:t>
      </w:r>
      <w:r w:rsidR="001757F8">
        <w:rPr>
          <w:rFonts w:cs="Calibri"/>
          <w:lang w:val="mk-MK"/>
        </w:rPr>
        <w:t>:</w:t>
      </w:r>
    </w:p>
    <w:p w14:paraId="658ADA57" w14:textId="22489D76" w:rsidR="0014020D" w:rsidRDefault="0014020D" w:rsidP="00ED026D">
      <w:pPr>
        <w:spacing w:after="0"/>
        <w:ind w:firstLine="360"/>
        <w:jc w:val="both"/>
        <w:rPr>
          <w:rFonts w:cs="Calibri"/>
          <w:lang w:val="mk-MK"/>
        </w:rPr>
      </w:pPr>
      <w:r>
        <w:rPr>
          <w:rFonts w:cs="Calibri"/>
          <w:noProof/>
          <w:lang w:val="en-US"/>
        </w:rPr>
        <mc:AlternateContent>
          <mc:Choice Requires="wps">
            <w:drawing>
              <wp:anchor distT="0" distB="0" distL="114300" distR="114300" simplePos="0" relativeHeight="251678720" behindDoc="0" locked="0" layoutInCell="1" allowOverlap="1" wp14:anchorId="092BA414" wp14:editId="713DFA19">
                <wp:simplePos x="0" y="0"/>
                <wp:positionH relativeFrom="margin">
                  <wp:align>right</wp:align>
                </wp:positionH>
                <wp:positionV relativeFrom="paragraph">
                  <wp:posOffset>133709</wp:posOffset>
                </wp:positionV>
                <wp:extent cx="5820244" cy="1423283"/>
                <wp:effectExtent l="0" t="0" r="28575" b="24765"/>
                <wp:wrapNone/>
                <wp:docPr id="20" name="Rectangle: Diagonal Corners Rounded 20"/>
                <wp:cNvGraphicFramePr/>
                <a:graphic xmlns:a="http://schemas.openxmlformats.org/drawingml/2006/main">
                  <a:graphicData uri="http://schemas.microsoft.com/office/word/2010/wordprocessingShape">
                    <wps:wsp>
                      <wps:cNvSpPr/>
                      <wps:spPr>
                        <a:xfrm>
                          <a:off x="0" y="0"/>
                          <a:ext cx="5820244" cy="1423283"/>
                        </a:xfrm>
                        <a:prstGeom prst="round2DiagRect">
                          <a:avLst/>
                        </a:prstGeom>
                        <a:gradFill flip="none"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path path="circle">
                            <a:fillToRect l="50000" t="50000" r="50000" b="50000"/>
                          </a:path>
                          <a:tileRect/>
                        </a:gradFill>
                      </wps:spPr>
                      <wps:style>
                        <a:lnRef idx="1">
                          <a:schemeClr val="accent1"/>
                        </a:lnRef>
                        <a:fillRef idx="2">
                          <a:schemeClr val="accent1"/>
                        </a:fillRef>
                        <a:effectRef idx="1">
                          <a:schemeClr val="accent1"/>
                        </a:effectRef>
                        <a:fontRef idx="minor">
                          <a:schemeClr val="dk1"/>
                        </a:fontRef>
                      </wps:style>
                      <wps:txbx>
                        <w:txbxContent>
                          <w:p w14:paraId="79D19F11" w14:textId="65077D64" w:rsidR="00902252" w:rsidRDefault="00902252" w:rsidP="0014020D">
                            <w:pPr>
                              <w:jc w:val="center"/>
                              <w:rPr>
                                <w:rFonts w:cs="Calibri"/>
                                <w:b/>
                                <w:bCs/>
                                <w:lang w:val="mk-MK"/>
                              </w:rPr>
                            </w:pPr>
                            <w:r w:rsidRPr="00E402B0">
                              <w:rPr>
                                <w:rFonts w:cs="Calibri"/>
                                <w:b/>
                                <w:bCs/>
                                <w:lang w:val="mk-MK"/>
                              </w:rPr>
                              <w:t xml:space="preserve">ВИЗИЈА </w:t>
                            </w:r>
                          </w:p>
                          <w:p w14:paraId="2C0BF1E3" w14:textId="0FBD0311" w:rsidR="00902252" w:rsidRPr="0014020D" w:rsidRDefault="00902252" w:rsidP="0014020D">
                            <w:pPr>
                              <w:jc w:val="center"/>
                              <w:rPr>
                                <w:smallCaps/>
                              </w:rPr>
                            </w:pPr>
                            <w:r w:rsidRPr="0014020D">
                              <w:rPr>
                                <w:rFonts w:cs="Calibri"/>
                                <w:b/>
                                <w:bCs/>
                                <w:smallCaps/>
                                <w:lang w:val="mk-MK"/>
                              </w:rPr>
                              <w:t>Деполитизирана, ефикасна, ефективна и отчетна јавна администрација која обезбедува квалитетни</w:t>
                            </w:r>
                            <w:r>
                              <w:rPr>
                                <w:rFonts w:cs="Calibri"/>
                                <w:b/>
                                <w:bCs/>
                                <w:smallCaps/>
                                <w:lang w:val="en-US"/>
                              </w:rPr>
                              <w:t xml:space="preserve"> </w:t>
                            </w:r>
                            <w:r>
                              <w:rPr>
                                <w:rFonts w:cs="Calibri"/>
                                <w:b/>
                                <w:bCs/>
                                <w:smallCaps/>
                                <w:lang w:val="mk-MK"/>
                              </w:rPr>
                              <w:t>политики</w:t>
                            </w:r>
                            <w:r w:rsidRPr="0014020D">
                              <w:rPr>
                                <w:rFonts w:cs="Calibri"/>
                                <w:b/>
                                <w:bCs/>
                                <w:smallCaps/>
                                <w:lang w:val="mk-MK"/>
                              </w:rPr>
                              <w:t xml:space="preserve"> и лесно достапни услуги за граѓаните и бизнис заедницата. Работата на јавната администрација се темели на европските начела и вредности и придонесува кон одржлив економски раст, владеење на правото, социјална кохезија и благосостојба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2BA414" id="Rectangle: Diagonal Corners Rounded 20" o:spid="_x0000_s1028" style="position:absolute;left:0;text-align:left;margin-left:407.1pt;margin-top:10.55pt;width:458.3pt;height:112.05pt;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820244,14232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" adj="-11796480,,5400" path="m237219,l5820244,r,l5820244,1186064v,131012,-106207,237219,-237219,237219l,1423283r,l,237219c,106207,106207,,237219,xe" fillcolor="#82a0d7 [2164]" strokecolor="#4472c4 [3204]" strokeweight=".5pt">
                <v:fill color2="#678ccf [2612]" rotate="t" focusposition=".5,.5" focussize="" colors="0 #a8b7df;.5 #9aabd9;1 #879ed7" focus="100%" type="gradientRadial"/>
                <v:stroke joinstyle="miter"/>
                <v:formulas/>
                <v:path arrowok="t" o:connecttype="custom" o:connectlocs="237219,0;5820244,0;5820244,0;5820244,1186064;5583025,1423283;0,1423283;0,1423283;0,237219;237219,0" o:connectangles="0,0,0,0,0,0,0,0,0" textboxrect="0,0,5820244,1423283"/>
                <v:textbox>
                  <w:txbxContent>
                    <w:p w14:paraId="79D19F11" w14:textId="65077D64" w:rsidR="00902252" w:rsidRDefault="00902252" w:rsidP="0014020D">
                      <w:pPr>
                        <w:jc w:val="center"/>
                        <w:rPr>
                          <w:rFonts w:cs="Calibri"/>
                          <w:b/>
                          <w:bCs/>
                          <w:lang w:val="mk-MK"/>
                        </w:rPr>
                      </w:pPr>
                      <w:r w:rsidRPr="00E402B0">
                        <w:rPr>
                          <w:rFonts w:cs="Calibri"/>
                          <w:b/>
                          <w:bCs/>
                          <w:lang w:val="mk-MK"/>
                        </w:rPr>
                        <w:t xml:space="preserve">ВИЗИЈА </w:t>
                      </w:r>
                    </w:p>
                    <w:p w14:paraId="2C0BF1E3" w14:textId="0FBD0311" w:rsidR="00902252" w:rsidRPr="0014020D" w:rsidRDefault="00902252" w:rsidP="0014020D">
                      <w:pPr>
                        <w:jc w:val="center"/>
                        <w:rPr>
                          <w:smallCaps/>
                        </w:rPr>
                      </w:pPr>
                      <w:r w:rsidRPr="0014020D">
                        <w:rPr>
                          <w:rFonts w:cs="Calibri"/>
                          <w:b/>
                          <w:bCs/>
                          <w:smallCaps/>
                          <w:lang w:val="mk-MK"/>
                        </w:rPr>
                        <w:t>Деполитизирана, ефикасна, ефективна и отчетна јавна администрација која обезбедува квалитетни</w:t>
                      </w:r>
                      <w:r>
                        <w:rPr>
                          <w:rFonts w:cs="Calibri"/>
                          <w:b/>
                          <w:bCs/>
                          <w:smallCaps/>
                          <w:lang w:val="en-US"/>
                        </w:rPr>
                        <w:t xml:space="preserve"> </w:t>
                      </w:r>
                      <w:r>
                        <w:rPr>
                          <w:rFonts w:cs="Calibri"/>
                          <w:b/>
                          <w:bCs/>
                          <w:smallCaps/>
                          <w:lang w:val="mk-MK"/>
                        </w:rPr>
                        <w:t>политики</w:t>
                      </w:r>
                      <w:r w:rsidRPr="0014020D">
                        <w:rPr>
                          <w:rFonts w:cs="Calibri"/>
                          <w:b/>
                          <w:bCs/>
                          <w:smallCaps/>
                          <w:lang w:val="mk-MK"/>
                        </w:rPr>
                        <w:t xml:space="preserve"> и лесно достапни услуги за граѓаните и бизнис заедницата. Работата на јавната администрација се темели на европските начела и вредности и придонесува кон одржлив економски раст, владеење на правото, социјална кохезија и благосостојба</w:t>
                      </w:r>
                    </w:p>
                  </w:txbxContent>
                </v:textbox>
                <w10:wrap anchorx="margin"/>
              </v:shape>
            </w:pict>
          </mc:Fallback>
        </mc:AlternateContent>
      </w:r>
    </w:p>
    <w:p w14:paraId="33BA8833" w14:textId="1607E35F" w:rsidR="0014020D" w:rsidRDefault="0014020D" w:rsidP="00ED026D">
      <w:pPr>
        <w:spacing w:after="0"/>
        <w:ind w:firstLine="360"/>
        <w:jc w:val="both"/>
        <w:rPr>
          <w:rFonts w:cs="Calibri"/>
          <w:lang w:val="mk-MK"/>
        </w:rPr>
      </w:pPr>
    </w:p>
    <w:p w14:paraId="47AA7AFE" w14:textId="77777777" w:rsidR="0014020D" w:rsidRPr="00E402B0" w:rsidRDefault="0014020D" w:rsidP="00ED026D">
      <w:pPr>
        <w:spacing w:after="0"/>
        <w:ind w:firstLine="360"/>
        <w:jc w:val="both"/>
        <w:rPr>
          <w:rFonts w:cs="Calibri"/>
          <w:lang w:val="mk-MK"/>
        </w:rPr>
      </w:pPr>
    </w:p>
    <w:p w14:paraId="5218801F" w14:textId="77777777" w:rsidR="00ED026D" w:rsidRPr="00E402B0" w:rsidRDefault="00ED026D" w:rsidP="00ED026D">
      <w:pPr>
        <w:spacing w:after="0"/>
        <w:jc w:val="both"/>
        <w:rPr>
          <w:rFonts w:cs="Calibri"/>
          <w:lang w:val="mk-MK"/>
        </w:rPr>
      </w:pPr>
    </w:p>
    <w:p w14:paraId="614D2B0C" w14:textId="77777777" w:rsidR="0014020D" w:rsidRDefault="0014020D" w:rsidP="00ED026D">
      <w:pPr>
        <w:spacing w:after="0"/>
        <w:jc w:val="both"/>
        <w:rPr>
          <w:rFonts w:cs="Calibri"/>
          <w:lang w:val="mk-MK"/>
        </w:rPr>
      </w:pPr>
    </w:p>
    <w:p w14:paraId="10BF376D" w14:textId="77777777" w:rsidR="0014020D" w:rsidRDefault="0014020D" w:rsidP="00ED026D">
      <w:pPr>
        <w:spacing w:after="0"/>
        <w:jc w:val="both"/>
        <w:rPr>
          <w:rFonts w:cs="Calibri"/>
          <w:lang w:val="mk-MK"/>
        </w:rPr>
      </w:pPr>
    </w:p>
    <w:p w14:paraId="1E02A656" w14:textId="77777777" w:rsidR="0014020D" w:rsidRDefault="0014020D" w:rsidP="00ED026D">
      <w:pPr>
        <w:spacing w:after="0"/>
        <w:jc w:val="both"/>
        <w:rPr>
          <w:rFonts w:cs="Calibri"/>
          <w:lang w:val="mk-MK"/>
        </w:rPr>
      </w:pPr>
    </w:p>
    <w:p w14:paraId="20D85BCF" w14:textId="77777777" w:rsidR="0014020D" w:rsidRDefault="0014020D" w:rsidP="00ED026D">
      <w:pPr>
        <w:spacing w:after="0"/>
        <w:jc w:val="both"/>
        <w:rPr>
          <w:rFonts w:cs="Calibri"/>
          <w:lang w:val="mk-MK"/>
        </w:rPr>
      </w:pPr>
    </w:p>
    <w:p w14:paraId="2578B428" w14:textId="77777777" w:rsidR="0014020D" w:rsidRDefault="0014020D" w:rsidP="00ED026D">
      <w:pPr>
        <w:spacing w:after="0"/>
        <w:jc w:val="both"/>
        <w:rPr>
          <w:rFonts w:cs="Calibri"/>
          <w:lang w:val="mk-MK"/>
        </w:rPr>
      </w:pPr>
    </w:p>
    <w:p w14:paraId="10F80865" w14:textId="766B2787" w:rsidR="00ED026D" w:rsidRDefault="00ED026D" w:rsidP="00ED026D">
      <w:pPr>
        <w:spacing w:after="0"/>
        <w:jc w:val="both"/>
        <w:rPr>
          <w:rFonts w:cs="Calibri"/>
          <w:lang w:val="mk-MK"/>
        </w:rPr>
      </w:pPr>
      <w:r w:rsidRPr="00E402B0">
        <w:rPr>
          <w:rFonts w:cs="Calibri"/>
          <w:lang w:val="mk-MK"/>
        </w:rPr>
        <w:t xml:space="preserve">За </w:t>
      </w:r>
      <w:r w:rsidR="000943C5">
        <w:rPr>
          <w:rFonts w:cs="Calibri"/>
          <w:lang w:val="mk-MK"/>
        </w:rPr>
        <w:t xml:space="preserve">постигнување на </w:t>
      </w:r>
      <w:r w:rsidRPr="00E402B0">
        <w:rPr>
          <w:rFonts w:cs="Calibri"/>
          <w:lang w:val="mk-MK"/>
        </w:rPr>
        <w:t>оваа визија за реформата на јавната администрација се утврдени следните општи и посебни цели:</w:t>
      </w:r>
    </w:p>
    <w:p w14:paraId="07D84E32" w14:textId="77777777" w:rsidR="003F0B2B" w:rsidRDefault="003F0B2B" w:rsidP="00ED026D">
      <w:pPr>
        <w:spacing w:after="0"/>
        <w:jc w:val="both"/>
        <w:rPr>
          <w:rFonts w:cs="Calibri"/>
          <w:lang w:val="mk-MK"/>
        </w:rPr>
      </w:pPr>
    </w:p>
    <w:p w14:paraId="2325FE27" w14:textId="4F734D7F" w:rsidR="0014020D" w:rsidRPr="00E402B0" w:rsidRDefault="00DD38A9" w:rsidP="00ED026D">
      <w:pPr>
        <w:spacing w:after="0"/>
        <w:jc w:val="both"/>
        <w:rPr>
          <w:rFonts w:cs="Calibri"/>
          <w:lang w:val="mk-MK"/>
        </w:rPr>
      </w:pPr>
      <w:r>
        <w:rPr>
          <w:rFonts w:cs="Calibri"/>
          <w:noProof/>
          <w:lang w:val="en-US"/>
        </w:rPr>
        <mc:AlternateContent>
          <mc:Choice Requires="wps">
            <w:drawing>
              <wp:anchor distT="0" distB="0" distL="114300" distR="114300" simplePos="0" relativeHeight="251684864" behindDoc="0" locked="0" layoutInCell="1" allowOverlap="1" wp14:anchorId="1570D0CA" wp14:editId="5E9E606A">
                <wp:simplePos x="0" y="0"/>
                <wp:positionH relativeFrom="column">
                  <wp:posOffset>3804249</wp:posOffset>
                </wp:positionH>
                <wp:positionV relativeFrom="paragraph">
                  <wp:posOffset>156964</wp:posOffset>
                </wp:positionV>
                <wp:extent cx="1267604" cy="2260121"/>
                <wp:effectExtent l="0" t="0" r="27940" b="330835"/>
                <wp:wrapNone/>
                <wp:docPr id="50" name="Speech Bubble: Rectangle with Corners Rounded 50"/>
                <wp:cNvGraphicFramePr/>
                <a:graphic xmlns:a="http://schemas.openxmlformats.org/drawingml/2006/main">
                  <a:graphicData uri="http://schemas.microsoft.com/office/word/2010/wordprocessingShape">
                    <wps:wsp>
                      <wps:cNvSpPr/>
                      <wps:spPr>
                        <a:xfrm>
                          <a:off x="0" y="0"/>
                          <a:ext cx="1267604" cy="2260121"/>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0A256973" w14:textId="24B66D98" w:rsidR="00902252" w:rsidRDefault="00902252" w:rsidP="00DD38A9">
                            <w:pPr>
                              <w:jc w:val="center"/>
                              <w:rPr>
                                <w:lang w:val="mk-MK"/>
                              </w:rPr>
                            </w:pPr>
                            <w:r>
                              <w:rPr>
                                <w:noProof/>
                                <w:lang w:val="en-US"/>
                              </w:rPr>
                              <w:drawing>
                                <wp:inline distT="0" distB="0" distL="0" distR="0" wp14:anchorId="0597369D" wp14:editId="09A91348">
                                  <wp:extent cx="431321" cy="422275"/>
                                  <wp:effectExtent l="0" t="0" r="6985" b="0"/>
                                  <wp:docPr id="320231835" name="Picture 320231835" descr="Transparenc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cy free ic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2698" cy="433414"/>
                                          </a:xfrm>
                                          <a:prstGeom prst="rect">
                                            <a:avLst/>
                                          </a:prstGeom>
                                          <a:noFill/>
                                          <a:ln>
                                            <a:noFill/>
                                          </a:ln>
                                        </pic:spPr>
                                      </pic:pic>
                                    </a:graphicData>
                                  </a:graphic>
                                </wp:inline>
                              </w:drawing>
                            </w:r>
                          </w:p>
                          <w:p w14:paraId="2BF0983F" w14:textId="77C82909" w:rsidR="00902252" w:rsidRPr="00AC68FC" w:rsidRDefault="00902252" w:rsidP="00AC68FC">
                            <w:pPr>
                              <w:jc w:val="center"/>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8FC">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Одговорно, </w:t>
                            </w:r>
                            <w:r>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Pr="00AC68FC">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тчетно и транспарентно работење на институциите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0D0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0" o:spid="_x0000_s1029" type="#_x0000_t62" style="position:absolute;left:0;text-align:left;margin-left:299.55pt;margin-top:12.35pt;width:99.8pt;height:17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" adj="6300,24300" fillcolor="white [3201]" strokecolor="#4472c4 [3204]" strokeweight="1pt">
                <v:textbox>
                  <w:txbxContent>
                    <w:p w14:paraId="0A256973" w14:textId="24B66D98" w:rsidR="00902252" w:rsidRDefault="00902252" w:rsidP="00DD38A9">
                      <w:pPr>
                        <w:jc w:val="center"/>
                        <w:rPr>
                          <w:lang w:val="mk-MK"/>
                        </w:rPr>
                      </w:pPr>
                      <w:r>
                        <w:rPr>
                          <w:noProof/>
                          <w:lang w:val="en-US"/>
                        </w:rPr>
                        <w:drawing>
                          <wp:inline distT="0" distB="0" distL="0" distR="0" wp14:anchorId="0597369D" wp14:editId="09A91348">
                            <wp:extent cx="431321" cy="422275"/>
                            <wp:effectExtent l="0" t="0" r="6985" b="0"/>
                            <wp:docPr id="320231835" name="Picture 320231835" descr="Transparenc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cy free ic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2698" cy="433414"/>
                                    </a:xfrm>
                                    <a:prstGeom prst="rect">
                                      <a:avLst/>
                                    </a:prstGeom>
                                    <a:noFill/>
                                    <a:ln>
                                      <a:noFill/>
                                    </a:ln>
                                  </pic:spPr>
                                </pic:pic>
                              </a:graphicData>
                            </a:graphic>
                          </wp:inline>
                        </w:drawing>
                      </w:r>
                    </w:p>
                    <w:p w14:paraId="2BF0983F" w14:textId="77C82909" w:rsidR="00902252" w:rsidRPr="00AC68FC" w:rsidRDefault="00902252" w:rsidP="00AC68FC">
                      <w:pPr>
                        <w:jc w:val="center"/>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8FC">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Одговорно, </w:t>
                      </w:r>
                      <w:r>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Pr="00AC68FC">
                        <w:rPr>
                          <w:b/>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тчетно и транспарентно работење на институциите</w:t>
                      </w:r>
                    </w:p>
                  </w:txbxContent>
                </v:textbox>
              </v:shape>
            </w:pict>
          </mc:Fallback>
        </mc:AlternateContent>
      </w:r>
      <w:r w:rsidR="0014020D">
        <w:rPr>
          <w:rFonts w:cs="Calibri"/>
          <w:noProof/>
          <w:lang w:val="en-US"/>
        </w:rPr>
        <mc:AlternateContent>
          <mc:Choice Requires="wpc">
            <w:drawing>
              <wp:inline distT="0" distB="0" distL="0" distR="0" wp14:anchorId="2836F4DC" wp14:editId="5808BD7A">
                <wp:extent cx="6524626" cy="2218690"/>
                <wp:effectExtent l="38100" t="38100" r="333375" b="166751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4" name="Rectangle: Single Corner Snipped 24"/>
                        <wps:cNvSpPr/>
                        <wps:spPr>
                          <a:xfrm>
                            <a:off x="350323" y="226891"/>
                            <a:ext cx="1533524" cy="3633746"/>
                          </a:xfrm>
                          <a:prstGeom prst="snip1Rect">
                            <a:avLst/>
                          </a:prstGeom>
                        </wps:spPr>
                        <wps:style>
                          <a:lnRef idx="1">
                            <a:schemeClr val="accent1"/>
                          </a:lnRef>
                          <a:fillRef idx="2">
                            <a:schemeClr val="accent1"/>
                          </a:fillRef>
                          <a:effectRef idx="1">
                            <a:schemeClr val="accent1"/>
                          </a:effectRef>
                          <a:fontRef idx="minor">
                            <a:schemeClr val="dk1"/>
                          </a:fontRef>
                        </wps:style>
                        <wps:txbx>
                          <w:txbxContent>
                            <w:p w14:paraId="2472060E" w14:textId="34303B9C" w:rsidR="00902252" w:rsidRDefault="00902252" w:rsidP="00C955D6">
                              <w:pPr>
                                <w:jc w:val="center"/>
                                <w:rPr>
                                  <w:lang w:val="en-US"/>
                                </w:rPr>
                              </w:pPr>
                            </w:p>
                            <w:p w14:paraId="396B9D60" w14:textId="70812D36" w:rsidR="00902252" w:rsidRDefault="00902252" w:rsidP="00C955D6">
                              <w:pPr>
                                <w:jc w:val="center"/>
                                <w:rPr>
                                  <w:lang w:val="en-US"/>
                                </w:rPr>
                              </w:pPr>
                            </w:p>
                            <w:p w14:paraId="26B05972" w14:textId="56642262" w:rsidR="00902252" w:rsidRDefault="00902252" w:rsidP="00C955D6">
                              <w:pPr>
                                <w:jc w:val="center"/>
                                <w:rPr>
                                  <w:lang w:val="en-US"/>
                                </w:rPr>
                              </w:pPr>
                            </w:p>
                            <w:p w14:paraId="5A87FDBD" w14:textId="2E1E2A55" w:rsidR="00902252" w:rsidRDefault="00902252" w:rsidP="00C955D6">
                              <w:pPr>
                                <w:jc w:val="center"/>
                                <w:rPr>
                                  <w:lang w:val="en-US"/>
                                </w:rPr>
                              </w:pPr>
                            </w:p>
                            <w:p w14:paraId="564ABD38" w14:textId="0C49EBFB" w:rsidR="00902252" w:rsidRDefault="00902252" w:rsidP="00C955D6">
                              <w:pPr>
                                <w:jc w:val="center"/>
                                <w:rPr>
                                  <w:lang w:val="en-US"/>
                                </w:rPr>
                              </w:pPr>
                            </w:p>
                            <w:p w14:paraId="0AEEBF79" w14:textId="04343CC8" w:rsidR="00902252" w:rsidRDefault="00902252" w:rsidP="00C955D6">
                              <w:pPr>
                                <w:jc w:val="center"/>
                                <w:rPr>
                                  <w:lang w:val="en-US"/>
                                </w:rPr>
                              </w:pPr>
                            </w:p>
                            <w:p w14:paraId="630C847E" w14:textId="7243CCAF" w:rsidR="00902252" w:rsidRDefault="00902252" w:rsidP="00C955D6">
                              <w:pPr>
                                <w:jc w:val="center"/>
                                <w:rPr>
                                  <w:lang w:val="en-US"/>
                                </w:rPr>
                              </w:pPr>
                            </w:p>
                            <w:p w14:paraId="73E6E629" w14:textId="77777777" w:rsidR="00902252" w:rsidRDefault="00902252" w:rsidP="00852E72">
                              <w:pPr>
                                <w:rPr>
                                  <w:sz w:val="20"/>
                                  <w:szCs w:val="20"/>
                                  <w:lang w:val="mk-MK"/>
                                </w:rPr>
                              </w:pPr>
                            </w:p>
                            <w:p w14:paraId="568DE697" w14:textId="77777777" w:rsidR="00902252" w:rsidRDefault="00902252" w:rsidP="00852E72">
                              <w:pPr>
                                <w:rPr>
                                  <w:sz w:val="20"/>
                                  <w:szCs w:val="20"/>
                                  <w:lang w:val="mk-MK"/>
                                </w:rPr>
                              </w:pPr>
                            </w:p>
                            <w:p w14:paraId="2E103988" w14:textId="7C18980B" w:rsidR="00902252" w:rsidRPr="002A2063" w:rsidRDefault="00902252" w:rsidP="00852E72">
                              <w:pPr>
                                <w:jc w:val="center"/>
                                <w:rPr>
                                  <w:b/>
                                  <w:bCs/>
                                  <w:sz w:val="20"/>
                                  <w:szCs w:val="20"/>
                                  <w:lang w:val="mk-MK"/>
                                </w:rPr>
                              </w:pPr>
                              <w:r w:rsidRPr="002A2063">
                                <w:rPr>
                                  <w:b/>
                                  <w:bCs/>
                                  <w:sz w:val="20"/>
                                  <w:szCs w:val="20"/>
                                  <w:lang w:val="mk-MK"/>
                                </w:rPr>
                                <w:t>ПО 1: КРЕИРАЊЕ ПОЛИТИКИ И КООРДИНАЦИЈА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Single Corner Snipped 25"/>
                        <wps:cNvSpPr/>
                        <wps:spPr>
                          <a:xfrm>
                            <a:off x="2036248" y="227800"/>
                            <a:ext cx="1524000" cy="3632835"/>
                          </a:xfrm>
                          <a:prstGeom prst="snip1Rect">
                            <a:avLst/>
                          </a:prstGeom>
                        </wps:spPr>
                        <wps:style>
                          <a:lnRef idx="1">
                            <a:schemeClr val="accent5"/>
                          </a:lnRef>
                          <a:fillRef idx="2">
                            <a:schemeClr val="accent5"/>
                          </a:fillRef>
                          <a:effectRef idx="1">
                            <a:schemeClr val="accent5"/>
                          </a:effectRef>
                          <a:fontRef idx="minor">
                            <a:schemeClr val="dk1"/>
                          </a:fontRef>
                        </wps:style>
                        <wps:txbx>
                          <w:txbxContent>
                            <w:p w14:paraId="276775D1" w14:textId="1FA4CCE5" w:rsidR="00902252" w:rsidRDefault="00902252" w:rsidP="00852E72">
                              <w:pPr>
                                <w:jc w:val="center"/>
                              </w:pPr>
                            </w:p>
                            <w:p w14:paraId="105526E4" w14:textId="2DC1A70F" w:rsidR="00902252" w:rsidRDefault="00902252" w:rsidP="00852E72">
                              <w:pPr>
                                <w:jc w:val="center"/>
                              </w:pPr>
                            </w:p>
                            <w:p w14:paraId="7932C70F" w14:textId="2C0B77C5" w:rsidR="00902252" w:rsidRDefault="00902252" w:rsidP="00852E72">
                              <w:pPr>
                                <w:jc w:val="center"/>
                              </w:pPr>
                            </w:p>
                            <w:p w14:paraId="4EFE9B01" w14:textId="188D586C" w:rsidR="00902252" w:rsidRDefault="00902252" w:rsidP="00852E72">
                              <w:pPr>
                                <w:jc w:val="center"/>
                              </w:pPr>
                            </w:p>
                            <w:p w14:paraId="0185DFA9" w14:textId="07E20142" w:rsidR="00902252" w:rsidRDefault="00902252" w:rsidP="00852E72">
                              <w:pPr>
                                <w:jc w:val="center"/>
                              </w:pPr>
                            </w:p>
                            <w:p w14:paraId="0456F090" w14:textId="16576A0B" w:rsidR="00902252" w:rsidRDefault="00902252" w:rsidP="00852E72">
                              <w:pPr>
                                <w:jc w:val="center"/>
                              </w:pPr>
                            </w:p>
                            <w:p w14:paraId="328BD9C9" w14:textId="3A2ED58A" w:rsidR="00902252" w:rsidRDefault="00902252" w:rsidP="00852E72">
                              <w:pPr>
                                <w:jc w:val="center"/>
                              </w:pPr>
                            </w:p>
                            <w:p w14:paraId="57CC9FEE" w14:textId="77777777" w:rsidR="00902252" w:rsidRDefault="00902252" w:rsidP="00852E72">
                              <w:pPr>
                                <w:jc w:val="center"/>
                                <w:rPr>
                                  <w:lang w:val="mk-MK"/>
                                </w:rPr>
                              </w:pPr>
                            </w:p>
                            <w:p w14:paraId="526A5A7D" w14:textId="77777777" w:rsidR="00902252" w:rsidRDefault="00902252" w:rsidP="00852E72">
                              <w:pPr>
                                <w:jc w:val="center"/>
                                <w:rPr>
                                  <w:lang w:val="mk-MK"/>
                                </w:rPr>
                              </w:pPr>
                            </w:p>
                            <w:p w14:paraId="31C2E557" w14:textId="60204E57" w:rsidR="00902252" w:rsidRPr="002A2063" w:rsidRDefault="00902252" w:rsidP="00852E72">
                              <w:pPr>
                                <w:jc w:val="center"/>
                                <w:rPr>
                                  <w:b/>
                                  <w:bCs/>
                                  <w:sz w:val="20"/>
                                  <w:szCs w:val="20"/>
                                  <w:lang w:val="mk-MK"/>
                                </w:rPr>
                              </w:pPr>
                              <w:r w:rsidRPr="002A2063">
                                <w:rPr>
                                  <w:b/>
                                  <w:bCs/>
                                  <w:sz w:val="20"/>
                                  <w:szCs w:val="20"/>
                                  <w:lang w:val="mk-MK"/>
                                </w:rPr>
                                <w:t>ПО 2: ЈАВНА СЛУЖБА И УПРАВУВАЊЕ СО ЧОВЕЧКИ РЕСУРСИ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Single Corner Snipped 26"/>
                        <wps:cNvSpPr/>
                        <wps:spPr>
                          <a:xfrm>
                            <a:off x="3684074" y="227796"/>
                            <a:ext cx="1421326" cy="3632369"/>
                          </a:xfrm>
                          <a:prstGeom prst="snip1Rect">
                            <a:avLst/>
                          </a:prstGeom>
                        </wps:spPr>
                        <wps:style>
                          <a:lnRef idx="1">
                            <a:schemeClr val="accent4"/>
                          </a:lnRef>
                          <a:fillRef idx="2">
                            <a:schemeClr val="accent4"/>
                          </a:fillRef>
                          <a:effectRef idx="1">
                            <a:schemeClr val="accent4"/>
                          </a:effectRef>
                          <a:fontRef idx="minor">
                            <a:schemeClr val="dk1"/>
                          </a:fontRef>
                        </wps:style>
                        <wps:txbx>
                          <w:txbxContent>
                            <w:p w14:paraId="04FF3B2B" w14:textId="4587E5D0" w:rsidR="00902252" w:rsidRDefault="00902252" w:rsidP="00852E72">
                              <w:pPr>
                                <w:jc w:val="center"/>
                              </w:pPr>
                            </w:p>
                            <w:p w14:paraId="61881D48" w14:textId="399286A7" w:rsidR="00902252" w:rsidRDefault="00902252" w:rsidP="00852E72">
                              <w:pPr>
                                <w:jc w:val="center"/>
                              </w:pPr>
                            </w:p>
                            <w:p w14:paraId="2D61F4D9" w14:textId="21FAF1F7" w:rsidR="00902252" w:rsidRDefault="00902252" w:rsidP="00852E72">
                              <w:pPr>
                                <w:jc w:val="center"/>
                              </w:pPr>
                            </w:p>
                            <w:p w14:paraId="33214EFF" w14:textId="1FE0644E" w:rsidR="00902252" w:rsidRDefault="00902252" w:rsidP="00852E72">
                              <w:pPr>
                                <w:jc w:val="center"/>
                              </w:pPr>
                            </w:p>
                            <w:p w14:paraId="7E74CBBD" w14:textId="61B915D5" w:rsidR="00902252" w:rsidRDefault="00902252" w:rsidP="00852E72">
                              <w:pPr>
                                <w:jc w:val="center"/>
                              </w:pPr>
                            </w:p>
                            <w:p w14:paraId="1487761B" w14:textId="2BCAA89A" w:rsidR="00902252" w:rsidRDefault="00902252" w:rsidP="00852E72">
                              <w:pPr>
                                <w:jc w:val="center"/>
                              </w:pPr>
                            </w:p>
                            <w:p w14:paraId="18B2D7AA" w14:textId="200865AF" w:rsidR="00902252" w:rsidRDefault="00902252" w:rsidP="00852E72">
                              <w:pPr>
                                <w:jc w:val="center"/>
                              </w:pPr>
                            </w:p>
                            <w:p w14:paraId="7D31A4A4" w14:textId="74861F03" w:rsidR="00902252" w:rsidRDefault="00902252" w:rsidP="00852E72">
                              <w:pPr>
                                <w:jc w:val="center"/>
                              </w:pPr>
                            </w:p>
                            <w:p w14:paraId="4B3BF658" w14:textId="77777777" w:rsidR="00902252" w:rsidRDefault="00902252" w:rsidP="00852E72">
                              <w:pPr>
                                <w:jc w:val="center"/>
                                <w:rPr>
                                  <w:b/>
                                  <w:bCs/>
                                  <w:lang w:val="mk-MK"/>
                                </w:rPr>
                              </w:pPr>
                            </w:p>
                            <w:p w14:paraId="5860A49C" w14:textId="610656C7" w:rsidR="00902252" w:rsidRPr="002A2063" w:rsidRDefault="00902252" w:rsidP="00852E72">
                              <w:pPr>
                                <w:jc w:val="center"/>
                                <w:rPr>
                                  <w:b/>
                                  <w:bCs/>
                                  <w:sz w:val="20"/>
                                  <w:szCs w:val="20"/>
                                  <w:lang w:val="mk-MK"/>
                                </w:rPr>
                              </w:pPr>
                              <w:r w:rsidRPr="002A2063">
                                <w:rPr>
                                  <w:b/>
                                  <w:bCs/>
                                  <w:sz w:val="20"/>
                                  <w:szCs w:val="20"/>
                                  <w:lang w:val="mk-MK"/>
                                </w:rPr>
                                <w:t>ПО 3: ОДГОВОРНОСТ, ОТЧЕТНОСТ И ТРАНСПАРЕНТНОСТ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Single Corner Snipped 27"/>
                        <wps:cNvSpPr/>
                        <wps:spPr>
                          <a:xfrm>
                            <a:off x="5219700" y="226891"/>
                            <a:ext cx="1619250" cy="3632835"/>
                          </a:xfrm>
                          <a:prstGeom prst="snip1Rect">
                            <a:avLst/>
                          </a:prstGeom>
                          <a:ln/>
                        </wps:spPr>
                        <wps:style>
                          <a:lnRef idx="1">
                            <a:schemeClr val="accent5"/>
                          </a:lnRef>
                          <a:fillRef idx="2">
                            <a:schemeClr val="accent5"/>
                          </a:fillRef>
                          <a:effectRef idx="1">
                            <a:schemeClr val="accent5"/>
                          </a:effectRef>
                          <a:fontRef idx="minor">
                            <a:schemeClr val="dk1"/>
                          </a:fontRef>
                        </wps:style>
                        <wps:txbx>
                          <w:txbxContent>
                            <w:p w14:paraId="2E3964E2" w14:textId="2D9C0C3A" w:rsidR="00902252" w:rsidRDefault="00902252" w:rsidP="003F0B2B">
                              <w:pPr>
                                <w:jc w:val="center"/>
                              </w:pPr>
                            </w:p>
                            <w:p w14:paraId="568DE39D" w14:textId="1C61D002" w:rsidR="00902252" w:rsidRDefault="00902252" w:rsidP="003F0B2B">
                              <w:pPr>
                                <w:jc w:val="center"/>
                              </w:pPr>
                            </w:p>
                            <w:p w14:paraId="6F75ABA0" w14:textId="1045FD3C" w:rsidR="00902252" w:rsidRDefault="00902252" w:rsidP="003F0B2B">
                              <w:pPr>
                                <w:jc w:val="center"/>
                              </w:pPr>
                            </w:p>
                            <w:p w14:paraId="68108DAF" w14:textId="5E1856D4" w:rsidR="00902252" w:rsidRDefault="00902252" w:rsidP="003F0B2B">
                              <w:pPr>
                                <w:jc w:val="center"/>
                              </w:pPr>
                            </w:p>
                            <w:p w14:paraId="66C7DE34" w14:textId="1CA44CE8" w:rsidR="00902252" w:rsidRDefault="00902252" w:rsidP="003F0B2B">
                              <w:pPr>
                                <w:jc w:val="center"/>
                              </w:pPr>
                            </w:p>
                            <w:p w14:paraId="662715DA" w14:textId="047E4788" w:rsidR="00902252" w:rsidRDefault="00902252" w:rsidP="003F0B2B">
                              <w:pPr>
                                <w:jc w:val="center"/>
                              </w:pPr>
                            </w:p>
                            <w:p w14:paraId="7B8ADF21" w14:textId="199EF412" w:rsidR="00902252" w:rsidRDefault="00902252" w:rsidP="003F0B2B">
                              <w:pPr>
                                <w:jc w:val="center"/>
                              </w:pPr>
                            </w:p>
                            <w:p w14:paraId="658B1FB4" w14:textId="77777777" w:rsidR="00902252" w:rsidRDefault="00902252" w:rsidP="003F0B2B">
                              <w:pPr>
                                <w:jc w:val="center"/>
                                <w:rPr>
                                  <w:b/>
                                  <w:bCs/>
                                  <w:lang w:val="mk-MK"/>
                                </w:rPr>
                              </w:pPr>
                            </w:p>
                            <w:p w14:paraId="02060C6B" w14:textId="04E5951B" w:rsidR="00902252" w:rsidRPr="002A2063" w:rsidRDefault="00902252" w:rsidP="003F0B2B">
                              <w:pPr>
                                <w:jc w:val="center"/>
                                <w:rPr>
                                  <w:b/>
                                  <w:bCs/>
                                  <w:sz w:val="20"/>
                                  <w:szCs w:val="20"/>
                                  <w:lang w:val="mk-MK"/>
                                </w:rPr>
                              </w:pPr>
                              <w:r w:rsidRPr="002A2063">
                                <w:rPr>
                                  <w:b/>
                                  <w:bCs/>
                                  <w:sz w:val="20"/>
                                  <w:szCs w:val="20"/>
                                  <w:lang w:val="mk-MK"/>
                                </w:rPr>
                                <w:t xml:space="preserve">ПО 4: </w:t>
                              </w:r>
                              <w:r>
                                <w:rPr>
                                  <w:b/>
                                  <w:bCs/>
                                  <w:sz w:val="20"/>
                                  <w:szCs w:val="20"/>
                                  <w:lang w:val="mk-MK"/>
                                </w:rPr>
                                <w:t xml:space="preserve">ДАВАЊЕ УСЛУГИ И </w:t>
                              </w:r>
                              <w:r w:rsidRPr="002A2063">
                                <w:rPr>
                                  <w:b/>
                                  <w:bCs/>
                                  <w:sz w:val="20"/>
                                  <w:szCs w:val="20"/>
                                  <w:lang w:val="mk-MK"/>
                                </w:rPr>
                                <w:t>ДИГИТАЛНА ТРАНСФОРМАЦИЈА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peech Bubble: Rectangle with Corners Rounded 32"/>
                        <wps:cNvSpPr/>
                        <wps:spPr>
                          <a:xfrm>
                            <a:off x="2141023" y="49082"/>
                            <a:ext cx="1352549" cy="2376805"/>
                          </a:xfrm>
                          <a:prstGeom prst="wedgeRoundRectCallout">
                            <a:avLst/>
                          </a:prstGeom>
                          <a:ln/>
                        </wps:spPr>
                        <wps:style>
                          <a:lnRef idx="2">
                            <a:schemeClr val="dk1"/>
                          </a:lnRef>
                          <a:fillRef idx="1">
                            <a:schemeClr val="lt1"/>
                          </a:fillRef>
                          <a:effectRef idx="0">
                            <a:schemeClr val="dk1"/>
                          </a:effectRef>
                          <a:fontRef idx="minor">
                            <a:schemeClr val="dk1"/>
                          </a:fontRef>
                        </wps:style>
                        <wps:txbx>
                          <w:txbxContent>
                            <w:p w14:paraId="76C7987C" w14:textId="77777777" w:rsidR="00902252" w:rsidRDefault="00902252" w:rsidP="00C955D6">
                              <w:pPr>
                                <w:spacing w:line="256" w:lineRule="auto"/>
                                <w:jc w:val="center"/>
                                <w:rPr>
                                  <w:rFonts w:eastAsia="Calibri"/>
                                </w:rPr>
                              </w:pPr>
                            </w:p>
                            <w:p w14:paraId="2B3186DC" w14:textId="269D885C" w:rsidR="00902252" w:rsidRDefault="00902252" w:rsidP="00C955D6">
                              <w:pPr>
                                <w:spacing w:line="256" w:lineRule="auto"/>
                                <w:jc w:val="center"/>
                                <w:rPr>
                                  <w:rFonts w:eastAsia="Calibri"/>
                                </w:rPr>
                              </w:pPr>
                              <w:r>
                                <w:rPr>
                                  <w:noProof/>
                                  <w:color w:val="000000" w:themeColor="text1"/>
                                  <w:sz w:val="24"/>
                                  <w:szCs w:val="24"/>
                                  <w:lang w:val="en-US"/>
                                </w:rPr>
                                <w:drawing>
                                  <wp:inline distT="0" distB="0" distL="0" distR="0" wp14:anchorId="0484F5C3" wp14:editId="57DA0C1E">
                                    <wp:extent cx="428343" cy="373712"/>
                                    <wp:effectExtent l="0" t="0" r="0" b="0"/>
                                    <wp:docPr id="927906113" name="Graphic 927906113"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Users"/>
                                            <pic:cNvPicPr/>
                                          </pic:nvPicPr>
                                          <pic:blipFill>
                                            <a:blip r:embed="rId36">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5"/>
                                                </a:ext>
                                              </a:extLst>
                                            </a:blip>
                                            <a:stretch>
                                              <a:fillRect/>
                                            </a:stretch>
                                          </pic:blipFill>
                                          <pic:spPr>
                                            <a:xfrm>
                                              <a:off x="0" y="0"/>
                                              <a:ext cx="442440" cy="386011"/>
                                            </a:xfrm>
                                            <a:prstGeom prst="rect">
                                              <a:avLst/>
                                            </a:prstGeom>
                                          </pic:spPr>
                                        </pic:pic>
                                      </a:graphicData>
                                    </a:graphic>
                                  </wp:inline>
                                </w:drawing>
                              </w:r>
                            </w:p>
                            <w:p w14:paraId="7883DE34" w14:textId="306B198E" w:rsidR="00902252" w:rsidRPr="002A2063" w:rsidRDefault="00902252" w:rsidP="003F0B2B">
                              <w:pPr>
                                <w:spacing w:after="0"/>
                                <w:jc w:val="center"/>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063">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Департизирана, професионална и стручна јавна администрација</w:t>
                              </w:r>
                            </w:p>
                            <w:p w14:paraId="17C0293E" w14:textId="77777777" w:rsidR="00902252" w:rsidRPr="002A2063" w:rsidRDefault="00902252" w:rsidP="001F5DEF">
                              <w:pPr>
                                <w:spacing w:after="0"/>
                                <w:jc w:val="both"/>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3DEA9" w14:textId="56A1ADD8" w:rsidR="00902252"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971701" w14:textId="265A4B8B" w:rsidR="00902252"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0E697" w14:textId="77777777" w:rsidR="00902252" w:rsidRPr="001F5DEF"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57A21" w14:textId="7E3FBB1D" w:rsidR="00902252" w:rsidRPr="001F5DEF" w:rsidRDefault="00902252" w:rsidP="00C955D6">
                              <w:pPr>
                                <w:spacing w:line="256" w:lineRule="auto"/>
                                <w:jc w:val="center"/>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BFC75" w14:textId="77777777" w:rsidR="00902252" w:rsidRDefault="00902252" w:rsidP="00C955D6">
                              <w:pPr>
                                <w:spacing w:line="256" w:lineRule="auto"/>
                                <w:jc w:val="center"/>
                                <w:rPr>
                                  <w:rFonts w:eastAsia="Calibri"/>
                                </w:rPr>
                              </w:pPr>
                            </w:p>
                            <w:p w14:paraId="434245CF" w14:textId="77777777" w:rsidR="00902252" w:rsidRDefault="00902252" w:rsidP="00C955D6">
                              <w:pPr>
                                <w:spacing w:line="256" w:lineRule="auto"/>
                                <w:jc w:val="center"/>
                                <w:rPr>
                                  <w:rFonts w:eastAsia="Calibri"/>
                                </w:rPr>
                              </w:pPr>
                            </w:p>
                            <w:p w14:paraId="3602CAEF" w14:textId="77777777" w:rsidR="00902252" w:rsidRDefault="00902252" w:rsidP="00C955D6">
                              <w:pPr>
                                <w:spacing w:line="256" w:lineRule="auto"/>
                                <w:jc w:val="center"/>
                                <w:rPr>
                                  <w:rFonts w:eastAsia="Calibri"/>
                                </w:rPr>
                              </w:pPr>
                            </w:p>
                            <w:p w14:paraId="5EF5EEDF" w14:textId="77777777" w:rsidR="00902252" w:rsidRDefault="00902252" w:rsidP="00C955D6">
                              <w:pPr>
                                <w:spacing w:line="256" w:lineRule="auto"/>
                                <w:jc w:val="center"/>
                                <w:rPr>
                                  <w:rFonts w:eastAsia="Calibri"/>
                                </w:rPr>
                              </w:pPr>
                            </w:p>
                            <w:p w14:paraId="0F34BD14" w14:textId="77777777" w:rsidR="00902252" w:rsidRDefault="00902252" w:rsidP="00C955D6">
                              <w:pPr>
                                <w:spacing w:line="256" w:lineRule="auto"/>
                                <w:jc w:val="center"/>
                                <w:rPr>
                                  <w:rFonts w:eastAsia="Calibri"/>
                                </w:rPr>
                              </w:pPr>
                            </w:p>
                            <w:p w14:paraId="2ADACFED" w14:textId="77777777" w:rsidR="00902252" w:rsidRDefault="00902252" w:rsidP="00C955D6">
                              <w:pPr>
                                <w:spacing w:line="256" w:lineRule="auto"/>
                                <w:jc w:val="center"/>
                                <w:rPr>
                                  <w:rFonts w:eastAsia="Calibri"/>
                                </w:rPr>
                              </w:pPr>
                            </w:p>
                            <w:p w14:paraId="29B3B67A" w14:textId="754673F1" w:rsidR="00902252" w:rsidRDefault="00902252" w:rsidP="00C955D6">
                              <w:pPr>
                                <w:spacing w:line="256" w:lineRule="auto"/>
                                <w:jc w:val="center"/>
                                <w:rPr>
                                  <w:rFonts w:eastAsia="Calibri"/>
                                </w:rPr>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Speech Bubble: Rectangle with Corners Rounded 33"/>
                        <wps:cNvSpPr/>
                        <wps:spPr>
                          <a:xfrm>
                            <a:off x="-914400" y="-4994694"/>
                            <a:ext cx="0" cy="0"/>
                          </a:xfrm>
                          <a:prstGeom prst="wedgeRoundRectCallout">
                            <a:avLst/>
                          </a:prstGeom>
                          <a:ln/>
                        </wps:spPr>
                        <wps:style>
                          <a:lnRef idx="2">
                            <a:schemeClr val="accent3"/>
                          </a:lnRef>
                          <a:fillRef idx="1">
                            <a:schemeClr val="lt1"/>
                          </a:fillRef>
                          <a:effectRef idx="0">
                            <a:schemeClr val="accent3"/>
                          </a:effectRef>
                          <a:fontRef idx="minor">
                            <a:schemeClr val="dk1"/>
                          </a:fontRef>
                        </wps:style>
                        <wps:txbx>
                          <w:txbxContent>
                            <w:p w14:paraId="690E18E7" w14:textId="01665DE8" w:rsidR="00902252" w:rsidRDefault="00902252" w:rsidP="00C955D6">
                              <w:pPr>
                                <w:spacing w:line="256" w:lineRule="auto"/>
                                <w:jc w:val="center"/>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US"/>
                                </w:rPr>
                                <w:drawing>
                                  <wp:inline distT="0" distB="0" distL="0" distR="0" wp14:anchorId="4F2D2C9A" wp14:editId="378D87B4">
                                    <wp:extent cx="447555" cy="370659"/>
                                    <wp:effectExtent l="0" t="0" r="0" b="0"/>
                                    <wp:docPr id="50154986" name="Picture 50154986" descr="Transparenc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cy free ic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971" cy="381770"/>
                                            </a:xfrm>
                                            <a:prstGeom prst="rect">
                                              <a:avLst/>
                                            </a:prstGeom>
                                            <a:noFill/>
                                            <a:ln>
                                              <a:noFill/>
                                            </a:ln>
                                          </pic:spPr>
                                        </pic:pic>
                                      </a:graphicData>
                                    </a:graphic>
                                  </wp:inline>
                                </w:drawing>
                              </w:r>
                            </w:p>
                            <w:p w14:paraId="275CD978" w14:textId="4540FBF1" w:rsidR="00902252" w:rsidRPr="00AC68FC" w:rsidRDefault="00902252" w:rsidP="00C955D6">
                              <w:pPr>
                                <w:spacing w:line="256" w:lineRule="auto"/>
                                <w:jc w:val="center"/>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8FC">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Одговорно, отчетно и транспарентно работење на институциите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Speech Bubble: Rectangle with Corners Rounded 35"/>
                        <wps:cNvSpPr/>
                        <wps:spPr>
                          <a:xfrm>
                            <a:off x="5353049" y="35999"/>
                            <a:ext cx="1276350" cy="2363410"/>
                          </a:xfrm>
                          <a:prstGeom prst="wedgeRoundRectCallout">
                            <a:avLst/>
                          </a:prstGeom>
                          <a:ln/>
                        </wps:spPr>
                        <wps:style>
                          <a:lnRef idx="2">
                            <a:schemeClr val="accent5"/>
                          </a:lnRef>
                          <a:fillRef idx="1">
                            <a:schemeClr val="lt1"/>
                          </a:fillRef>
                          <a:effectRef idx="0">
                            <a:schemeClr val="accent5"/>
                          </a:effectRef>
                          <a:fontRef idx="minor">
                            <a:schemeClr val="dk1"/>
                          </a:fontRef>
                        </wps:style>
                        <wps:txbx>
                          <w:txbxContent>
                            <w:p w14:paraId="10E4EC19" w14:textId="77777777" w:rsidR="00902252" w:rsidRPr="002A2063" w:rsidRDefault="00902252" w:rsidP="003F0B2B">
                              <w:pPr>
                                <w:spacing w:line="256" w:lineRule="auto"/>
                                <w:jc w:val="center"/>
                                <w:rPr>
                                  <w:rFonts w:eastAsia="Calibri"/>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DEF">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eastAsia="Calibri"/>
                                  <w:noProof/>
                                  <w:color w:val="000000" w:themeColor="text1"/>
                                  <w:lang w:val="en-US"/>
                                </w:rPr>
                                <w:drawing>
                                  <wp:inline distT="0" distB="0" distL="0" distR="0" wp14:anchorId="43769D7C" wp14:editId="65DFBD06">
                                    <wp:extent cx="498943" cy="420370"/>
                                    <wp:effectExtent l="0" t="0" r="0" b="0"/>
                                    <wp:docPr id="2106481931" name="Graphic 210648193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Internet"/>
                                            <pic:cNvPicPr/>
                                          </pic:nvPicPr>
                                          <pic:blipFill>
                                            <a:blip r:embed="rId37">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8"/>
                                                </a:ext>
                                              </a:extLst>
                                            </a:blip>
                                            <a:stretch>
                                              <a:fillRect/>
                                            </a:stretch>
                                          </pic:blipFill>
                                          <pic:spPr>
                                            <a:xfrm>
                                              <a:off x="0" y="0"/>
                                              <a:ext cx="512974" cy="432192"/>
                                            </a:xfrm>
                                            <a:prstGeom prst="rect">
                                              <a:avLst/>
                                            </a:prstGeom>
                                          </pic:spPr>
                                        </pic:pic>
                                      </a:graphicData>
                                    </a:graphic>
                                  </wp:inline>
                                </w:drawing>
                              </w:r>
                              <w:r w:rsidRPr="00AC68FC">
                                <w:rPr>
                                  <w:rFonts w:eastAsia="Calibri"/>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Дигитализирана јавна администрација</w:t>
                              </w:r>
                            </w:p>
                            <w:p w14:paraId="3CE6BFC4" w14:textId="77777777" w:rsidR="00902252" w:rsidRDefault="00902252" w:rsidP="003F0B2B">
                              <w:pPr>
                                <w:spacing w:line="256" w:lineRule="auto"/>
                                <w:jc w:val="center"/>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A9DDA5" w14:textId="39423B39" w:rsidR="00902252" w:rsidRPr="001F5DEF" w:rsidRDefault="00902252" w:rsidP="003F0B2B">
                              <w:pPr>
                                <w:spacing w:line="256" w:lineRule="auto"/>
                                <w:jc w:val="center"/>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DEF">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peech Bubble: Rectangle with Corners Rounded 28"/>
                        <wps:cNvSpPr/>
                        <wps:spPr>
                          <a:xfrm>
                            <a:off x="483673" y="35999"/>
                            <a:ext cx="1295399" cy="2369549"/>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57933394" w14:textId="655FEAB3" w:rsidR="00902252" w:rsidRPr="002A2063" w:rsidRDefault="00902252" w:rsidP="001F5DEF">
                              <w:pPr>
                                <w:jc w:val="cente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bCs/>
                                  <w:noProof/>
                                  <w:color w:val="000000" w:themeColor="text1"/>
                                  <w:lang w:val="en-US"/>
                                </w:rPr>
                                <w:drawing>
                                  <wp:inline distT="0" distB="0" distL="0" distR="0" wp14:anchorId="31CDD9BB" wp14:editId="142627EB">
                                    <wp:extent cx="539750" cy="500136"/>
                                    <wp:effectExtent l="0" t="0" r="0" b="0"/>
                                    <wp:docPr id="1379467229" name="Graphic 1379467229"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Puzzle pieces"/>
                                            <pic:cNvPicPr/>
                                          </pic:nvPicPr>
                                          <pic:blipFill>
                                            <a:blip r:embed="rId38">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57415" cy="516505"/>
                                            </a:xfrm>
                                            <a:prstGeom prst="rect">
                                              <a:avLst/>
                                            </a:prstGeom>
                                          </pic:spPr>
                                        </pic:pic>
                                      </a:graphicData>
                                    </a:graphic>
                                  </wp:inline>
                                </w:drawing>
                              </w:r>
                              <w: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Ефективно, ефикасно, транспарентно, </w:t>
                              </w:r>
                              <w:r w:rsidRPr="002A2063">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инклузивно креирани политики</w:t>
                              </w:r>
                              <w: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базирани на докази</w:t>
                              </w:r>
                            </w:p>
                            <w:p w14:paraId="2C06DD20" w14:textId="77777777" w:rsidR="00902252" w:rsidRPr="002A2063" w:rsidRDefault="00902252" w:rsidP="001F5DEF">
                              <w:pPr>
                                <w:jc w:val="cente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836F4DC" id="Canvas 21" o:spid="_x0000_s1030" editas="canvas" style="width:513.75pt;height:174.7pt;mso-position-horizontal-relative:char;mso-position-vertical-relative:line" coordsize="65246,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5246;height:22186;visibility:visible;mso-wrap-style:square" filled="t">
                  <v:fill o:detectmouseclick="t"/>
                  <v:path o:connecttype="none"/>
                </v:shape>
                <v:shape id="Rectangle: Single Corner Snipped 24" o:spid="_x0000_s1032" style="position:absolute;left:3503;top:2268;width:15335;height:36338;visibility:visible;mso-wrap-style:square;v-text-anchor:middle" coordsize="1533524,36337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" adj="-11796480,,5400" path="m,l1277932,r255592,255592l1533524,3633746,,3633746,,xe" fillcolor="#82a0d7 [2164]" strokecolor="#4472c4 [3204]" strokeweight=".5pt">
                  <v:fill color2="#678ccf [2612]" rotate="t" colors="0 #a8b7df;.5 #9aabd9;1 #879ed7" focus="100%" type="gradient">
                    <o:fill v:ext="view" type="gradientUnscaled"/>
                  </v:fill>
                  <v:stroke joinstyle="miter"/>
                  <v:formulas/>
                  <v:path arrowok="t" o:connecttype="custom" o:connectlocs="0,0;1277932,0;1533524,255592;1533524,3633746;0,3633746;0,0" o:connectangles="0,0,0,0,0,0" textboxrect="0,0,1533524,3633746"/>
                  <v:textbox>
                    <w:txbxContent>
                      <w:p w14:paraId="2472060E" w14:textId="34303B9C" w:rsidR="00902252" w:rsidRDefault="00902252" w:rsidP="00C955D6">
                        <w:pPr>
                          <w:jc w:val="center"/>
                          <w:rPr>
                            <w:lang w:val="en-US"/>
                          </w:rPr>
                        </w:pPr>
                      </w:p>
                      <w:p w14:paraId="396B9D60" w14:textId="70812D36" w:rsidR="00902252" w:rsidRDefault="00902252" w:rsidP="00C955D6">
                        <w:pPr>
                          <w:jc w:val="center"/>
                          <w:rPr>
                            <w:lang w:val="en-US"/>
                          </w:rPr>
                        </w:pPr>
                      </w:p>
                      <w:p w14:paraId="26B05972" w14:textId="56642262" w:rsidR="00902252" w:rsidRDefault="00902252" w:rsidP="00C955D6">
                        <w:pPr>
                          <w:jc w:val="center"/>
                          <w:rPr>
                            <w:lang w:val="en-US"/>
                          </w:rPr>
                        </w:pPr>
                      </w:p>
                      <w:p w14:paraId="5A87FDBD" w14:textId="2E1E2A55" w:rsidR="00902252" w:rsidRDefault="00902252" w:rsidP="00C955D6">
                        <w:pPr>
                          <w:jc w:val="center"/>
                          <w:rPr>
                            <w:lang w:val="en-US"/>
                          </w:rPr>
                        </w:pPr>
                      </w:p>
                      <w:p w14:paraId="564ABD38" w14:textId="0C49EBFB" w:rsidR="00902252" w:rsidRDefault="00902252" w:rsidP="00C955D6">
                        <w:pPr>
                          <w:jc w:val="center"/>
                          <w:rPr>
                            <w:lang w:val="en-US"/>
                          </w:rPr>
                        </w:pPr>
                      </w:p>
                      <w:p w14:paraId="0AEEBF79" w14:textId="04343CC8" w:rsidR="00902252" w:rsidRDefault="00902252" w:rsidP="00C955D6">
                        <w:pPr>
                          <w:jc w:val="center"/>
                          <w:rPr>
                            <w:lang w:val="en-US"/>
                          </w:rPr>
                        </w:pPr>
                      </w:p>
                      <w:p w14:paraId="630C847E" w14:textId="7243CCAF" w:rsidR="00902252" w:rsidRDefault="00902252" w:rsidP="00C955D6">
                        <w:pPr>
                          <w:jc w:val="center"/>
                          <w:rPr>
                            <w:lang w:val="en-US"/>
                          </w:rPr>
                        </w:pPr>
                      </w:p>
                      <w:p w14:paraId="73E6E629" w14:textId="77777777" w:rsidR="00902252" w:rsidRDefault="00902252" w:rsidP="00852E72">
                        <w:pPr>
                          <w:rPr>
                            <w:sz w:val="20"/>
                            <w:szCs w:val="20"/>
                            <w:lang w:val="mk-MK"/>
                          </w:rPr>
                        </w:pPr>
                      </w:p>
                      <w:p w14:paraId="568DE697" w14:textId="77777777" w:rsidR="00902252" w:rsidRDefault="00902252" w:rsidP="00852E72">
                        <w:pPr>
                          <w:rPr>
                            <w:sz w:val="20"/>
                            <w:szCs w:val="20"/>
                            <w:lang w:val="mk-MK"/>
                          </w:rPr>
                        </w:pPr>
                      </w:p>
                      <w:p w14:paraId="2E103988" w14:textId="7C18980B" w:rsidR="00902252" w:rsidRPr="002A2063" w:rsidRDefault="00902252" w:rsidP="00852E72">
                        <w:pPr>
                          <w:jc w:val="center"/>
                          <w:rPr>
                            <w:b/>
                            <w:bCs/>
                            <w:sz w:val="20"/>
                            <w:szCs w:val="20"/>
                            <w:lang w:val="mk-MK"/>
                          </w:rPr>
                        </w:pPr>
                        <w:r w:rsidRPr="002A2063">
                          <w:rPr>
                            <w:b/>
                            <w:bCs/>
                            <w:sz w:val="20"/>
                            <w:szCs w:val="20"/>
                            <w:lang w:val="mk-MK"/>
                          </w:rPr>
                          <w:t>ПО 1: КРЕИРАЊЕ ПОЛИТИКИ И КООРДИНАЦИЈА</w:t>
                        </w:r>
                      </w:p>
                    </w:txbxContent>
                  </v:textbox>
                </v:shape>
                <v:shape id="Rectangle: Single Corner Snipped 25" o:spid="_x0000_s1033" style="position:absolute;left:20362;top:2278;width:15240;height:36328;visibility:visible;mso-wrap-style:square;v-text-anchor:middle" coordsize="1524000,3632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" adj="-11796480,,5400" path="m,l1269995,r254005,254005l1524000,3632835,,3632835,,xe" fillcolor="#91bce3 [2168]" strokecolor="#5b9bd5 [3208]" strokeweight=".5pt">
                  <v:fill color2="#7aaddd [2616]" rotate="t" colors="0 #b1cbe9;.5 #a3c1e5;1 #92b9e4" focus="100%" type="gradient">
                    <o:fill v:ext="view" type="gradientUnscaled"/>
                  </v:fill>
                  <v:stroke joinstyle="miter"/>
                  <v:formulas/>
                  <v:path arrowok="t" o:connecttype="custom" o:connectlocs="0,0;1269995,0;1524000,254005;1524000,3632835;0,3632835;0,0" o:connectangles="0,0,0,0,0,0" textboxrect="0,0,1524000,3632835"/>
                  <v:textbox>
                    <w:txbxContent>
                      <w:p w14:paraId="276775D1" w14:textId="1FA4CCE5" w:rsidR="00902252" w:rsidRDefault="00902252" w:rsidP="00852E72">
                        <w:pPr>
                          <w:jc w:val="center"/>
                        </w:pPr>
                      </w:p>
                      <w:p w14:paraId="105526E4" w14:textId="2DC1A70F" w:rsidR="00902252" w:rsidRDefault="00902252" w:rsidP="00852E72">
                        <w:pPr>
                          <w:jc w:val="center"/>
                        </w:pPr>
                      </w:p>
                      <w:p w14:paraId="7932C70F" w14:textId="2C0B77C5" w:rsidR="00902252" w:rsidRDefault="00902252" w:rsidP="00852E72">
                        <w:pPr>
                          <w:jc w:val="center"/>
                        </w:pPr>
                      </w:p>
                      <w:p w14:paraId="4EFE9B01" w14:textId="188D586C" w:rsidR="00902252" w:rsidRDefault="00902252" w:rsidP="00852E72">
                        <w:pPr>
                          <w:jc w:val="center"/>
                        </w:pPr>
                      </w:p>
                      <w:p w14:paraId="0185DFA9" w14:textId="07E20142" w:rsidR="00902252" w:rsidRDefault="00902252" w:rsidP="00852E72">
                        <w:pPr>
                          <w:jc w:val="center"/>
                        </w:pPr>
                      </w:p>
                      <w:p w14:paraId="0456F090" w14:textId="16576A0B" w:rsidR="00902252" w:rsidRDefault="00902252" w:rsidP="00852E72">
                        <w:pPr>
                          <w:jc w:val="center"/>
                        </w:pPr>
                      </w:p>
                      <w:p w14:paraId="328BD9C9" w14:textId="3A2ED58A" w:rsidR="00902252" w:rsidRDefault="00902252" w:rsidP="00852E72">
                        <w:pPr>
                          <w:jc w:val="center"/>
                        </w:pPr>
                      </w:p>
                      <w:p w14:paraId="57CC9FEE" w14:textId="77777777" w:rsidR="00902252" w:rsidRDefault="00902252" w:rsidP="00852E72">
                        <w:pPr>
                          <w:jc w:val="center"/>
                          <w:rPr>
                            <w:lang w:val="mk-MK"/>
                          </w:rPr>
                        </w:pPr>
                      </w:p>
                      <w:p w14:paraId="526A5A7D" w14:textId="77777777" w:rsidR="00902252" w:rsidRDefault="00902252" w:rsidP="00852E72">
                        <w:pPr>
                          <w:jc w:val="center"/>
                          <w:rPr>
                            <w:lang w:val="mk-MK"/>
                          </w:rPr>
                        </w:pPr>
                      </w:p>
                      <w:p w14:paraId="31C2E557" w14:textId="60204E57" w:rsidR="00902252" w:rsidRPr="002A2063" w:rsidRDefault="00902252" w:rsidP="00852E72">
                        <w:pPr>
                          <w:jc w:val="center"/>
                          <w:rPr>
                            <w:b/>
                            <w:bCs/>
                            <w:sz w:val="20"/>
                            <w:szCs w:val="20"/>
                            <w:lang w:val="mk-MK"/>
                          </w:rPr>
                        </w:pPr>
                        <w:r w:rsidRPr="002A2063">
                          <w:rPr>
                            <w:b/>
                            <w:bCs/>
                            <w:sz w:val="20"/>
                            <w:szCs w:val="20"/>
                            <w:lang w:val="mk-MK"/>
                          </w:rPr>
                          <w:t>ПО 2: ЈАВНА СЛУЖБА И УПРАВУВАЊЕ СО ЧОВЕЧКИ РЕСУРСИ</w:t>
                        </w:r>
                      </w:p>
                    </w:txbxContent>
                  </v:textbox>
                </v:shape>
                <v:shape id="Rectangle: Single Corner Snipped 26" o:spid="_x0000_s1034" style="position:absolute;left:36840;top:2277;width:14214;height:36324;visibility:visible;mso-wrap-style:square;v-text-anchor:middle" coordsize="1421326,3632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" adj="-11796480,,5400" path="m,l1184434,r236892,236892l1421326,3632369,,3632369,,xe" fillcolor="#ffd555 [2167]" strokecolor="#ffc000 [3207]" strokeweight=".5pt">
                  <v:fill color2="#ffcc31 [2615]" rotate="t" colors="0 #ffdd9c;.5 #ffd78e;1 #ffd479" focus="100%" type="gradient">
                    <o:fill v:ext="view" type="gradientUnscaled"/>
                  </v:fill>
                  <v:stroke joinstyle="miter"/>
                  <v:formulas/>
                  <v:path arrowok="t" o:connecttype="custom" o:connectlocs="0,0;1184434,0;1421326,236892;1421326,3632369;0,3632369;0,0" o:connectangles="0,0,0,0,0,0" textboxrect="0,0,1421326,3632369"/>
                  <v:textbox>
                    <w:txbxContent>
                      <w:p w14:paraId="04FF3B2B" w14:textId="4587E5D0" w:rsidR="00902252" w:rsidRDefault="00902252" w:rsidP="00852E72">
                        <w:pPr>
                          <w:jc w:val="center"/>
                        </w:pPr>
                      </w:p>
                      <w:p w14:paraId="61881D48" w14:textId="399286A7" w:rsidR="00902252" w:rsidRDefault="00902252" w:rsidP="00852E72">
                        <w:pPr>
                          <w:jc w:val="center"/>
                        </w:pPr>
                      </w:p>
                      <w:p w14:paraId="2D61F4D9" w14:textId="21FAF1F7" w:rsidR="00902252" w:rsidRDefault="00902252" w:rsidP="00852E72">
                        <w:pPr>
                          <w:jc w:val="center"/>
                        </w:pPr>
                      </w:p>
                      <w:p w14:paraId="33214EFF" w14:textId="1FE0644E" w:rsidR="00902252" w:rsidRDefault="00902252" w:rsidP="00852E72">
                        <w:pPr>
                          <w:jc w:val="center"/>
                        </w:pPr>
                      </w:p>
                      <w:p w14:paraId="7E74CBBD" w14:textId="61B915D5" w:rsidR="00902252" w:rsidRDefault="00902252" w:rsidP="00852E72">
                        <w:pPr>
                          <w:jc w:val="center"/>
                        </w:pPr>
                      </w:p>
                      <w:p w14:paraId="1487761B" w14:textId="2BCAA89A" w:rsidR="00902252" w:rsidRDefault="00902252" w:rsidP="00852E72">
                        <w:pPr>
                          <w:jc w:val="center"/>
                        </w:pPr>
                      </w:p>
                      <w:p w14:paraId="18B2D7AA" w14:textId="200865AF" w:rsidR="00902252" w:rsidRDefault="00902252" w:rsidP="00852E72">
                        <w:pPr>
                          <w:jc w:val="center"/>
                        </w:pPr>
                      </w:p>
                      <w:p w14:paraId="7D31A4A4" w14:textId="74861F03" w:rsidR="00902252" w:rsidRDefault="00902252" w:rsidP="00852E72">
                        <w:pPr>
                          <w:jc w:val="center"/>
                        </w:pPr>
                      </w:p>
                      <w:p w14:paraId="4B3BF658" w14:textId="77777777" w:rsidR="00902252" w:rsidRDefault="00902252" w:rsidP="00852E72">
                        <w:pPr>
                          <w:jc w:val="center"/>
                          <w:rPr>
                            <w:b/>
                            <w:bCs/>
                            <w:lang w:val="mk-MK"/>
                          </w:rPr>
                        </w:pPr>
                      </w:p>
                      <w:p w14:paraId="5860A49C" w14:textId="610656C7" w:rsidR="00902252" w:rsidRPr="002A2063" w:rsidRDefault="00902252" w:rsidP="00852E72">
                        <w:pPr>
                          <w:jc w:val="center"/>
                          <w:rPr>
                            <w:b/>
                            <w:bCs/>
                            <w:sz w:val="20"/>
                            <w:szCs w:val="20"/>
                            <w:lang w:val="mk-MK"/>
                          </w:rPr>
                        </w:pPr>
                        <w:r w:rsidRPr="002A2063">
                          <w:rPr>
                            <w:b/>
                            <w:bCs/>
                            <w:sz w:val="20"/>
                            <w:szCs w:val="20"/>
                            <w:lang w:val="mk-MK"/>
                          </w:rPr>
                          <w:t>ПО 3: ОДГОВОРНОСТ, ОТЧЕТНОСТ И ТРАНСПАРЕНТНОСТ</w:t>
                        </w:r>
                      </w:p>
                    </w:txbxContent>
                  </v:textbox>
                </v:shape>
                <v:shape id="Rectangle: Single Corner Snipped 27" o:spid="_x0000_s1035" style="position:absolute;left:52197;top:2268;width:16192;height:36329;visibility:visible;mso-wrap-style:square;v-text-anchor:middle" coordsize="1619250,3632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" adj="-11796480,,5400" path="m,l1349370,r269880,269880l1619250,3632835,,3632835,,xe" fillcolor="#91bce3 [2168]" strokecolor="#5b9bd5 [3208]" strokeweight=".5pt">
                  <v:fill color2="#7aaddd [2616]" rotate="t" colors="0 #b1cbe9;.5 #a3c1e5;1 #92b9e4" focus="100%" type="gradient">
                    <o:fill v:ext="view" type="gradientUnscaled"/>
                  </v:fill>
                  <v:stroke joinstyle="miter"/>
                  <v:formulas/>
                  <v:path arrowok="t" o:connecttype="custom" o:connectlocs="0,0;1349370,0;1619250,269880;1619250,3632835;0,3632835;0,0" o:connectangles="0,0,0,0,0,0" textboxrect="0,0,1619250,3632835"/>
                  <v:textbox>
                    <w:txbxContent>
                      <w:p w14:paraId="2E3964E2" w14:textId="2D9C0C3A" w:rsidR="00902252" w:rsidRDefault="00902252" w:rsidP="003F0B2B">
                        <w:pPr>
                          <w:jc w:val="center"/>
                        </w:pPr>
                      </w:p>
                      <w:p w14:paraId="568DE39D" w14:textId="1C61D002" w:rsidR="00902252" w:rsidRDefault="00902252" w:rsidP="003F0B2B">
                        <w:pPr>
                          <w:jc w:val="center"/>
                        </w:pPr>
                      </w:p>
                      <w:p w14:paraId="6F75ABA0" w14:textId="1045FD3C" w:rsidR="00902252" w:rsidRDefault="00902252" w:rsidP="003F0B2B">
                        <w:pPr>
                          <w:jc w:val="center"/>
                        </w:pPr>
                      </w:p>
                      <w:p w14:paraId="68108DAF" w14:textId="5E1856D4" w:rsidR="00902252" w:rsidRDefault="00902252" w:rsidP="003F0B2B">
                        <w:pPr>
                          <w:jc w:val="center"/>
                        </w:pPr>
                      </w:p>
                      <w:p w14:paraId="66C7DE34" w14:textId="1CA44CE8" w:rsidR="00902252" w:rsidRDefault="00902252" w:rsidP="003F0B2B">
                        <w:pPr>
                          <w:jc w:val="center"/>
                        </w:pPr>
                      </w:p>
                      <w:p w14:paraId="662715DA" w14:textId="047E4788" w:rsidR="00902252" w:rsidRDefault="00902252" w:rsidP="003F0B2B">
                        <w:pPr>
                          <w:jc w:val="center"/>
                        </w:pPr>
                      </w:p>
                      <w:p w14:paraId="7B8ADF21" w14:textId="199EF412" w:rsidR="00902252" w:rsidRDefault="00902252" w:rsidP="003F0B2B">
                        <w:pPr>
                          <w:jc w:val="center"/>
                        </w:pPr>
                      </w:p>
                      <w:p w14:paraId="658B1FB4" w14:textId="77777777" w:rsidR="00902252" w:rsidRDefault="00902252" w:rsidP="003F0B2B">
                        <w:pPr>
                          <w:jc w:val="center"/>
                          <w:rPr>
                            <w:b/>
                            <w:bCs/>
                            <w:lang w:val="mk-MK"/>
                          </w:rPr>
                        </w:pPr>
                      </w:p>
                      <w:p w14:paraId="02060C6B" w14:textId="04E5951B" w:rsidR="00902252" w:rsidRPr="002A2063" w:rsidRDefault="00902252" w:rsidP="003F0B2B">
                        <w:pPr>
                          <w:jc w:val="center"/>
                          <w:rPr>
                            <w:b/>
                            <w:bCs/>
                            <w:sz w:val="20"/>
                            <w:szCs w:val="20"/>
                            <w:lang w:val="mk-MK"/>
                          </w:rPr>
                        </w:pPr>
                        <w:r w:rsidRPr="002A2063">
                          <w:rPr>
                            <w:b/>
                            <w:bCs/>
                            <w:sz w:val="20"/>
                            <w:szCs w:val="20"/>
                            <w:lang w:val="mk-MK"/>
                          </w:rPr>
                          <w:t xml:space="preserve">ПО 4: </w:t>
                        </w:r>
                        <w:r>
                          <w:rPr>
                            <w:b/>
                            <w:bCs/>
                            <w:sz w:val="20"/>
                            <w:szCs w:val="20"/>
                            <w:lang w:val="mk-MK"/>
                          </w:rPr>
                          <w:t xml:space="preserve">ДАВАЊЕ УСЛУГИ И </w:t>
                        </w:r>
                        <w:r w:rsidRPr="002A2063">
                          <w:rPr>
                            <w:b/>
                            <w:bCs/>
                            <w:sz w:val="20"/>
                            <w:szCs w:val="20"/>
                            <w:lang w:val="mk-MK"/>
                          </w:rPr>
                          <w:t>ДИГИТАЛНА ТРАНСФОРМАЦИЈА</w:t>
                        </w:r>
                      </w:p>
                    </w:txbxContent>
                  </v:textbox>
                </v:shape>
                <v:shape id="Speech Bubble: Rectangle with Corners Rounded 32" o:spid="_x0000_s1036" type="#_x0000_t62" style="position:absolute;left:21410;top:490;width:13525;height:23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" adj="6300,24300" fillcolor="white [3201]" strokecolor="black [3200]" strokeweight="1pt">
                  <v:textbox>
                    <w:txbxContent>
                      <w:p w14:paraId="76C7987C" w14:textId="77777777" w:rsidR="00902252" w:rsidRDefault="00902252" w:rsidP="00C955D6">
                        <w:pPr>
                          <w:spacing w:line="256" w:lineRule="auto"/>
                          <w:jc w:val="center"/>
                          <w:rPr>
                            <w:rFonts w:eastAsia="Calibri"/>
                          </w:rPr>
                        </w:pPr>
                      </w:p>
                      <w:p w14:paraId="2B3186DC" w14:textId="269D885C" w:rsidR="00902252" w:rsidRDefault="00902252" w:rsidP="00C955D6">
                        <w:pPr>
                          <w:spacing w:line="256" w:lineRule="auto"/>
                          <w:jc w:val="center"/>
                          <w:rPr>
                            <w:rFonts w:eastAsia="Calibri"/>
                          </w:rPr>
                        </w:pPr>
                        <w:r>
                          <w:rPr>
                            <w:noProof/>
                            <w:color w:val="000000" w:themeColor="text1"/>
                            <w:sz w:val="24"/>
                            <w:szCs w:val="24"/>
                            <w:lang w:val="en-US"/>
                          </w:rPr>
                          <w:drawing>
                            <wp:inline distT="0" distB="0" distL="0" distR="0" wp14:anchorId="0484F5C3" wp14:editId="57DA0C1E">
                              <wp:extent cx="428343" cy="373712"/>
                              <wp:effectExtent l="0" t="0" r="0" b="0"/>
                              <wp:docPr id="927906113" name="Graphic 927906113"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Users"/>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tretch>
                                        <a:fillRect/>
                                      </a:stretch>
                                    </pic:blipFill>
                                    <pic:spPr>
                                      <a:xfrm>
                                        <a:off x="0" y="0"/>
                                        <a:ext cx="442440" cy="386011"/>
                                      </a:xfrm>
                                      <a:prstGeom prst="rect">
                                        <a:avLst/>
                                      </a:prstGeom>
                                    </pic:spPr>
                                  </pic:pic>
                                </a:graphicData>
                              </a:graphic>
                            </wp:inline>
                          </w:drawing>
                        </w:r>
                      </w:p>
                      <w:p w14:paraId="7883DE34" w14:textId="306B198E" w:rsidR="00902252" w:rsidRPr="002A2063" w:rsidRDefault="00902252" w:rsidP="003F0B2B">
                        <w:pPr>
                          <w:spacing w:after="0"/>
                          <w:jc w:val="center"/>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063">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Департизирана, професионална и стручна јавна администрација</w:t>
                        </w:r>
                      </w:p>
                      <w:p w14:paraId="17C0293E" w14:textId="77777777" w:rsidR="00902252" w:rsidRPr="002A2063" w:rsidRDefault="00902252" w:rsidP="001F5DEF">
                        <w:pPr>
                          <w:spacing w:after="0"/>
                          <w:jc w:val="both"/>
                          <w:rPr>
                            <w:rFonts w:cs="Calibri"/>
                            <w:bCs/>
                            <w:iCs/>
                            <w:color w:val="000000" w:themeColor="text1"/>
                            <w:sz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3DEA9" w14:textId="56A1ADD8" w:rsidR="00902252"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971701" w14:textId="265A4B8B" w:rsidR="00902252"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0E697" w14:textId="77777777" w:rsidR="00902252" w:rsidRPr="001F5DEF" w:rsidRDefault="00902252" w:rsidP="001F5DEF">
                        <w:pPr>
                          <w:spacing w:after="0"/>
                          <w:jc w:val="both"/>
                          <w:rPr>
                            <w:rFonts w:cs="Calibri"/>
                            <w:bCs/>
                            <w:iCs/>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57A21" w14:textId="7E3FBB1D" w:rsidR="00902252" w:rsidRPr="001F5DEF" w:rsidRDefault="00902252" w:rsidP="00C955D6">
                        <w:pPr>
                          <w:spacing w:line="256" w:lineRule="auto"/>
                          <w:jc w:val="center"/>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BFC75" w14:textId="77777777" w:rsidR="00902252" w:rsidRDefault="00902252" w:rsidP="00C955D6">
                        <w:pPr>
                          <w:spacing w:line="256" w:lineRule="auto"/>
                          <w:jc w:val="center"/>
                          <w:rPr>
                            <w:rFonts w:eastAsia="Calibri"/>
                          </w:rPr>
                        </w:pPr>
                      </w:p>
                      <w:p w14:paraId="434245CF" w14:textId="77777777" w:rsidR="00902252" w:rsidRDefault="00902252" w:rsidP="00C955D6">
                        <w:pPr>
                          <w:spacing w:line="256" w:lineRule="auto"/>
                          <w:jc w:val="center"/>
                          <w:rPr>
                            <w:rFonts w:eastAsia="Calibri"/>
                          </w:rPr>
                        </w:pPr>
                      </w:p>
                      <w:p w14:paraId="3602CAEF" w14:textId="77777777" w:rsidR="00902252" w:rsidRDefault="00902252" w:rsidP="00C955D6">
                        <w:pPr>
                          <w:spacing w:line="256" w:lineRule="auto"/>
                          <w:jc w:val="center"/>
                          <w:rPr>
                            <w:rFonts w:eastAsia="Calibri"/>
                          </w:rPr>
                        </w:pPr>
                      </w:p>
                      <w:p w14:paraId="5EF5EEDF" w14:textId="77777777" w:rsidR="00902252" w:rsidRDefault="00902252" w:rsidP="00C955D6">
                        <w:pPr>
                          <w:spacing w:line="256" w:lineRule="auto"/>
                          <w:jc w:val="center"/>
                          <w:rPr>
                            <w:rFonts w:eastAsia="Calibri"/>
                          </w:rPr>
                        </w:pPr>
                      </w:p>
                      <w:p w14:paraId="0F34BD14" w14:textId="77777777" w:rsidR="00902252" w:rsidRDefault="00902252" w:rsidP="00C955D6">
                        <w:pPr>
                          <w:spacing w:line="256" w:lineRule="auto"/>
                          <w:jc w:val="center"/>
                          <w:rPr>
                            <w:rFonts w:eastAsia="Calibri"/>
                          </w:rPr>
                        </w:pPr>
                      </w:p>
                      <w:p w14:paraId="2ADACFED" w14:textId="77777777" w:rsidR="00902252" w:rsidRDefault="00902252" w:rsidP="00C955D6">
                        <w:pPr>
                          <w:spacing w:line="256" w:lineRule="auto"/>
                          <w:jc w:val="center"/>
                          <w:rPr>
                            <w:rFonts w:eastAsia="Calibri"/>
                          </w:rPr>
                        </w:pPr>
                      </w:p>
                      <w:p w14:paraId="29B3B67A" w14:textId="754673F1" w:rsidR="00902252" w:rsidRDefault="00902252" w:rsidP="00C955D6">
                        <w:pPr>
                          <w:spacing w:line="256" w:lineRule="auto"/>
                          <w:jc w:val="center"/>
                          <w:rPr>
                            <w:rFonts w:eastAsia="Calibri"/>
                          </w:rPr>
                        </w:pPr>
                        <w:r>
                          <w:rPr>
                            <w:rFonts w:eastAsia="Calibri"/>
                          </w:rPr>
                          <w:t> </w:t>
                        </w:r>
                      </w:p>
                    </w:txbxContent>
                  </v:textbox>
                </v:shape>
                <v:shape id="Speech Bubble: Rectangle with Corners Rounded 33" o:spid="_x0000_s1037" type="#_x0000_t62" style="position:absolute;left:-9144;top:-49946;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" adj="6300,24300" fillcolor="white [3201]" strokecolor="#a5a5a5 [3206]" strokeweight="1pt">
                  <v:textbox>
                    <w:txbxContent>
                      <w:p w14:paraId="690E18E7" w14:textId="01665DE8" w:rsidR="00902252" w:rsidRDefault="00902252" w:rsidP="00C955D6">
                        <w:pPr>
                          <w:spacing w:line="256" w:lineRule="auto"/>
                          <w:jc w:val="center"/>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US"/>
                          </w:rPr>
                          <w:drawing>
                            <wp:inline distT="0" distB="0" distL="0" distR="0" wp14:anchorId="4F2D2C9A" wp14:editId="378D87B4">
                              <wp:extent cx="447555" cy="370659"/>
                              <wp:effectExtent l="0" t="0" r="0" b="0"/>
                              <wp:docPr id="50154986" name="Picture 50154986" descr="Transparency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cy free ic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0971" cy="381770"/>
                                      </a:xfrm>
                                      <a:prstGeom prst="rect">
                                        <a:avLst/>
                                      </a:prstGeom>
                                      <a:noFill/>
                                      <a:ln>
                                        <a:noFill/>
                                      </a:ln>
                                    </pic:spPr>
                                  </pic:pic>
                                </a:graphicData>
                              </a:graphic>
                            </wp:inline>
                          </w:drawing>
                        </w:r>
                      </w:p>
                      <w:p w14:paraId="275CD978" w14:textId="4540FBF1" w:rsidR="00902252" w:rsidRPr="00AC68FC" w:rsidRDefault="00902252" w:rsidP="00C955D6">
                        <w:pPr>
                          <w:spacing w:line="256" w:lineRule="auto"/>
                          <w:jc w:val="center"/>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8FC">
                          <w:rPr>
                            <w:rFonts w:cs="Calibri"/>
                            <w:bCs/>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Одговорно, отчетно и транспарентно работење на институциите</w:t>
                        </w:r>
                      </w:p>
                    </w:txbxContent>
                  </v:textbox>
                </v:shape>
                <v:shape id="Speech Bubble: Rectangle with Corners Rounded 35" o:spid="_x0000_s1038" type="#_x0000_t62" style="position:absolute;left:53530;top:359;width:12763;height:23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" adj="6300,24300" fillcolor="white [3201]" strokecolor="#5b9bd5 [3208]" strokeweight="1pt">
                  <v:textbox>
                    <w:txbxContent>
                      <w:p w14:paraId="10E4EC19" w14:textId="77777777" w:rsidR="00902252" w:rsidRPr="002A2063" w:rsidRDefault="00902252" w:rsidP="003F0B2B">
                        <w:pPr>
                          <w:spacing w:line="256" w:lineRule="auto"/>
                          <w:jc w:val="center"/>
                          <w:rPr>
                            <w:rFonts w:eastAsia="Calibri"/>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DEF">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eastAsia="Calibri"/>
                            <w:noProof/>
                            <w:color w:val="000000" w:themeColor="text1"/>
                            <w:lang w:val="en-US"/>
                          </w:rPr>
                          <w:drawing>
                            <wp:inline distT="0" distB="0" distL="0" distR="0" wp14:anchorId="43769D7C" wp14:editId="65DFBD06">
                              <wp:extent cx="498943" cy="420370"/>
                              <wp:effectExtent l="0" t="0" r="0" b="0"/>
                              <wp:docPr id="2106481931" name="Graphic 210648193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Internet"/>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8"/>
                                          </a:ext>
                                        </a:extLst>
                                      </a:blip>
                                      <a:stretch>
                                        <a:fillRect/>
                                      </a:stretch>
                                    </pic:blipFill>
                                    <pic:spPr>
                                      <a:xfrm>
                                        <a:off x="0" y="0"/>
                                        <a:ext cx="512974" cy="432192"/>
                                      </a:xfrm>
                                      <a:prstGeom prst="rect">
                                        <a:avLst/>
                                      </a:prstGeom>
                                    </pic:spPr>
                                  </pic:pic>
                                </a:graphicData>
                              </a:graphic>
                            </wp:inline>
                          </w:drawing>
                        </w:r>
                        <w:r w:rsidRPr="00AC68FC">
                          <w:rPr>
                            <w:rFonts w:eastAsia="Calibri"/>
                            <w:color w:val="000000" w:themeColor="text1"/>
                            <w:sz w:val="18"/>
                            <w:szCs w:val="1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Дигитализирана јавна администрација</w:t>
                        </w:r>
                      </w:p>
                      <w:p w14:paraId="3CE6BFC4" w14:textId="77777777" w:rsidR="00902252" w:rsidRDefault="00902252" w:rsidP="003F0B2B">
                        <w:pPr>
                          <w:spacing w:line="256" w:lineRule="auto"/>
                          <w:jc w:val="center"/>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A9DDA5" w14:textId="39423B39" w:rsidR="00902252" w:rsidRPr="001F5DEF" w:rsidRDefault="00902252" w:rsidP="003F0B2B">
                        <w:pPr>
                          <w:spacing w:line="256" w:lineRule="auto"/>
                          <w:jc w:val="center"/>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DEF">
                          <w:rPr>
                            <w:rFonts w:eastAsia="Calibri"/>
                            <w:color w:val="000000" w:themeColor="text1"/>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shape id="Speech Bubble: Rectangle with Corners Rounded 28" o:spid="_x0000_s1039" type="#_x0000_t62" style="position:absolute;left:4836;top:359;width:12954;height:2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" adj="6300,24300" fillcolor="white [3201]" strokecolor="#4472c4 [3204]" strokeweight="1pt">
                  <v:textbox>
                    <w:txbxContent>
                      <w:p w14:paraId="57933394" w14:textId="655FEAB3" w:rsidR="00902252" w:rsidRPr="002A2063" w:rsidRDefault="00902252" w:rsidP="001F5DEF">
                        <w:pPr>
                          <w:jc w:val="cente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bCs/>
                            <w:noProof/>
                            <w:color w:val="000000" w:themeColor="text1"/>
                            <w:lang w:val="en-US"/>
                          </w:rPr>
                          <w:drawing>
                            <wp:inline distT="0" distB="0" distL="0" distR="0" wp14:anchorId="31CDD9BB" wp14:editId="142627EB">
                              <wp:extent cx="539750" cy="500136"/>
                              <wp:effectExtent l="0" t="0" r="0" b="0"/>
                              <wp:docPr id="1379467229" name="Graphic 1379467229"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Puzzle pieces"/>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557415" cy="516505"/>
                                      </a:xfrm>
                                      <a:prstGeom prst="rect">
                                        <a:avLst/>
                                      </a:prstGeom>
                                    </pic:spPr>
                                  </pic:pic>
                                </a:graphicData>
                              </a:graphic>
                            </wp:inline>
                          </w:drawing>
                        </w:r>
                        <w: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Ефективно, ефикасно, транспарентно, </w:t>
                        </w:r>
                        <w:r w:rsidRPr="002A2063">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инклузивно креирани политики</w:t>
                        </w:r>
                        <w: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базирани на докази</w:t>
                        </w:r>
                      </w:p>
                      <w:p w14:paraId="2C06DD20" w14:textId="77777777" w:rsidR="00902252" w:rsidRPr="002A2063" w:rsidRDefault="00902252" w:rsidP="001F5DEF">
                        <w:pPr>
                          <w:jc w:val="center"/>
                          <w:rPr>
                            <w:color w:val="000000" w:themeColor="text1"/>
                            <w:sz w:val="1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anchorlock/>
              </v:group>
            </w:pict>
          </mc:Fallback>
        </mc:AlternateContent>
      </w:r>
    </w:p>
    <w:p w14:paraId="5E174590" w14:textId="77777777" w:rsidR="003F0B2B" w:rsidRDefault="003F0B2B" w:rsidP="00CF635C">
      <w:pPr>
        <w:spacing w:after="0"/>
        <w:ind w:firstLine="360"/>
        <w:jc w:val="both"/>
        <w:rPr>
          <w:rFonts w:cs="Calibri"/>
          <w:highlight w:val="yellow"/>
          <w:lang w:val="mk-MK"/>
        </w:rPr>
      </w:pPr>
    </w:p>
    <w:p w14:paraId="6F186AC0" w14:textId="77777777" w:rsidR="002A2063" w:rsidRDefault="002A2063" w:rsidP="00CF635C">
      <w:pPr>
        <w:spacing w:after="0"/>
        <w:ind w:firstLine="360"/>
        <w:jc w:val="both"/>
        <w:rPr>
          <w:rFonts w:cs="Calibri"/>
          <w:highlight w:val="yellow"/>
          <w:lang w:val="mk-MK"/>
        </w:rPr>
        <w:sectPr w:rsidR="002A2063" w:rsidSect="00F73F1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27F50B" w14:textId="5BE166CF" w:rsidR="003F0B2B" w:rsidRDefault="003F0B2B" w:rsidP="00CF635C">
      <w:pPr>
        <w:spacing w:after="0"/>
        <w:ind w:firstLine="360"/>
        <w:jc w:val="both"/>
        <w:rPr>
          <w:rFonts w:cs="Calibri"/>
          <w:highlight w:val="yellow"/>
          <w:lang w:val="mk-MK"/>
        </w:rPr>
      </w:pPr>
    </w:p>
    <w:p w14:paraId="7131FCC5" w14:textId="77777777" w:rsidR="008B3EF9" w:rsidRDefault="008B3EF9" w:rsidP="00CF635C">
      <w:pPr>
        <w:spacing w:after="0"/>
        <w:ind w:firstLine="360"/>
        <w:jc w:val="both"/>
        <w:rPr>
          <w:rFonts w:cs="Calibri"/>
          <w:highlight w:val="yellow"/>
          <w:lang w:val="mk-MK"/>
        </w:rPr>
      </w:pPr>
    </w:p>
    <w:p w14:paraId="2E9789C2" w14:textId="7458C26E" w:rsidR="00CF635C" w:rsidRPr="00465999" w:rsidRDefault="00CF635C" w:rsidP="00CF635C">
      <w:pPr>
        <w:spacing w:after="0"/>
        <w:ind w:firstLine="360"/>
        <w:jc w:val="both"/>
        <w:rPr>
          <w:rFonts w:cs="Calibri"/>
          <w:lang w:val="mk-MK"/>
        </w:rPr>
      </w:pPr>
      <w:r w:rsidRPr="00465999">
        <w:rPr>
          <w:rFonts w:cs="Calibri"/>
          <w:lang w:val="mk-MK"/>
        </w:rPr>
        <w:t>Приоритетна област 1: Креирање на политики и координација</w:t>
      </w:r>
    </w:p>
    <w:p w14:paraId="3BBE0DF6" w14:textId="77777777" w:rsidR="00CF635C" w:rsidRPr="00465999" w:rsidRDefault="00CF635C" w:rsidP="00CF635C">
      <w:pPr>
        <w:spacing w:after="0" w:line="240" w:lineRule="auto"/>
        <w:rPr>
          <w:rFonts w:cs="Calibri"/>
          <w:lang w:val="mk-MK"/>
        </w:rPr>
      </w:pPr>
      <w:r w:rsidRPr="00465999">
        <w:rPr>
          <w:rFonts w:cs="Calibri"/>
          <w:lang w:val="mk-MK"/>
        </w:rPr>
        <w:tab/>
      </w:r>
    </w:p>
    <w:p w14:paraId="068CAB07" w14:textId="6C87912F" w:rsidR="00CF635C" w:rsidRPr="00777F37" w:rsidRDefault="00CF635C" w:rsidP="00CF635C">
      <w:pPr>
        <w:spacing w:after="0" w:line="240" w:lineRule="auto"/>
        <w:ind w:left="720"/>
        <w:rPr>
          <w:rFonts w:eastAsia="Times New Roman" w:cs="Calibri"/>
        </w:rPr>
      </w:pPr>
      <w:r w:rsidRPr="00777F37">
        <w:rPr>
          <w:rFonts w:cs="Calibri"/>
          <w:lang w:val="mk-MK"/>
        </w:rPr>
        <w:t xml:space="preserve">Општа цел: </w:t>
      </w:r>
      <w:r w:rsidR="00F53AFC" w:rsidRPr="00777F37">
        <w:rPr>
          <w:rFonts w:eastAsia="Times New Roman"/>
          <w:bCs/>
          <w:lang w:val="mk-MK"/>
        </w:rPr>
        <w:t>Ефективно, ефикасн</w:t>
      </w:r>
      <w:r w:rsidR="00FD03E7">
        <w:rPr>
          <w:rFonts w:eastAsia="Times New Roman"/>
          <w:bCs/>
          <w:lang w:val="mk-MK"/>
        </w:rPr>
        <w:t>о, транспарентно</w:t>
      </w:r>
      <w:r w:rsidR="00B26F37">
        <w:rPr>
          <w:rFonts w:eastAsia="Times New Roman"/>
          <w:bCs/>
          <w:lang w:val="mk-MK"/>
        </w:rPr>
        <w:t xml:space="preserve">, инклузивно </w:t>
      </w:r>
      <w:r w:rsidR="00F53AFC" w:rsidRPr="00777F37">
        <w:rPr>
          <w:rFonts w:eastAsia="Times New Roman"/>
          <w:bCs/>
          <w:lang w:val="mk-MK"/>
        </w:rPr>
        <w:t xml:space="preserve">креирани политики </w:t>
      </w:r>
      <w:r w:rsidR="00F53AFC" w:rsidRPr="00777F37">
        <w:rPr>
          <w:bCs/>
          <w:iCs/>
          <w:lang w:val="mk-MK"/>
        </w:rPr>
        <w:t xml:space="preserve"> базирани на докази</w:t>
      </w:r>
    </w:p>
    <w:p w14:paraId="5D89CCF6"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1: Воспоставен конзистентен и функционален систем за креирање политики и донесување закони</w:t>
      </w:r>
    </w:p>
    <w:p w14:paraId="0A88D3A9" w14:textId="77777777" w:rsidR="00CF635C" w:rsidRPr="00465999" w:rsidRDefault="00CF635C" w:rsidP="00CF635C">
      <w:pPr>
        <w:spacing w:after="0"/>
        <w:ind w:left="1440"/>
        <w:jc w:val="both"/>
        <w:rPr>
          <w:rFonts w:cs="Calibri"/>
          <w:bCs/>
          <w:lang w:val="mk-MK"/>
        </w:rPr>
      </w:pPr>
      <w:r w:rsidRPr="00465999">
        <w:rPr>
          <w:rFonts w:cs="Calibri"/>
          <w:bCs/>
          <w:lang w:val="mk-MK"/>
        </w:rPr>
        <w:t xml:space="preserve">Посебна цел 2: </w:t>
      </w:r>
      <w:r w:rsidRPr="00465999">
        <w:rPr>
          <w:rFonts w:cs="Calibri"/>
          <w:lang w:val="mk-MK"/>
        </w:rPr>
        <w:t>Зголемена транспарентност, инклузивност и партиципативност во процесот на креирање политики и подготовка на закони</w:t>
      </w:r>
      <w:r w:rsidRPr="00465999" w:rsidDel="00FC5652">
        <w:rPr>
          <w:rFonts w:cs="Calibri"/>
          <w:bCs/>
          <w:lang w:val="mk-MK"/>
        </w:rPr>
        <w:t xml:space="preserve"> </w:t>
      </w:r>
    </w:p>
    <w:p w14:paraId="446DBD79" w14:textId="77777777" w:rsidR="00CF635C" w:rsidRPr="00465999" w:rsidRDefault="00CF635C" w:rsidP="00CF635C">
      <w:pPr>
        <w:spacing w:after="0"/>
        <w:ind w:firstLine="450"/>
        <w:jc w:val="both"/>
        <w:rPr>
          <w:rFonts w:cs="Calibri"/>
          <w:bCs/>
          <w:lang w:val="mk-MK"/>
        </w:rPr>
      </w:pPr>
    </w:p>
    <w:p w14:paraId="3E2CA926" w14:textId="052A578F" w:rsidR="00CF635C" w:rsidRDefault="00CF635C" w:rsidP="00CF635C">
      <w:pPr>
        <w:spacing w:after="0"/>
        <w:ind w:firstLine="450"/>
        <w:jc w:val="both"/>
        <w:rPr>
          <w:rFonts w:cs="Calibri"/>
          <w:bCs/>
          <w:lang w:val="mk-MK"/>
        </w:rPr>
      </w:pPr>
      <w:r w:rsidRPr="00465999">
        <w:rPr>
          <w:rFonts w:cs="Calibri"/>
          <w:bCs/>
          <w:lang w:val="mk-MK"/>
        </w:rPr>
        <w:t xml:space="preserve">Приоритетна област 2: Јавна служба и управување со човечките ресурси </w:t>
      </w:r>
    </w:p>
    <w:p w14:paraId="04C21A84" w14:textId="77777777" w:rsidR="001757F8" w:rsidRPr="00465999" w:rsidRDefault="001757F8" w:rsidP="00CF635C">
      <w:pPr>
        <w:spacing w:after="0"/>
        <w:ind w:firstLine="450"/>
        <w:jc w:val="both"/>
        <w:rPr>
          <w:rFonts w:cs="Calibri"/>
          <w:bCs/>
          <w:lang w:val="mk-MK"/>
        </w:rPr>
      </w:pPr>
    </w:p>
    <w:p w14:paraId="5261FDD5" w14:textId="77777777" w:rsidR="00CF635C" w:rsidRPr="00465999" w:rsidRDefault="00CF635C" w:rsidP="00CF635C">
      <w:pPr>
        <w:spacing w:after="0"/>
        <w:jc w:val="both"/>
        <w:rPr>
          <w:rFonts w:cs="Calibri"/>
          <w:bCs/>
          <w:iCs/>
          <w:lang w:val="mk-MK"/>
        </w:rPr>
      </w:pPr>
      <w:r w:rsidRPr="00465999">
        <w:rPr>
          <w:rFonts w:cs="Calibri"/>
          <w:bCs/>
          <w:lang w:val="mk-MK"/>
        </w:rPr>
        <w:tab/>
        <w:t xml:space="preserve">Општа цел: </w:t>
      </w:r>
      <w:r w:rsidRPr="00465999">
        <w:rPr>
          <w:rFonts w:cs="Calibri"/>
          <w:bCs/>
          <w:iCs/>
          <w:lang w:val="mk-MK"/>
        </w:rPr>
        <w:t>Департизирана, професионална и стручна јавна администрација</w:t>
      </w:r>
    </w:p>
    <w:p w14:paraId="1453A4DB" w14:textId="77777777" w:rsidR="00CF635C" w:rsidRPr="00465999" w:rsidRDefault="00CF635C" w:rsidP="00CF635C">
      <w:pPr>
        <w:spacing w:after="0"/>
        <w:jc w:val="both"/>
        <w:rPr>
          <w:rFonts w:cs="Calibri"/>
          <w:bCs/>
          <w:lang w:val="mk-MK"/>
        </w:rPr>
      </w:pPr>
      <w:r w:rsidRPr="00465999">
        <w:rPr>
          <w:rFonts w:cs="Calibri"/>
          <w:bCs/>
          <w:iCs/>
          <w:lang w:val="mk-MK"/>
        </w:rPr>
        <w:tab/>
      </w:r>
      <w:r w:rsidRPr="00465999">
        <w:rPr>
          <w:rFonts w:cs="Calibri"/>
          <w:bCs/>
          <w:iCs/>
          <w:lang w:val="mk-MK"/>
        </w:rPr>
        <w:tab/>
        <w:t xml:space="preserve">Посебна цел 1: </w:t>
      </w:r>
      <w:r w:rsidRPr="00465999">
        <w:rPr>
          <w:rFonts w:cs="Calibri"/>
          <w:bCs/>
          <w:lang w:val="mk-MK"/>
        </w:rPr>
        <w:t>Деполитизација на јавната администрација</w:t>
      </w:r>
    </w:p>
    <w:p w14:paraId="67E81C2E" w14:textId="77777777" w:rsidR="00CF635C" w:rsidRPr="00465999" w:rsidRDefault="00CF635C" w:rsidP="00CF635C">
      <w:pPr>
        <w:spacing w:after="0"/>
        <w:jc w:val="both"/>
        <w:rPr>
          <w:rFonts w:cs="Calibri"/>
          <w:bCs/>
          <w:lang w:val="mk-MK"/>
        </w:rPr>
      </w:pPr>
      <w:r w:rsidRPr="00465999">
        <w:rPr>
          <w:rFonts w:cs="Calibri"/>
          <w:bCs/>
          <w:lang w:val="mk-MK"/>
        </w:rPr>
        <w:tab/>
      </w:r>
      <w:r w:rsidRPr="00465999">
        <w:rPr>
          <w:rFonts w:cs="Calibri"/>
          <w:bCs/>
          <w:lang w:val="mk-MK"/>
        </w:rPr>
        <w:tab/>
        <w:t>Посебна цел 2: Професионализација на јавната администрација</w:t>
      </w:r>
    </w:p>
    <w:p w14:paraId="4E8DFA82" w14:textId="77777777" w:rsidR="00CF635C" w:rsidRPr="00465999" w:rsidRDefault="00CF635C" w:rsidP="00CF635C">
      <w:pPr>
        <w:spacing w:after="0"/>
        <w:jc w:val="both"/>
        <w:rPr>
          <w:rFonts w:cs="Calibri"/>
          <w:lang w:val="mk-MK"/>
        </w:rPr>
      </w:pPr>
      <w:r w:rsidRPr="00465999">
        <w:rPr>
          <w:rFonts w:cs="Calibri"/>
          <w:bCs/>
          <w:lang w:val="mk-MK"/>
        </w:rPr>
        <w:tab/>
      </w:r>
      <w:r w:rsidRPr="00465999">
        <w:rPr>
          <w:rFonts w:cs="Calibri"/>
          <w:bCs/>
          <w:lang w:val="mk-MK"/>
        </w:rPr>
        <w:tab/>
        <w:t xml:space="preserve">Посебна цел 3: </w:t>
      </w:r>
      <w:r w:rsidRPr="00465999">
        <w:rPr>
          <w:rFonts w:cs="Calibri"/>
          <w:lang w:val="mk-MK"/>
        </w:rPr>
        <w:t>Обезбедување квалитет и стручност на јавната администрација</w:t>
      </w:r>
    </w:p>
    <w:p w14:paraId="37D03959" w14:textId="77777777" w:rsidR="00CF635C" w:rsidRPr="00465999" w:rsidRDefault="00CF635C" w:rsidP="00CF635C">
      <w:pPr>
        <w:spacing w:after="0"/>
        <w:ind w:left="1440"/>
        <w:jc w:val="both"/>
        <w:rPr>
          <w:rFonts w:cs="Calibri"/>
          <w:iCs/>
          <w:lang w:val="mk-MK"/>
        </w:rPr>
      </w:pPr>
      <w:r w:rsidRPr="00465999">
        <w:rPr>
          <w:rFonts w:cs="Calibri"/>
          <w:lang w:val="mk-MK"/>
        </w:rPr>
        <w:t xml:space="preserve">Посебна цел 4: </w:t>
      </w:r>
      <w:r w:rsidRPr="00465999">
        <w:rPr>
          <w:rFonts w:cs="Calibri"/>
          <w:iCs/>
          <w:lang w:val="mk-MK"/>
        </w:rPr>
        <w:t>Воспоставување на унифициран и кохерентен систем на плати во јавната служба</w:t>
      </w:r>
    </w:p>
    <w:p w14:paraId="4A34E94B" w14:textId="77777777" w:rsidR="00CF635C" w:rsidRPr="00465999" w:rsidRDefault="00CF635C" w:rsidP="00CF635C">
      <w:pPr>
        <w:spacing w:after="0"/>
        <w:ind w:firstLine="450"/>
        <w:jc w:val="both"/>
        <w:rPr>
          <w:rFonts w:cs="Calibri"/>
          <w:bCs/>
          <w:lang w:val="mk-MK"/>
        </w:rPr>
      </w:pPr>
    </w:p>
    <w:p w14:paraId="6AE6B38A" w14:textId="77777777" w:rsidR="00CF635C" w:rsidRDefault="00CF635C" w:rsidP="00CF635C">
      <w:pPr>
        <w:spacing w:after="0"/>
        <w:ind w:firstLine="450"/>
        <w:jc w:val="both"/>
        <w:rPr>
          <w:rFonts w:cs="Calibri"/>
          <w:bCs/>
          <w:lang w:val="mk-MK"/>
        </w:rPr>
      </w:pPr>
      <w:r w:rsidRPr="00465999">
        <w:rPr>
          <w:rFonts w:cs="Calibri"/>
          <w:bCs/>
          <w:lang w:val="mk-MK"/>
        </w:rPr>
        <w:t>Приоритетна област 3: Одговорност, отчетност и транспарентност</w:t>
      </w:r>
    </w:p>
    <w:p w14:paraId="2E1E962B" w14:textId="77777777" w:rsidR="001757F8" w:rsidRPr="00465999" w:rsidRDefault="001757F8" w:rsidP="00CF635C">
      <w:pPr>
        <w:spacing w:after="0"/>
        <w:ind w:firstLine="450"/>
        <w:jc w:val="both"/>
        <w:rPr>
          <w:rFonts w:cs="Calibri"/>
          <w:bCs/>
          <w:lang w:val="mk-MK"/>
        </w:rPr>
      </w:pPr>
    </w:p>
    <w:p w14:paraId="2F82B869" w14:textId="77777777" w:rsidR="00CF635C" w:rsidRPr="00465999" w:rsidRDefault="00CF635C" w:rsidP="00CF635C">
      <w:pPr>
        <w:spacing w:after="0"/>
        <w:jc w:val="both"/>
        <w:rPr>
          <w:rFonts w:cs="Calibri"/>
          <w:bCs/>
          <w:lang w:val="mk-MK"/>
        </w:rPr>
      </w:pPr>
      <w:r w:rsidRPr="00465999">
        <w:rPr>
          <w:rFonts w:cs="Calibri"/>
          <w:bCs/>
          <w:lang w:val="mk-MK"/>
        </w:rPr>
        <w:tab/>
        <w:t>Општа цел: Одговорно, отчетно и транспарентно работење на институциите</w:t>
      </w:r>
    </w:p>
    <w:p w14:paraId="44E9509D" w14:textId="77777777" w:rsidR="00CF635C" w:rsidRPr="00465999" w:rsidRDefault="00CF635C" w:rsidP="00CF635C">
      <w:pPr>
        <w:spacing w:after="0"/>
        <w:ind w:left="1440"/>
        <w:jc w:val="both"/>
        <w:rPr>
          <w:rFonts w:cs="Calibri"/>
          <w:bCs/>
          <w:lang w:val="mk-MK"/>
        </w:rPr>
      </w:pPr>
      <w:r w:rsidRPr="00465999">
        <w:rPr>
          <w:rFonts w:cs="Calibri"/>
          <w:bCs/>
          <w:iCs/>
          <w:lang w:val="mk-MK"/>
        </w:rPr>
        <w:t xml:space="preserve">Посебна цел 1: </w:t>
      </w:r>
      <w:r w:rsidRPr="00465999">
        <w:rPr>
          <w:rFonts w:cs="Calibri"/>
          <w:bCs/>
          <w:lang w:val="mk-MK"/>
        </w:rPr>
        <w:t>Кохерентна и оптимизирана државна управа</w:t>
      </w:r>
    </w:p>
    <w:p w14:paraId="45C660EA"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2: Подобрена ефикасност на управните постапки</w:t>
      </w:r>
    </w:p>
    <w:p w14:paraId="6680CE97"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3: Зајакнат интегритет на институциите</w:t>
      </w:r>
    </w:p>
    <w:p w14:paraId="76827209"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4: Зголемена транспарентност на институциите на државно и локално ниво</w:t>
      </w:r>
    </w:p>
    <w:p w14:paraId="055DB4CA"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5: Создавање на поволно опкружување за користење на податоците од јавниот сектор</w:t>
      </w:r>
    </w:p>
    <w:p w14:paraId="76ED640C" w14:textId="77777777" w:rsidR="00CF635C" w:rsidRPr="00465999" w:rsidRDefault="00CF635C" w:rsidP="00CF635C">
      <w:pPr>
        <w:spacing w:after="0"/>
        <w:ind w:firstLine="450"/>
        <w:jc w:val="both"/>
        <w:rPr>
          <w:rFonts w:cs="Calibri"/>
          <w:lang w:val="mk-MK"/>
        </w:rPr>
      </w:pPr>
    </w:p>
    <w:p w14:paraId="0C24292F" w14:textId="100762DD" w:rsidR="00CF635C" w:rsidRPr="00465999" w:rsidRDefault="00CF635C" w:rsidP="00CF635C">
      <w:pPr>
        <w:rPr>
          <w:rFonts w:cs="Calibri"/>
        </w:rPr>
      </w:pPr>
      <w:r w:rsidRPr="00465999">
        <w:rPr>
          <w:rFonts w:cs="Calibri"/>
          <w:lang w:val="mk-MK"/>
        </w:rPr>
        <w:t xml:space="preserve">Приоритетна област 4: </w:t>
      </w:r>
      <w:r w:rsidR="00B879E1">
        <w:rPr>
          <w:rFonts w:cs="Calibri"/>
          <w:lang w:val="mk-MK"/>
        </w:rPr>
        <w:t xml:space="preserve">Давање услуги и </w:t>
      </w:r>
      <w:r w:rsidR="00777F37">
        <w:rPr>
          <w:rFonts w:cs="Calibri"/>
          <w:lang w:val="mk-MK"/>
        </w:rPr>
        <w:t>д</w:t>
      </w:r>
      <w:r w:rsidR="00BC7B9E" w:rsidRPr="00465999">
        <w:rPr>
          <w:rFonts w:cs="Calibri"/>
          <w:lang w:val="mk-MK"/>
        </w:rPr>
        <w:t>игитална трансформација</w:t>
      </w:r>
    </w:p>
    <w:p w14:paraId="624C9743" w14:textId="176E4185" w:rsidR="00CF635C" w:rsidRPr="00465999" w:rsidRDefault="00CF635C" w:rsidP="00CF635C">
      <w:pPr>
        <w:rPr>
          <w:rFonts w:cs="Calibri"/>
        </w:rPr>
      </w:pPr>
      <w:r w:rsidRPr="00465999">
        <w:rPr>
          <w:rFonts w:cs="Calibri"/>
          <w:lang w:val="mk-MK"/>
        </w:rPr>
        <w:tab/>
        <w:t xml:space="preserve">Општа цел: </w:t>
      </w:r>
      <w:r w:rsidRPr="00465999">
        <w:rPr>
          <w:rFonts w:cs="Calibri"/>
        </w:rPr>
        <w:t xml:space="preserve">Дигитализирана јавна администрација </w:t>
      </w:r>
    </w:p>
    <w:p w14:paraId="2F53BF1B" w14:textId="77777777" w:rsidR="00CF635C" w:rsidRPr="00465999" w:rsidRDefault="00CF635C" w:rsidP="00CF635C">
      <w:pPr>
        <w:spacing w:after="0"/>
        <w:ind w:left="1440"/>
        <w:jc w:val="both"/>
        <w:rPr>
          <w:rFonts w:cs="Calibri"/>
          <w:bCs/>
          <w:lang w:val="mk-MK"/>
        </w:rPr>
      </w:pPr>
      <w:r w:rsidRPr="00465999">
        <w:rPr>
          <w:rFonts w:cs="Calibri"/>
          <w:bCs/>
          <w:lang w:val="mk-MK"/>
        </w:rPr>
        <w:t>Посебна цел 1: Дигитална средина за подобро работење на администрацијата</w:t>
      </w:r>
    </w:p>
    <w:p w14:paraId="3AD73983" w14:textId="20197CDF" w:rsidR="00CF635C" w:rsidRDefault="00CF635C" w:rsidP="00CF635C">
      <w:pPr>
        <w:spacing w:after="0"/>
        <w:ind w:left="720"/>
        <w:jc w:val="both"/>
        <w:rPr>
          <w:rFonts w:cs="Calibri"/>
          <w:bCs/>
          <w:lang w:val="mk-MK"/>
        </w:rPr>
      </w:pPr>
      <w:r w:rsidRPr="00465999">
        <w:rPr>
          <w:rFonts w:cs="Calibri"/>
          <w:bCs/>
          <w:lang w:val="mk-MK"/>
        </w:rPr>
        <w:tab/>
        <w:t>Посебна цел 2: Зголемен квалитет и достапност до услугите</w:t>
      </w:r>
    </w:p>
    <w:p w14:paraId="0CD84218" w14:textId="77777777" w:rsidR="00512A53" w:rsidRPr="00512A53" w:rsidRDefault="00512A53" w:rsidP="00CF635C">
      <w:pPr>
        <w:spacing w:after="0"/>
        <w:ind w:left="720"/>
        <w:jc w:val="both"/>
        <w:rPr>
          <w:rFonts w:cs="Calibri"/>
          <w:b/>
          <w:bCs/>
          <w:lang w:val="en-US"/>
        </w:rPr>
      </w:pPr>
    </w:p>
    <w:p w14:paraId="7E95D7CB" w14:textId="77777777" w:rsidR="00F257AD" w:rsidRDefault="00F257AD" w:rsidP="00ED026D">
      <w:pPr>
        <w:pStyle w:val="Heading2"/>
        <w:rPr>
          <w:lang w:val="mk-MK"/>
        </w:rPr>
      </w:pPr>
    </w:p>
    <w:p w14:paraId="71482EFF" w14:textId="77777777" w:rsidR="00777F37" w:rsidRDefault="00777F37" w:rsidP="00777F37">
      <w:pPr>
        <w:rPr>
          <w:lang w:val="mk-MK"/>
        </w:rPr>
      </w:pPr>
    </w:p>
    <w:p w14:paraId="243CE821" w14:textId="77777777" w:rsidR="00777F37" w:rsidRDefault="00777F37" w:rsidP="00777F37">
      <w:pPr>
        <w:rPr>
          <w:lang w:val="mk-MK"/>
        </w:rPr>
      </w:pPr>
    </w:p>
    <w:p w14:paraId="13283402" w14:textId="77777777" w:rsidR="00777F37" w:rsidRDefault="00777F37" w:rsidP="00777F37">
      <w:pPr>
        <w:rPr>
          <w:lang w:val="mk-MK"/>
        </w:rPr>
      </w:pPr>
    </w:p>
    <w:p w14:paraId="625DA994" w14:textId="77777777" w:rsidR="00777F37" w:rsidRPr="00777F37" w:rsidRDefault="00777F37" w:rsidP="00777F37">
      <w:pPr>
        <w:rPr>
          <w:lang w:val="mk-MK"/>
        </w:rPr>
      </w:pPr>
    </w:p>
    <w:p w14:paraId="6DB05677" w14:textId="74A60776" w:rsidR="00ED026D" w:rsidRDefault="00ED026D" w:rsidP="00ED026D">
      <w:pPr>
        <w:pStyle w:val="Heading2"/>
        <w:rPr>
          <w:lang w:val="mk-MK"/>
        </w:rPr>
      </w:pPr>
      <w:r>
        <w:rPr>
          <w:lang w:val="mk-MK"/>
        </w:rPr>
        <w:lastRenderedPageBreak/>
        <w:t xml:space="preserve">3.1. </w:t>
      </w:r>
      <w:bookmarkStart w:id="3" w:name="_Hlk126603014"/>
      <w:r>
        <w:rPr>
          <w:lang w:val="mk-MK"/>
        </w:rPr>
        <w:t>Општ</w:t>
      </w:r>
      <w:r w:rsidR="00D2754F">
        <w:rPr>
          <w:lang w:val="mk-MK"/>
        </w:rPr>
        <w:t>а</w:t>
      </w:r>
      <w:r>
        <w:rPr>
          <w:lang w:val="mk-MK"/>
        </w:rPr>
        <w:t xml:space="preserve"> и посебни цели во приоритетна област 1: </w:t>
      </w:r>
      <w:bookmarkEnd w:id="3"/>
      <w:r>
        <w:rPr>
          <w:lang w:val="mk-MK"/>
        </w:rPr>
        <w:t>Креирање политики и координација</w:t>
      </w:r>
    </w:p>
    <w:p w14:paraId="178B8DA3" w14:textId="5FC55F29" w:rsidR="00ED026D" w:rsidRDefault="00ED026D" w:rsidP="00ED026D">
      <w:pPr>
        <w:rPr>
          <w:lang w:val="mk-MK"/>
        </w:rPr>
      </w:pPr>
    </w:p>
    <w:p w14:paraId="07BFCB64" w14:textId="6BAA9F43" w:rsidR="00D2754F" w:rsidRDefault="00D2754F" w:rsidP="00F53AFC">
      <w:pPr>
        <w:spacing w:after="0" w:line="240" w:lineRule="auto"/>
        <w:rPr>
          <w:b/>
          <w:bCs/>
          <w:i/>
          <w:iCs/>
          <w:sz w:val="24"/>
          <w:szCs w:val="24"/>
          <w:lang w:val="mk-MK"/>
        </w:rPr>
      </w:pPr>
      <w:r w:rsidRPr="00916C3A">
        <w:rPr>
          <w:b/>
          <w:bCs/>
          <w:sz w:val="24"/>
          <w:szCs w:val="24"/>
          <w:lang w:val="mk-MK"/>
        </w:rPr>
        <w:t xml:space="preserve">ОПШТА ЦЕЛ: </w:t>
      </w:r>
      <w:r w:rsidRPr="00142DD3">
        <w:rPr>
          <w:rFonts w:eastAsia="Times New Roman"/>
          <w:b/>
          <w:bCs/>
          <w:sz w:val="24"/>
          <w:szCs w:val="24"/>
          <w:lang w:val="mk-MK"/>
        </w:rPr>
        <w:t>Ефективно, ефикасно</w:t>
      </w:r>
      <w:r w:rsidR="00F53AFC" w:rsidRPr="00142DD3">
        <w:rPr>
          <w:rFonts w:eastAsia="Times New Roman"/>
          <w:b/>
          <w:bCs/>
          <w:sz w:val="24"/>
          <w:szCs w:val="24"/>
          <w:lang w:val="mk-MK"/>
        </w:rPr>
        <w:t>, транспарентно ,</w:t>
      </w:r>
      <w:r w:rsidRPr="00142DD3">
        <w:rPr>
          <w:rFonts w:eastAsia="Times New Roman"/>
          <w:b/>
          <w:bCs/>
          <w:sz w:val="24"/>
          <w:szCs w:val="24"/>
          <w:lang w:val="mk-MK"/>
        </w:rPr>
        <w:t xml:space="preserve"> инклузивно креирани политики </w:t>
      </w:r>
      <w:r w:rsidRPr="00142DD3">
        <w:rPr>
          <w:b/>
          <w:bCs/>
          <w:i/>
          <w:iCs/>
          <w:sz w:val="24"/>
          <w:szCs w:val="24"/>
          <w:lang w:val="mk-MK"/>
        </w:rPr>
        <w:t xml:space="preserve"> </w:t>
      </w:r>
      <w:r w:rsidR="00F53AFC" w:rsidRPr="00142DD3">
        <w:rPr>
          <w:b/>
          <w:bCs/>
          <w:i/>
          <w:iCs/>
          <w:sz w:val="24"/>
          <w:szCs w:val="24"/>
          <w:lang w:val="mk-MK"/>
        </w:rPr>
        <w:t>базирани на докази</w:t>
      </w:r>
    </w:p>
    <w:p w14:paraId="76E61E8D" w14:textId="77777777" w:rsidR="00F53AFC" w:rsidRDefault="00F53AFC" w:rsidP="00F53AFC">
      <w:pPr>
        <w:spacing w:after="0" w:line="240" w:lineRule="auto"/>
        <w:rPr>
          <w:lang w:val="mk-MK"/>
        </w:rPr>
      </w:pPr>
    </w:p>
    <w:p w14:paraId="63EA6416" w14:textId="78EFE816" w:rsidR="00D2754F" w:rsidRDefault="00D2754F" w:rsidP="00D2754F">
      <w:pPr>
        <w:jc w:val="both"/>
        <w:rPr>
          <w:lang w:val="mk-MK"/>
        </w:rPr>
      </w:pPr>
      <w:r>
        <w:rPr>
          <w:lang w:val="mk-MK"/>
        </w:rPr>
        <w:t xml:space="preserve">Креирањето политики и законодавниот процес во рамки на </w:t>
      </w:r>
      <w:r w:rsidR="00202BF0">
        <w:rPr>
          <w:lang w:val="mk-MK"/>
        </w:rPr>
        <w:t xml:space="preserve">ВРСМ </w:t>
      </w:r>
      <w:r>
        <w:rPr>
          <w:lang w:val="mk-MK"/>
        </w:rPr>
        <w:t xml:space="preserve">треба да се одвиваат низ ефективна постапка, заснована на докази и </w:t>
      </w:r>
      <w:r w:rsidRPr="00F83FAC">
        <w:t>отворен</w:t>
      </w:r>
      <w:r>
        <w:rPr>
          <w:lang w:val="mk-MK"/>
        </w:rPr>
        <w:t>а</w:t>
      </w:r>
      <w:r w:rsidRPr="00F83FAC">
        <w:t xml:space="preserve"> за учество на засегнатите страни</w:t>
      </w:r>
      <w:r>
        <w:rPr>
          <w:lang w:val="mk-MK"/>
        </w:rPr>
        <w:t>. Оттука, мерките во приоритетната област за развој на политики и координација имаат за цел: п</w:t>
      </w:r>
      <w:r w:rsidRPr="00F56996">
        <w:rPr>
          <w:lang w:val="mk-MK"/>
        </w:rPr>
        <w:t xml:space="preserve">ланирањето на </w:t>
      </w:r>
      <w:r>
        <w:rPr>
          <w:lang w:val="mk-MK"/>
        </w:rPr>
        <w:t xml:space="preserve">јавните </w:t>
      </w:r>
      <w:r w:rsidRPr="00F56996">
        <w:rPr>
          <w:lang w:val="mk-MK"/>
        </w:rPr>
        <w:t xml:space="preserve">политики </w:t>
      </w:r>
      <w:r w:rsidRPr="0017630C">
        <w:rPr>
          <w:lang w:val="mk-MK"/>
        </w:rPr>
        <w:t xml:space="preserve">и </w:t>
      </w:r>
      <w:r>
        <w:rPr>
          <w:lang w:val="mk-MK"/>
        </w:rPr>
        <w:t>Б</w:t>
      </w:r>
      <w:r w:rsidRPr="00604B7E">
        <w:rPr>
          <w:lang w:val="mk-MK"/>
        </w:rPr>
        <w:t>уџетот</w:t>
      </w:r>
      <w:r w:rsidRPr="00F56996">
        <w:rPr>
          <w:lang w:val="mk-MK"/>
        </w:rPr>
        <w:t xml:space="preserve"> </w:t>
      </w:r>
      <w:r>
        <w:rPr>
          <w:lang w:val="mk-MK"/>
        </w:rPr>
        <w:t>да бидат</w:t>
      </w:r>
      <w:r w:rsidRPr="00F56996">
        <w:rPr>
          <w:lang w:val="mk-MK"/>
        </w:rPr>
        <w:t xml:space="preserve"> усогласени</w:t>
      </w:r>
      <w:r>
        <w:rPr>
          <w:lang w:val="mk-MK"/>
        </w:rPr>
        <w:t>;</w:t>
      </w:r>
      <w:r w:rsidRPr="00F56996">
        <w:rPr>
          <w:lang w:val="mk-MK"/>
        </w:rPr>
        <w:t xml:space="preserve"> целите на политиката </w:t>
      </w:r>
      <w:r>
        <w:rPr>
          <w:lang w:val="mk-MK"/>
        </w:rPr>
        <w:t>да бидат</w:t>
      </w:r>
      <w:r w:rsidRPr="00F56996">
        <w:rPr>
          <w:lang w:val="mk-MK"/>
        </w:rPr>
        <w:t xml:space="preserve"> јасно дефинирани</w:t>
      </w:r>
      <w:r w:rsidRPr="007F7F02">
        <w:rPr>
          <w:lang w:val="mk-MK"/>
        </w:rPr>
        <w:t xml:space="preserve"> </w:t>
      </w:r>
      <w:r w:rsidRPr="00F56996">
        <w:rPr>
          <w:lang w:val="mk-MK"/>
        </w:rPr>
        <w:t>заснован</w:t>
      </w:r>
      <w:r>
        <w:rPr>
          <w:lang w:val="mk-MK"/>
        </w:rPr>
        <w:t>и</w:t>
      </w:r>
      <w:r w:rsidRPr="00F56996">
        <w:rPr>
          <w:lang w:val="mk-MK"/>
        </w:rPr>
        <w:t xml:space="preserve"> на докази и анализи, </w:t>
      </w:r>
      <w:r>
        <w:rPr>
          <w:lang w:val="mk-MK"/>
        </w:rPr>
        <w:t>ј</w:t>
      </w:r>
      <w:r w:rsidRPr="00F56996">
        <w:rPr>
          <w:lang w:val="mk-MK"/>
        </w:rPr>
        <w:t xml:space="preserve">авните политики </w:t>
      </w:r>
      <w:r>
        <w:rPr>
          <w:lang w:val="mk-MK"/>
        </w:rPr>
        <w:t xml:space="preserve">да </w:t>
      </w:r>
      <w:r w:rsidRPr="00F56996">
        <w:rPr>
          <w:lang w:val="mk-MK"/>
        </w:rPr>
        <w:t xml:space="preserve">се </w:t>
      </w:r>
      <w:r>
        <w:rPr>
          <w:lang w:val="mk-MK"/>
        </w:rPr>
        <w:t xml:space="preserve">креираат </w:t>
      </w:r>
      <w:r w:rsidRPr="00F56996">
        <w:rPr>
          <w:lang w:val="mk-MK"/>
        </w:rPr>
        <w:t>преку отворен процес</w:t>
      </w:r>
      <w:r>
        <w:rPr>
          <w:lang w:val="mk-MK"/>
        </w:rPr>
        <w:t>,</w:t>
      </w:r>
      <w:r w:rsidRPr="00F56996">
        <w:rPr>
          <w:lang w:val="mk-MK"/>
        </w:rPr>
        <w:t xml:space="preserve"> </w:t>
      </w:r>
      <w:r>
        <w:rPr>
          <w:lang w:val="mk-MK"/>
        </w:rPr>
        <w:t xml:space="preserve">да се усогласени </w:t>
      </w:r>
      <w:r w:rsidRPr="00F56996">
        <w:rPr>
          <w:lang w:val="mk-MK"/>
        </w:rPr>
        <w:t>и добро координирани</w:t>
      </w:r>
      <w:r>
        <w:rPr>
          <w:lang w:val="mk-MK"/>
        </w:rPr>
        <w:t xml:space="preserve">, како и доследно и редовно да се следи </w:t>
      </w:r>
      <w:r w:rsidRPr="00F56996">
        <w:rPr>
          <w:lang w:val="mk-MK"/>
        </w:rPr>
        <w:t>и оценув</w:t>
      </w:r>
      <w:r>
        <w:rPr>
          <w:lang w:val="mk-MK"/>
        </w:rPr>
        <w:t>а постигнувањето на целите</w:t>
      </w:r>
      <w:r w:rsidRPr="00F56996">
        <w:rPr>
          <w:lang w:val="mk-MK"/>
        </w:rPr>
        <w:t>.</w:t>
      </w:r>
    </w:p>
    <w:p w14:paraId="7433419F" w14:textId="234A10D5" w:rsidR="00C1585A" w:rsidRDefault="00C1585A" w:rsidP="00D2754F">
      <w:pPr>
        <w:jc w:val="both"/>
        <w:rPr>
          <w:lang w:val="mk-MK"/>
        </w:rPr>
      </w:pPr>
      <w:r>
        <w:rPr>
          <w:lang w:val="mk-MK"/>
        </w:rPr>
        <w:t>Општата цел ќе се следи преку следниов показател на ниво на ефект:</w:t>
      </w:r>
    </w:p>
    <w:tbl>
      <w:tblPr>
        <w:tblStyle w:val="TableGrid"/>
        <w:tblW w:w="0" w:type="auto"/>
        <w:tblLook w:val="04A0" w:firstRow="1" w:lastRow="0" w:firstColumn="1" w:lastColumn="0" w:noHBand="0" w:noVBand="1"/>
      </w:tblPr>
      <w:tblGrid>
        <w:gridCol w:w="5395"/>
        <w:gridCol w:w="1350"/>
        <w:gridCol w:w="1260"/>
        <w:gridCol w:w="1345"/>
      </w:tblGrid>
      <w:tr w:rsidR="00C1585A" w:rsidRPr="00933133" w14:paraId="623FF2CB" w14:textId="77777777" w:rsidTr="002877AE">
        <w:tc>
          <w:tcPr>
            <w:tcW w:w="9350" w:type="dxa"/>
            <w:gridSpan w:val="4"/>
            <w:shd w:val="clear" w:color="auto" w:fill="D9E2F3" w:themeFill="accent1" w:themeFillTint="33"/>
          </w:tcPr>
          <w:p w14:paraId="761A190D" w14:textId="77777777" w:rsidR="00C1585A" w:rsidRPr="00933133" w:rsidRDefault="00C1585A" w:rsidP="00EC7C0D">
            <w:pPr>
              <w:rPr>
                <w:rFonts w:ascii="Calibri" w:hAnsi="Calibri" w:cs="Calibri"/>
                <w:b/>
                <w:bCs/>
                <w:color w:val="000000"/>
              </w:rPr>
            </w:pPr>
            <w:r w:rsidRPr="00933133">
              <w:rPr>
                <w:rFonts w:ascii="Calibri" w:hAnsi="Calibri" w:cs="Calibri"/>
                <w:b/>
                <w:bCs/>
                <w:color w:val="000000"/>
              </w:rPr>
              <w:t>ОПШТА ЦЕЛ: ЕФЕКТИВНО, ЕФИКАСНО</w:t>
            </w:r>
            <w:r w:rsidRPr="00933133">
              <w:rPr>
                <w:rFonts w:ascii="Calibri" w:hAnsi="Calibri" w:cs="Calibri"/>
                <w:b/>
                <w:bCs/>
                <w:color w:val="000000"/>
                <w:lang w:val="mk-MK"/>
              </w:rPr>
              <w:t>, ТРАНСПАРЕНТНО,</w:t>
            </w:r>
            <w:r w:rsidRPr="00933133">
              <w:rPr>
                <w:rFonts w:ascii="Calibri" w:hAnsi="Calibri" w:cs="Calibri"/>
                <w:b/>
                <w:bCs/>
                <w:color w:val="000000"/>
              </w:rPr>
              <w:t xml:space="preserve"> ИНКЛУЗИВНО КРЕИРАНИ ПОЛИТИКИ</w:t>
            </w:r>
            <w:r w:rsidRPr="00933133">
              <w:rPr>
                <w:rFonts w:ascii="Calibri" w:hAnsi="Calibri" w:cs="Calibri"/>
                <w:b/>
                <w:bCs/>
                <w:color w:val="000000"/>
                <w:lang w:val="mk-MK"/>
              </w:rPr>
              <w:t xml:space="preserve"> БАЗИРАНИ НА ДОКАЗИ</w:t>
            </w:r>
          </w:p>
        </w:tc>
      </w:tr>
      <w:tr w:rsidR="00C1585A" w:rsidRPr="00933133" w14:paraId="2E867B2B" w14:textId="77777777" w:rsidTr="002877AE">
        <w:tc>
          <w:tcPr>
            <w:tcW w:w="5395" w:type="dxa"/>
            <w:vMerge w:val="restart"/>
            <w:shd w:val="clear" w:color="auto" w:fill="D9E2F3" w:themeFill="accent1" w:themeFillTint="33"/>
            <w:vAlign w:val="center"/>
          </w:tcPr>
          <w:p w14:paraId="4A524550" w14:textId="77777777" w:rsidR="00C1585A" w:rsidRPr="00933133" w:rsidRDefault="00C1585A" w:rsidP="00EC7C0D">
            <w:pPr>
              <w:jc w:val="center"/>
              <w:rPr>
                <w:b/>
                <w:bCs/>
              </w:rPr>
            </w:pPr>
            <w:r w:rsidRPr="00933133">
              <w:rPr>
                <w:b/>
                <w:bCs/>
                <w:lang w:val="mk-MK"/>
              </w:rPr>
              <w:t>Показател на ефект:</w:t>
            </w:r>
          </w:p>
        </w:tc>
        <w:tc>
          <w:tcPr>
            <w:tcW w:w="1350" w:type="dxa"/>
            <w:tcBorders>
              <w:bottom w:val="nil"/>
              <w:right w:val="nil"/>
            </w:tcBorders>
            <w:shd w:val="clear" w:color="auto" w:fill="D9E2F3" w:themeFill="accent1" w:themeFillTint="33"/>
          </w:tcPr>
          <w:p w14:paraId="5139F9A9" w14:textId="77777777" w:rsidR="00C1585A" w:rsidRPr="00933133" w:rsidRDefault="00C1585A" w:rsidP="00EC7C0D">
            <w:pPr>
              <w:jc w:val="center"/>
              <w:rPr>
                <w:b/>
                <w:bCs/>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382B9BF1" w14:textId="77777777" w:rsidR="00C1585A" w:rsidRPr="00933133" w:rsidRDefault="00C1585A" w:rsidP="00EC7C0D">
            <w:pPr>
              <w:jc w:val="center"/>
              <w:rPr>
                <w:b/>
                <w:bCs/>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7C0A3454" w14:textId="77777777" w:rsidR="00C1585A" w:rsidRPr="00933133" w:rsidRDefault="00C1585A" w:rsidP="00EC7C0D">
            <w:pPr>
              <w:jc w:val="center"/>
              <w:rPr>
                <w:b/>
                <w:bCs/>
                <w:lang w:val="mk-MK"/>
              </w:rPr>
            </w:pPr>
            <w:r w:rsidRPr="00933133">
              <w:rPr>
                <w:b/>
                <w:bCs/>
                <w:lang w:val="mk-MK"/>
              </w:rPr>
              <w:t>Крајна вредност</w:t>
            </w:r>
          </w:p>
        </w:tc>
      </w:tr>
      <w:tr w:rsidR="00C1585A" w:rsidRPr="00933133" w14:paraId="0C111A29" w14:textId="77777777" w:rsidTr="002877AE">
        <w:tc>
          <w:tcPr>
            <w:tcW w:w="5395" w:type="dxa"/>
            <w:vMerge/>
            <w:tcBorders>
              <w:bottom w:val="single" w:sz="4" w:space="0" w:color="auto"/>
            </w:tcBorders>
            <w:shd w:val="clear" w:color="auto" w:fill="D9E2F3" w:themeFill="accent1" w:themeFillTint="33"/>
          </w:tcPr>
          <w:p w14:paraId="782FF5D0" w14:textId="77777777" w:rsidR="00C1585A" w:rsidRPr="00933133" w:rsidRDefault="00C1585A" w:rsidP="00EC7C0D">
            <w:pPr>
              <w:rPr>
                <w:lang w:val="mk-MK"/>
              </w:rPr>
            </w:pPr>
          </w:p>
        </w:tc>
        <w:tc>
          <w:tcPr>
            <w:tcW w:w="1350" w:type="dxa"/>
            <w:tcBorders>
              <w:top w:val="nil"/>
              <w:bottom w:val="single" w:sz="4" w:space="0" w:color="auto"/>
              <w:right w:val="nil"/>
            </w:tcBorders>
            <w:shd w:val="clear" w:color="auto" w:fill="D9E2F3" w:themeFill="accent1" w:themeFillTint="33"/>
          </w:tcPr>
          <w:p w14:paraId="62F61A8E" w14:textId="77777777" w:rsidR="00C1585A" w:rsidRPr="00933133" w:rsidRDefault="00C1585A" w:rsidP="00EC7C0D">
            <w:pPr>
              <w:jc w:val="center"/>
              <w:rPr>
                <w:b/>
                <w:bCs/>
                <w:lang w:val="mk-MK"/>
              </w:rPr>
            </w:pPr>
            <w:r w:rsidRPr="00933133">
              <w:rPr>
                <w:b/>
                <w:bCs/>
                <w:lang w:val="mk-MK"/>
              </w:rPr>
              <w:t>2021</w:t>
            </w:r>
          </w:p>
        </w:tc>
        <w:tc>
          <w:tcPr>
            <w:tcW w:w="1260" w:type="dxa"/>
            <w:tcBorders>
              <w:top w:val="nil"/>
              <w:left w:val="nil"/>
              <w:bottom w:val="single" w:sz="4" w:space="0" w:color="auto"/>
              <w:right w:val="nil"/>
            </w:tcBorders>
            <w:shd w:val="clear" w:color="auto" w:fill="D9E2F3" w:themeFill="accent1" w:themeFillTint="33"/>
          </w:tcPr>
          <w:p w14:paraId="1665AC4E" w14:textId="77777777" w:rsidR="00C1585A" w:rsidRPr="00933133" w:rsidRDefault="00C1585A" w:rsidP="00EC7C0D">
            <w:pPr>
              <w:jc w:val="center"/>
              <w:rPr>
                <w:b/>
                <w:bCs/>
                <w:lang w:val="mk-MK"/>
              </w:rPr>
            </w:pPr>
            <w:r w:rsidRPr="00933133">
              <w:rPr>
                <w:b/>
                <w:bCs/>
                <w:lang w:val="mk-MK"/>
              </w:rPr>
              <w:t>2026</w:t>
            </w:r>
          </w:p>
        </w:tc>
        <w:tc>
          <w:tcPr>
            <w:tcW w:w="1345" w:type="dxa"/>
            <w:tcBorders>
              <w:top w:val="nil"/>
              <w:left w:val="nil"/>
              <w:bottom w:val="single" w:sz="4" w:space="0" w:color="auto"/>
            </w:tcBorders>
            <w:shd w:val="clear" w:color="auto" w:fill="D9E2F3" w:themeFill="accent1" w:themeFillTint="33"/>
          </w:tcPr>
          <w:p w14:paraId="558FE355" w14:textId="77777777" w:rsidR="00C1585A" w:rsidRPr="00933133" w:rsidRDefault="00C1585A" w:rsidP="00EC7C0D">
            <w:pPr>
              <w:jc w:val="center"/>
              <w:rPr>
                <w:b/>
                <w:bCs/>
                <w:lang w:val="mk-MK"/>
              </w:rPr>
            </w:pPr>
            <w:r w:rsidRPr="00933133">
              <w:rPr>
                <w:b/>
                <w:bCs/>
                <w:lang w:val="mk-MK"/>
              </w:rPr>
              <w:t>2030</w:t>
            </w:r>
          </w:p>
        </w:tc>
      </w:tr>
      <w:tr w:rsidR="00C1585A" w:rsidRPr="000D20B1" w14:paraId="0C982AE5" w14:textId="77777777" w:rsidTr="002877AE">
        <w:tc>
          <w:tcPr>
            <w:tcW w:w="5395" w:type="dxa"/>
            <w:tcBorders>
              <w:bottom w:val="single" w:sz="12" w:space="0" w:color="auto"/>
            </w:tcBorders>
            <w:shd w:val="clear" w:color="auto" w:fill="D9E2F3" w:themeFill="accent1" w:themeFillTint="33"/>
          </w:tcPr>
          <w:p w14:paraId="0725480D" w14:textId="77777777" w:rsidR="00C1585A" w:rsidRPr="000D20B1" w:rsidRDefault="00C1585A" w:rsidP="00EC7C0D">
            <w:pPr>
              <w:jc w:val="both"/>
              <w:rPr>
                <w:sz w:val="20"/>
                <w:szCs w:val="20"/>
              </w:rPr>
            </w:pPr>
            <w:r w:rsidRPr="000D20B1">
              <w:rPr>
                <w:rFonts w:ascii="Calibri" w:hAnsi="Calibri" w:cs="Calibri"/>
                <w:color w:val="000000"/>
                <w:sz w:val="20"/>
                <w:szCs w:val="20"/>
              </w:rPr>
              <w:t>Вредност на показателот на СИГМА за тематската област Развој и координација на политики од Начелата на јавната администрација</w:t>
            </w:r>
          </w:p>
        </w:tc>
        <w:tc>
          <w:tcPr>
            <w:tcW w:w="1350" w:type="dxa"/>
            <w:tcBorders>
              <w:bottom w:val="single" w:sz="12" w:space="0" w:color="auto"/>
            </w:tcBorders>
            <w:shd w:val="clear" w:color="auto" w:fill="D9E2F3" w:themeFill="accent1" w:themeFillTint="33"/>
            <w:vAlign w:val="center"/>
          </w:tcPr>
          <w:p w14:paraId="3C49D431" w14:textId="77777777" w:rsidR="00C1585A" w:rsidRPr="000D20B1" w:rsidRDefault="00C1585A" w:rsidP="00EC7C0D">
            <w:pPr>
              <w:jc w:val="center"/>
              <w:rPr>
                <w:sz w:val="20"/>
                <w:szCs w:val="20"/>
              </w:rPr>
            </w:pPr>
            <w:r w:rsidRPr="000D20B1">
              <w:rPr>
                <w:rFonts w:ascii="Calibri" w:hAnsi="Calibri" w:cs="Calibri"/>
                <w:color w:val="000000"/>
                <w:sz w:val="20"/>
                <w:szCs w:val="20"/>
              </w:rPr>
              <w:t>2,1</w:t>
            </w:r>
          </w:p>
        </w:tc>
        <w:tc>
          <w:tcPr>
            <w:tcW w:w="1260" w:type="dxa"/>
            <w:tcBorders>
              <w:bottom w:val="single" w:sz="12" w:space="0" w:color="auto"/>
            </w:tcBorders>
            <w:shd w:val="clear" w:color="auto" w:fill="D9E2F3" w:themeFill="accent1" w:themeFillTint="33"/>
            <w:vAlign w:val="center"/>
          </w:tcPr>
          <w:p w14:paraId="775E41DA" w14:textId="363017C9" w:rsidR="00C1585A" w:rsidRPr="000D20B1" w:rsidRDefault="00252A7B" w:rsidP="00EC7C0D">
            <w:pPr>
              <w:jc w:val="center"/>
              <w:rPr>
                <w:sz w:val="20"/>
                <w:szCs w:val="20"/>
              </w:rPr>
            </w:pPr>
            <w:r>
              <w:rPr>
                <w:rFonts w:ascii="Calibri" w:hAnsi="Calibri" w:cs="Calibri"/>
                <w:color w:val="000000"/>
                <w:sz w:val="20"/>
                <w:szCs w:val="20"/>
              </w:rPr>
              <w:t>3</w:t>
            </w:r>
          </w:p>
        </w:tc>
        <w:tc>
          <w:tcPr>
            <w:tcW w:w="1345" w:type="dxa"/>
            <w:tcBorders>
              <w:bottom w:val="single" w:sz="12" w:space="0" w:color="auto"/>
            </w:tcBorders>
            <w:shd w:val="clear" w:color="auto" w:fill="D9E2F3" w:themeFill="accent1" w:themeFillTint="33"/>
            <w:vAlign w:val="center"/>
          </w:tcPr>
          <w:p w14:paraId="7611312B" w14:textId="500DFCF5" w:rsidR="00C1585A" w:rsidRPr="000D20B1" w:rsidRDefault="00252A7B" w:rsidP="00EC7C0D">
            <w:pPr>
              <w:jc w:val="center"/>
              <w:rPr>
                <w:sz w:val="20"/>
                <w:szCs w:val="20"/>
                <w:lang w:val="mk-MK"/>
              </w:rPr>
            </w:pPr>
            <w:r>
              <w:rPr>
                <w:sz w:val="20"/>
                <w:szCs w:val="20"/>
                <w:lang w:val="mk-MK"/>
              </w:rPr>
              <w:t>4</w:t>
            </w:r>
          </w:p>
        </w:tc>
      </w:tr>
    </w:tbl>
    <w:p w14:paraId="6E23A9D7" w14:textId="77777777" w:rsidR="00C1585A" w:rsidRDefault="00C1585A" w:rsidP="00D2754F">
      <w:pPr>
        <w:jc w:val="both"/>
        <w:rPr>
          <w:lang w:val="mk-MK"/>
        </w:rPr>
      </w:pPr>
    </w:p>
    <w:p w14:paraId="320E9901" w14:textId="30B3A650" w:rsidR="00D2754F" w:rsidRDefault="00D2754F" w:rsidP="00D2754F">
      <w:pPr>
        <w:jc w:val="both"/>
        <w:rPr>
          <w:lang w:val="mk-MK"/>
        </w:rPr>
      </w:pPr>
      <w:r>
        <w:rPr>
          <w:lang w:val="mk-MK"/>
        </w:rPr>
        <w:t>Општата цел ќе се постигне преку спроведување на две посебни цели:</w:t>
      </w:r>
    </w:p>
    <w:p w14:paraId="75107C40" w14:textId="3BA5B4D7" w:rsidR="00D2754F" w:rsidRPr="00D2754F" w:rsidRDefault="00D2754F" w:rsidP="00D2754F">
      <w:pPr>
        <w:jc w:val="both"/>
        <w:rPr>
          <w:b/>
          <w:bCs/>
          <w:u w:val="single"/>
          <w:lang w:val="mk-MK"/>
        </w:rPr>
      </w:pPr>
      <w:r w:rsidRPr="00D2754F">
        <w:rPr>
          <w:b/>
          <w:bCs/>
          <w:u w:val="single"/>
          <w:lang w:val="mk-MK"/>
        </w:rPr>
        <w:t>Посебна цел 1</w:t>
      </w:r>
      <w:r w:rsidR="00B951DF">
        <w:rPr>
          <w:b/>
          <w:bCs/>
          <w:u w:val="single"/>
          <w:lang w:val="mk-MK"/>
        </w:rPr>
        <w:t>.1.</w:t>
      </w:r>
      <w:r w:rsidRPr="00D2754F">
        <w:rPr>
          <w:b/>
          <w:bCs/>
          <w:u w:val="single"/>
          <w:lang w:val="mk-MK"/>
        </w:rPr>
        <w:t xml:space="preserve">: </w:t>
      </w:r>
      <w:bookmarkStart w:id="4" w:name="_Hlk130209853"/>
      <w:r w:rsidRPr="00D2754F">
        <w:rPr>
          <w:b/>
          <w:bCs/>
          <w:u w:val="single"/>
          <w:lang w:val="mk-MK"/>
        </w:rPr>
        <w:t xml:space="preserve">Воспоставен конзистентен и функционален систем за планирање, креирање политики и донесување закони </w:t>
      </w:r>
      <w:bookmarkEnd w:id="4"/>
    </w:p>
    <w:p w14:paraId="147B88A2" w14:textId="20A78703" w:rsidR="00D2754F" w:rsidRDefault="00D2754F" w:rsidP="00D2754F">
      <w:pPr>
        <w:jc w:val="both"/>
        <w:rPr>
          <w:b/>
          <w:bCs/>
          <w:lang w:val="mk-MK"/>
        </w:rPr>
      </w:pPr>
      <w:r w:rsidRPr="00827D92">
        <w:rPr>
          <w:b/>
          <w:bCs/>
          <w:lang w:val="mk-MK"/>
        </w:rPr>
        <w:t>М</w:t>
      </w:r>
      <w:r>
        <w:rPr>
          <w:b/>
          <w:bCs/>
          <w:lang w:val="mk-MK"/>
        </w:rPr>
        <w:t xml:space="preserve"> </w:t>
      </w:r>
      <w:r w:rsidRPr="00827D92">
        <w:rPr>
          <w:b/>
          <w:bCs/>
          <w:lang w:val="mk-MK"/>
        </w:rPr>
        <w:t>1</w:t>
      </w:r>
      <w:r>
        <w:rPr>
          <w:b/>
          <w:bCs/>
          <w:lang w:val="mk-MK"/>
        </w:rPr>
        <w:t>.1.</w:t>
      </w:r>
      <w:r w:rsidR="00B951DF">
        <w:rPr>
          <w:b/>
          <w:bCs/>
          <w:lang w:val="mk-MK"/>
        </w:rPr>
        <w:t>1.</w:t>
      </w:r>
      <w:r w:rsidRPr="00827D92">
        <w:rPr>
          <w:b/>
          <w:bCs/>
          <w:lang w:val="mk-MK"/>
        </w:rPr>
        <w:t>: Развивање и одржување на функционален  механизам  за  усогласување на долгорочното со среднорочното и  годишното планирање</w:t>
      </w:r>
    </w:p>
    <w:p w14:paraId="6235592F" w14:textId="244551DD" w:rsidR="00D2754F" w:rsidRDefault="00D2754F" w:rsidP="00D2754F">
      <w:pPr>
        <w:jc w:val="both"/>
        <w:rPr>
          <w:lang w:val="mk-MK"/>
        </w:rPr>
      </w:pPr>
      <w:bookmarkStart w:id="5" w:name="_Hlk130210089"/>
      <w:r>
        <w:rPr>
          <w:lang w:val="mk-MK"/>
        </w:rPr>
        <w:t xml:space="preserve">Од клучна важност е </w:t>
      </w:r>
      <w:r w:rsidRPr="00F575DA">
        <w:rPr>
          <w:lang w:val="mk-MK"/>
        </w:rPr>
        <w:t>електронско</w:t>
      </w:r>
      <w:r>
        <w:rPr>
          <w:lang w:val="mk-MK"/>
        </w:rPr>
        <w:t>то</w:t>
      </w:r>
      <w:r w:rsidRPr="00F575DA">
        <w:rPr>
          <w:lang w:val="mk-MK"/>
        </w:rPr>
        <w:t xml:space="preserve"> хоризонтално и вертикалн</w:t>
      </w:r>
      <w:r>
        <w:rPr>
          <w:lang w:val="mk-MK"/>
        </w:rPr>
        <w:t>о</w:t>
      </w:r>
      <w:r w:rsidRPr="00F575DA">
        <w:rPr>
          <w:lang w:val="mk-MK"/>
        </w:rPr>
        <w:t xml:space="preserve"> поврзување </w:t>
      </w:r>
      <w:r w:rsidRPr="00DA5BB6">
        <w:rPr>
          <w:lang w:val="mk-MK"/>
        </w:rPr>
        <w:t>на организационите единици за стратешко планирање во министерствата со</w:t>
      </w:r>
      <w:r w:rsidR="00DD7EC8">
        <w:rPr>
          <w:lang w:val="mk-MK"/>
        </w:rPr>
        <w:t xml:space="preserve"> </w:t>
      </w:r>
      <w:r w:rsidR="00D806DD">
        <w:rPr>
          <w:lang w:val="mk-MK"/>
        </w:rPr>
        <w:t>ГС</w:t>
      </w:r>
      <w:r w:rsidRPr="00DA5BB6">
        <w:rPr>
          <w:lang w:val="mk-MK"/>
        </w:rPr>
        <w:t>.</w:t>
      </w:r>
      <w:r w:rsidRPr="00F575DA">
        <w:rPr>
          <w:lang w:val="mk-MK"/>
        </w:rPr>
        <w:t xml:space="preserve"> Паралелно со процесот на меѓусебно поврзување за кој се неопходни материјални ресурси (софтверски решенија), </w:t>
      </w:r>
      <w:r>
        <w:rPr>
          <w:lang w:val="mk-MK"/>
        </w:rPr>
        <w:t xml:space="preserve">потребно е јакнење на </w:t>
      </w:r>
      <w:r w:rsidRPr="00F575DA">
        <w:rPr>
          <w:lang w:val="mk-MK"/>
        </w:rPr>
        <w:t>кадровските капацитети</w:t>
      </w:r>
      <w:r>
        <w:rPr>
          <w:lang w:val="mk-MK"/>
        </w:rPr>
        <w:t xml:space="preserve"> во </w:t>
      </w:r>
      <w:r w:rsidR="00D806DD">
        <w:rPr>
          <w:lang w:val="mk-MK"/>
        </w:rPr>
        <w:t xml:space="preserve">ГС </w:t>
      </w:r>
      <w:r>
        <w:rPr>
          <w:lang w:val="mk-MK"/>
        </w:rPr>
        <w:t>и</w:t>
      </w:r>
      <w:r w:rsidRPr="00F575DA">
        <w:rPr>
          <w:lang w:val="mk-MK"/>
        </w:rPr>
        <w:t xml:space="preserve"> на организациони</w:t>
      </w:r>
      <w:r>
        <w:rPr>
          <w:lang w:val="mk-MK"/>
        </w:rPr>
        <w:t xml:space="preserve">те </w:t>
      </w:r>
      <w:r w:rsidRPr="00F575DA">
        <w:rPr>
          <w:lang w:val="mk-MK"/>
        </w:rPr>
        <w:t>единици</w:t>
      </w:r>
      <w:r>
        <w:rPr>
          <w:lang w:val="mk-MK"/>
        </w:rPr>
        <w:t xml:space="preserve"> и вработенит</w:t>
      </w:r>
      <w:r w:rsidR="00A51747">
        <w:rPr>
          <w:lang w:val="mk-MK"/>
        </w:rPr>
        <w:t>е во министерствата за стратешко</w:t>
      </w:r>
      <w:r>
        <w:rPr>
          <w:lang w:val="mk-MK"/>
        </w:rPr>
        <w:t xml:space="preserve"> и буџетско планирање и</w:t>
      </w:r>
      <w:r w:rsidRPr="00F575DA">
        <w:rPr>
          <w:lang w:val="mk-MK"/>
        </w:rPr>
        <w:t xml:space="preserve"> за воедначена и правилна подготовка, спроведување, евалуација и известување за реализацијата на </w:t>
      </w:r>
      <w:r>
        <w:rPr>
          <w:lang w:val="mk-MK"/>
        </w:rPr>
        <w:t>секторските и мултисекторските стратегии</w:t>
      </w:r>
      <w:r w:rsidRPr="00F575DA">
        <w:rPr>
          <w:lang w:val="mk-MK"/>
        </w:rPr>
        <w:t xml:space="preserve">. </w:t>
      </w:r>
      <w:r>
        <w:rPr>
          <w:lang w:val="mk-MK"/>
        </w:rPr>
        <w:t xml:space="preserve">За реализација на мерката ќе се унапредат </w:t>
      </w:r>
      <w:r w:rsidRPr="00DA5BB6">
        <w:rPr>
          <w:lang w:val="mk-MK"/>
        </w:rPr>
        <w:t>механизмите за ресорска и меѓу-ресорска координација и соработка</w:t>
      </w:r>
      <w:r>
        <w:rPr>
          <w:lang w:val="mk-MK"/>
        </w:rPr>
        <w:t xml:space="preserve">, како и адаптација на </w:t>
      </w:r>
      <w:r w:rsidRPr="00F575DA">
        <w:rPr>
          <w:lang w:val="mk-MK"/>
        </w:rPr>
        <w:t>електронскиот систем за стратешко планирање согласно новите подзаконски акти (</w:t>
      </w:r>
      <w:r>
        <w:rPr>
          <w:lang w:val="mk-MK"/>
        </w:rPr>
        <w:t xml:space="preserve">методологија и </w:t>
      </w:r>
      <w:r w:rsidRPr="00F575DA">
        <w:rPr>
          <w:lang w:val="mk-MK"/>
        </w:rPr>
        <w:t>упатств</w:t>
      </w:r>
      <w:r>
        <w:rPr>
          <w:lang w:val="mk-MK"/>
        </w:rPr>
        <w:t>о</w:t>
      </w:r>
      <w:r w:rsidRPr="00F575DA">
        <w:rPr>
          <w:lang w:val="mk-MK"/>
        </w:rPr>
        <w:t xml:space="preserve">) за </w:t>
      </w:r>
      <w:r>
        <w:rPr>
          <w:lang w:val="mk-MK"/>
        </w:rPr>
        <w:t>секторски</w:t>
      </w:r>
      <w:r w:rsidRPr="00F575DA">
        <w:rPr>
          <w:lang w:val="mk-MK"/>
        </w:rPr>
        <w:t xml:space="preserve"> стратегии и </w:t>
      </w:r>
      <w:r>
        <w:rPr>
          <w:lang w:val="mk-MK"/>
        </w:rPr>
        <w:t xml:space="preserve">надградба на </w:t>
      </w:r>
      <w:r w:rsidRPr="00F575DA">
        <w:rPr>
          <w:lang w:val="mk-MK"/>
        </w:rPr>
        <w:t xml:space="preserve">постојниот електронски систем за подготовка, следење и реализација на ГПРВ </w:t>
      </w:r>
      <w:r>
        <w:rPr>
          <w:lang w:val="mk-MK"/>
        </w:rPr>
        <w:t>и</w:t>
      </w:r>
      <w:r w:rsidRPr="00F575DA">
        <w:rPr>
          <w:lang w:val="mk-MK"/>
        </w:rPr>
        <w:t xml:space="preserve"> поврзување со планираните активности во НПА</w:t>
      </w:r>
      <w:r>
        <w:rPr>
          <w:lang w:val="mk-MK"/>
        </w:rPr>
        <w:t>А</w:t>
      </w:r>
      <w:r w:rsidRPr="00F575DA">
        <w:rPr>
          <w:lang w:val="mk-MK"/>
        </w:rPr>
        <w:t>.</w:t>
      </w:r>
      <w:r>
        <w:rPr>
          <w:lang w:val="mk-MK"/>
        </w:rPr>
        <w:t xml:space="preserve"> Преку воведување и редовно ажурирање на е</w:t>
      </w:r>
      <w:r w:rsidRPr="008E2DEA">
        <w:rPr>
          <w:lang w:val="mk-MK"/>
        </w:rPr>
        <w:t>лектронски регистар на секторски стратегии</w:t>
      </w:r>
      <w:r>
        <w:rPr>
          <w:lang w:val="mk-MK"/>
        </w:rPr>
        <w:t xml:space="preserve"> ќе се овозможи секторски пристап во планирањето.</w:t>
      </w:r>
    </w:p>
    <w:bookmarkEnd w:id="5"/>
    <w:p w14:paraId="33AB51F7" w14:textId="77777777" w:rsidR="00D2754F" w:rsidRPr="00F575DA" w:rsidRDefault="00D2754F" w:rsidP="00D2754F">
      <w:pPr>
        <w:jc w:val="both"/>
        <w:rPr>
          <w:highlight w:val="yellow"/>
          <w:lang w:val="mk-MK"/>
        </w:rPr>
      </w:pPr>
      <w:r>
        <w:rPr>
          <w:lang w:val="mk-MK"/>
        </w:rPr>
        <w:lastRenderedPageBreak/>
        <w:t>Воедно, со у</w:t>
      </w:r>
      <w:r w:rsidRPr="00CA129E">
        <w:rPr>
          <w:lang w:val="mk-MK"/>
        </w:rPr>
        <w:t>сво</w:t>
      </w:r>
      <w:r>
        <w:rPr>
          <w:lang w:val="mk-MK"/>
        </w:rPr>
        <w:t>јување на</w:t>
      </w:r>
      <w:r w:rsidRPr="00CA129E">
        <w:rPr>
          <w:lang w:val="mk-MK"/>
        </w:rPr>
        <w:t xml:space="preserve"> </w:t>
      </w:r>
      <w:r>
        <w:rPr>
          <w:lang w:val="mk-MK"/>
        </w:rPr>
        <w:t xml:space="preserve">нова </w:t>
      </w:r>
      <w:r w:rsidRPr="00CA129E">
        <w:rPr>
          <w:lang w:val="mk-MK"/>
        </w:rPr>
        <w:t>Методологија за подготовка на НПАА</w:t>
      </w:r>
      <w:r>
        <w:rPr>
          <w:lang w:val="mk-MK"/>
        </w:rPr>
        <w:t>, п</w:t>
      </w:r>
      <w:r w:rsidRPr="00CA129E">
        <w:rPr>
          <w:lang w:val="mk-MK"/>
        </w:rPr>
        <w:t>рограмирање</w:t>
      </w:r>
      <w:r>
        <w:rPr>
          <w:lang w:val="mk-MK"/>
        </w:rPr>
        <w:t>то</w:t>
      </w:r>
      <w:r w:rsidRPr="00CA129E">
        <w:rPr>
          <w:lang w:val="mk-MK"/>
        </w:rPr>
        <w:t xml:space="preserve"> на НПАА 202</w:t>
      </w:r>
      <w:r>
        <w:rPr>
          <w:lang w:val="mk-MK"/>
        </w:rPr>
        <w:t>3-2030</w:t>
      </w:r>
      <w:r w:rsidRPr="00CA129E">
        <w:rPr>
          <w:lang w:val="mk-MK"/>
        </w:rPr>
        <w:t xml:space="preserve"> и годишното ажурирање</w:t>
      </w:r>
      <w:r>
        <w:rPr>
          <w:lang w:val="mk-MK"/>
        </w:rPr>
        <w:t xml:space="preserve"> согласно</w:t>
      </w:r>
      <w:r w:rsidRPr="00CA129E">
        <w:rPr>
          <w:lang w:val="mk-MK"/>
        </w:rPr>
        <w:t xml:space="preserve"> </w:t>
      </w:r>
      <w:r>
        <w:rPr>
          <w:lang w:val="mk-MK"/>
        </w:rPr>
        <w:t xml:space="preserve">методолошките </w:t>
      </w:r>
      <w:r w:rsidRPr="00CA129E">
        <w:rPr>
          <w:lang w:val="mk-MK"/>
        </w:rPr>
        <w:t>насоки,</w:t>
      </w:r>
      <w:r>
        <w:rPr>
          <w:lang w:val="mk-MK"/>
        </w:rPr>
        <w:t xml:space="preserve"> ќе се унапреди планирањето на пристапниот процес,</w:t>
      </w:r>
      <w:r w:rsidRPr="00CA129E">
        <w:rPr>
          <w:lang w:val="mk-MK"/>
        </w:rPr>
        <w:t xml:space="preserve"> при што фокусот ќе се стави на активности за усогласување</w:t>
      </w:r>
      <w:r>
        <w:rPr>
          <w:lang w:val="mk-MK"/>
        </w:rPr>
        <w:t xml:space="preserve"> на националното законодавство </w:t>
      </w:r>
      <w:r w:rsidRPr="00CA129E">
        <w:rPr>
          <w:lang w:val="mk-MK"/>
        </w:rPr>
        <w:t xml:space="preserve">со </w:t>
      </w:r>
      <w:r>
        <w:rPr>
          <w:lang w:val="mk-MK"/>
        </w:rPr>
        <w:t xml:space="preserve">законодавството </w:t>
      </w:r>
      <w:r w:rsidRPr="00CA129E">
        <w:rPr>
          <w:lang w:val="mk-MK"/>
        </w:rPr>
        <w:t>на ЕУ</w:t>
      </w:r>
      <w:r>
        <w:rPr>
          <w:lang w:val="mk-MK"/>
        </w:rPr>
        <w:t xml:space="preserve"> како и другите приоритети кои ќе произлезат од </w:t>
      </w:r>
      <w:r w:rsidRPr="00CA129E">
        <w:rPr>
          <w:lang w:val="mk-MK"/>
        </w:rPr>
        <w:t>објаснувачки</w:t>
      </w:r>
      <w:r>
        <w:rPr>
          <w:lang w:val="mk-MK"/>
        </w:rPr>
        <w:t xml:space="preserve">от и  </w:t>
      </w:r>
      <w:r w:rsidRPr="00CA129E">
        <w:rPr>
          <w:lang w:val="mk-MK"/>
        </w:rPr>
        <w:t>билатералниот</w:t>
      </w:r>
      <w:r w:rsidRPr="00CA129E" w:rsidDel="0088027F">
        <w:rPr>
          <w:lang w:val="mk-MK"/>
        </w:rPr>
        <w:t xml:space="preserve"> </w:t>
      </w:r>
      <w:r w:rsidRPr="00CA129E">
        <w:rPr>
          <w:lang w:val="mk-MK"/>
        </w:rPr>
        <w:t>скрининг</w:t>
      </w:r>
      <w:r>
        <w:rPr>
          <w:lang w:val="mk-MK"/>
        </w:rPr>
        <w:t xml:space="preserve"> (</w:t>
      </w:r>
      <w:r w:rsidRPr="00CA129E">
        <w:rPr>
          <w:lang w:val="mk-MK"/>
        </w:rPr>
        <w:t>записници, препораки</w:t>
      </w:r>
      <w:r>
        <w:rPr>
          <w:lang w:val="mk-MK"/>
        </w:rPr>
        <w:t xml:space="preserve">, </w:t>
      </w:r>
      <w:r w:rsidRPr="00CA129E">
        <w:rPr>
          <w:lang w:val="mk-MK"/>
        </w:rPr>
        <w:t>прашалници и патокази</w:t>
      </w:r>
      <w:r>
        <w:rPr>
          <w:lang w:val="mk-MK"/>
        </w:rPr>
        <w:t>)</w:t>
      </w:r>
      <w:r w:rsidRPr="00CA129E" w:rsidDel="0088027F">
        <w:rPr>
          <w:lang w:val="mk-MK"/>
        </w:rPr>
        <w:t xml:space="preserve"> </w:t>
      </w:r>
      <w:r w:rsidRPr="00CA129E">
        <w:rPr>
          <w:lang w:val="mk-MK"/>
        </w:rPr>
        <w:t xml:space="preserve">препораките од </w:t>
      </w:r>
      <w:r w:rsidRPr="0088027F">
        <w:rPr>
          <w:lang w:val="mk-MK"/>
        </w:rPr>
        <w:t xml:space="preserve">годишните </w:t>
      </w:r>
      <w:r w:rsidRPr="0017630C">
        <w:rPr>
          <w:lang w:val="mk-MK"/>
        </w:rPr>
        <w:t>извештаи на ЕК</w:t>
      </w:r>
      <w:r w:rsidRPr="00CA129E">
        <w:rPr>
          <w:lang w:val="mk-MK"/>
        </w:rPr>
        <w:t xml:space="preserve">, обврските од состаноците на телата </w:t>
      </w:r>
      <w:r>
        <w:rPr>
          <w:lang w:val="mk-MK"/>
        </w:rPr>
        <w:t xml:space="preserve">формирани согласно </w:t>
      </w:r>
      <w:r w:rsidRPr="00CA129E">
        <w:rPr>
          <w:lang w:val="mk-MK"/>
        </w:rPr>
        <w:t xml:space="preserve">Спогодбата за стабилизација и асоцијација, оценските мисии, итн. </w:t>
      </w:r>
    </w:p>
    <w:p w14:paraId="4E744E2A" w14:textId="75F4D35E" w:rsidR="00D2754F" w:rsidRDefault="00D2754F" w:rsidP="00D2754F">
      <w:pPr>
        <w:jc w:val="both"/>
        <w:rPr>
          <w:lang w:val="mk-MK"/>
        </w:rPr>
      </w:pPr>
      <w:r w:rsidRPr="00604B7E">
        <w:rPr>
          <w:lang w:val="mk-MK"/>
        </w:rPr>
        <w:t>На овој начин, и со донесувањето на Националната развојна стратегија 2023-2043 ќе се воедначи целиот систем на долгорочно, среднорочно и годишно планирање</w:t>
      </w:r>
      <w:r w:rsidRPr="0017630C">
        <w:rPr>
          <w:lang w:val="mk-MK"/>
        </w:rPr>
        <w:t>,</w:t>
      </w:r>
      <w:r>
        <w:rPr>
          <w:lang w:val="mk-MK"/>
        </w:rPr>
        <w:t xml:space="preserve"> </w:t>
      </w:r>
      <w:r w:rsidRPr="00F575DA">
        <w:rPr>
          <w:lang w:val="mk-MK"/>
        </w:rPr>
        <w:t>со можности во реално време процесот да биде следен и да се укажува на евентуалните недоследности во неговото спроведување (до</w:t>
      </w:r>
      <w:r>
        <w:rPr>
          <w:lang w:val="mk-MK"/>
        </w:rPr>
        <w:t>ц</w:t>
      </w:r>
      <w:r w:rsidRPr="00F575DA">
        <w:rPr>
          <w:lang w:val="mk-MK"/>
        </w:rPr>
        <w:t>нење, преклопување на мерки и активности, обезбедување на буџетски средства и сл.) со што ќе се овозможи поголема прегледност</w:t>
      </w:r>
      <w:r>
        <w:rPr>
          <w:lang w:val="mk-MK"/>
        </w:rPr>
        <w:t xml:space="preserve">, </w:t>
      </w:r>
      <w:r w:rsidRPr="00F575DA">
        <w:rPr>
          <w:lang w:val="mk-MK"/>
        </w:rPr>
        <w:t>контрола</w:t>
      </w:r>
      <w:r>
        <w:rPr>
          <w:lang w:val="mk-MK"/>
        </w:rPr>
        <w:t xml:space="preserve"> и поврзување со буџетот</w:t>
      </w:r>
      <w:r w:rsidRPr="00F575DA">
        <w:rPr>
          <w:lang w:val="mk-MK"/>
        </w:rPr>
        <w:t>.</w:t>
      </w:r>
      <w:r w:rsidRPr="007937B7">
        <w:rPr>
          <w:lang w:val="mk-MK"/>
        </w:rPr>
        <w:t xml:space="preserve"> </w:t>
      </w:r>
      <w:r>
        <w:rPr>
          <w:lang w:val="mk-MK"/>
        </w:rPr>
        <w:t>Истовремено, овој систем ќе има влијание и врз подготовката и усогласувањето на планските документи на единиците на локална самоуправа.</w:t>
      </w:r>
    </w:p>
    <w:p w14:paraId="5EE78E80" w14:textId="0124B270" w:rsidR="00D2754F" w:rsidRDefault="00D2754F" w:rsidP="00D2754F">
      <w:pPr>
        <w:jc w:val="both"/>
        <w:rPr>
          <w:lang w:val="mk-MK"/>
        </w:rPr>
      </w:pPr>
      <w:r>
        <w:rPr>
          <w:lang w:val="mk-MK"/>
        </w:rPr>
        <w:t xml:space="preserve">Конечно, за постигнување на целите на мерката ќе се зајакне соработката на </w:t>
      </w:r>
      <w:r w:rsidR="00202BF0">
        <w:rPr>
          <w:lang w:val="mk-MK"/>
        </w:rPr>
        <w:t xml:space="preserve">ВРСМ </w:t>
      </w:r>
      <w:r>
        <w:rPr>
          <w:lang w:val="mk-MK"/>
        </w:rPr>
        <w:t xml:space="preserve">и </w:t>
      </w:r>
      <w:r w:rsidR="00C56181">
        <w:rPr>
          <w:lang w:val="mk-MK"/>
        </w:rPr>
        <w:t xml:space="preserve">СРСМ </w:t>
      </w:r>
      <w:r>
        <w:rPr>
          <w:lang w:val="mk-MK"/>
        </w:rPr>
        <w:t xml:space="preserve">во однос на планирањето и спроведувањето на законодавната агенда, заради предвидливост на работата на </w:t>
      </w:r>
      <w:r w:rsidR="00C56181">
        <w:rPr>
          <w:lang w:val="mk-MK"/>
        </w:rPr>
        <w:t>СРСМ</w:t>
      </w:r>
      <w:r w:rsidR="00807A03">
        <w:rPr>
          <w:lang w:val="mk-MK"/>
        </w:rPr>
        <w:t xml:space="preserve"> </w:t>
      </w:r>
      <w:r>
        <w:rPr>
          <w:lang w:val="mk-MK"/>
        </w:rPr>
        <w:t>и избегнување на носење закони по итна и скратена постапка.</w:t>
      </w:r>
    </w:p>
    <w:p w14:paraId="2559CA30" w14:textId="07FCB928" w:rsidR="00D2754F" w:rsidRPr="00827D92" w:rsidRDefault="00D2754F" w:rsidP="00D2754F">
      <w:pPr>
        <w:jc w:val="both"/>
        <w:rPr>
          <w:b/>
          <w:bCs/>
          <w:lang w:val="mk-MK"/>
        </w:rPr>
      </w:pPr>
      <w:r w:rsidRPr="00827D92">
        <w:rPr>
          <w:b/>
          <w:bCs/>
          <w:lang w:val="mk-MK"/>
        </w:rPr>
        <w:t>М</w:t>
      </w:r>
      <w:r>
        <w:rPr>
          <w:b/>
          <w:bCs/>
          <w:lang w:val="mk-MK"/>
        </w:rPr>
        <w:t xml:space="preserve"> 1.</w:t>
      </w:r>
      <w:r w:rsidR="00B951DF">
        <w:rPr>
          <w:b/>
          <w:bCs/>
          <w:lang w:val="mk-MK"/>
        </w:rPr>
        <w:t>1.</w:t>
      </w:r>
      <w:r w:rsidRPr="00827D92">
        <w:rPr>
          <w:b/>
          <w:bCs/>
          <w:lang w:val="mk-MK"/>
        </w:rPr>
        <w:t>2</w:t>
      </w:r>
      <w:r>
        <w:rPr>
          <w:b/>
          <w:bCs/>
          <w:lang w:val="mk-MK"/>
        </w:rPr>
        <w:t>.</w:t>
      </w:r>
      <w:r w:rsidRPr="00827D92">
        <w:rPr>
          <w:b/>
          <w:bCs/>
          <w:lang w:val="mk-MK"/>
        </w:rPr>
        <w:t xml:space="preserve">: Унапредување на системот на координација на политики и одлучување на </w:t>
      </w:r>
      <w:r w:rsidR="002F55EA">
        <w:rPr>
          <w:b/>
          <w:bCs/>
          <w:lang w:val="mk-MK"/>
        </w:rPr>
        <w:t>ВРСМ</w:t>
      </w:r>
      <w:r w:rsidR="002F55EA" w:rsidRPr="00827D92">
        <w:rPr>
          <w:b/>
          <w:bCs/>
          <w:lang w:val="mk-MK"/>
        </w:rPr>
        <w:t xml:space="preserve"> </w:t>
      </w:r>
    </w:p>
    <w:p w14:paraId="00AE4F9C" w14:textId="156123C1" w:rsidR="00D2754F" w:rsidRDefault="00D2754F" w:rsidP="00D2754F">
      <w:pPr>
        <w:jc w:val="both"/>
        <w:rPr>
          <w:lang w:val="mk-MK"/>
        </w:rPr>
      </w:pPr>
      <w:r>
        <w:rPr>
          <w:lang w:val="mk-MK"/>
        </w:rPr>
        <w:t xml:space="preserve">Констатираните слабости во координацијата на политиките и одлучувањето на </w:t>
      </w:r>
      <w:r w:rsidR="00202BF0">
        <w:rPr>
          <w:lang w:val="mk-MK"/>
        </w:rPr>
        <w:t xml:space="preserve">ВРСМ </w:t>
      </w:r>
      <w:r>
        <w:rPr>
          <w:lang w:val="mk-MK"/>
        </w:rPr>
        <w:t xml:space="preserve">ќе бидат надминати најпрво со подобрување на правната рамка преку усвојување </w:t>
      </w:r>
      <w:r w:rsidRPr="00CF2AA4">
        <w:rPr>
          <w:lang w:val="mk-MK"/>
        </w:rPr>
        <w:t xml:space="preserve">на нов Деловник за работа на Владата </w:t>
      </w:r>
      <w:r>
        <w:rPr>
          <w:lang w:val="mk-MK"/>
        </w:rPr>
        <w:t xml:space="preserve">на Република Северна Македонија заради операционализација на функциите и подобрена координација помеѓу органите кои го сочинуваат „Центарот на Владата“, а воедно ќе </w:t>
      </w:r>
      <w:r w:rsidRPr="00CF2AA4">
        <w:rPr>
          <w:lang w:val="mk-MK"/>
        </w:rPr>
        <w:t>се подобри тр</w:t>
      </w:r>
      <w:r>
        <w:rPr>
          <w:lang w:val="mk-MK"/>
        </w:rPr>
        <w:t>а</w:t>
      </w:r>
      <w:r w:rsidRPr="00CF2AA4">
        <w:rPr>
          <w:lang w:val="mk-MK"/>
        </w:rPr>
        <w:t xml:space="preserve">нспарентноста и </w:t>
      </w:r>
      <w:r>
        <w:rPr>
          <w:lang w:val="mk-MK"/>
        </w:rPr>
        <w:t xml:space="preserve">ефикасноста на </w:t>
      </w:r>
      <w:r w:rsidRPr="00CF2AA4">
        <w:rPr>
          <w:lang w:val="mk-MK"/>
        </w:rPr>
        <w:t xml:space="preserve">системот на одлучување на </w:t>
      </w:r>
      <w:r w:rsidR="00202BF0">
        <w:rPr>
          <w:lang w:val="mk-MK"/>
        </w:rPr>
        <w:t>ВРСМ</w:t>
      </w:r>
      <w:r>
        <w:rPr>
          <w:lang w:val="mk-MK"/>
        </w:rPr>
        <w:t>. Понатаму, ќе се зајакнат капацитетите на Г</w:t>
      </w:r>
      <w:r w:rsidR="00D806DD">
        <w:rPr>
          <w:lang w:val="mk-MK"/>
        </w:rPr>
        <w:t>С</w:t>
      </w:r>
      <w:r>
        <w:rPr>
          <w:lang w:val="mk-MK"/>
        </w:rPr>
        <w:t xml:space="preserve"> за суштинска контрола на квалитетот на политиките и прописите и ќе се воспостави механизам за следење на донесувањето во предвидениот рок на подзаконските акти потребни за ефективна примена на законите. Со надградба на системот Е-Влада </w:t>
      </w:r>
      <w:r w:rsidRPr="007B7ABF">
        <w:rPr>
          <w:lang w:val="mk-MK"/>
        </w:rPr>
        <w:t>ќе се обезбед</w:t>
      </w:r>
      <w:r>
        <w:rPr>
          <w:lang w:val="mk-MK"/>
        </w:rPr>
        <w:t>и целосна дигитализација на процесите и поедноставување на работата</w:t>
      </w:r>
      <w:r w:rsidRPr="007B7ABF">
        <w:rPr>
          <w:lang w:val="mk-MK"/>
        </w:rPr>
        <w:t xml:space="preserve"> на </w:t>
      </w:r>
      <w:r w:rsidR="00DD7EC8">
        <w:rPr>
          <w:lang w:val="mk-MK"/>
        </w:rPr>
        <w:t>ГС</w:t>
      </w:r>
      <w:r>
        <w:rPr>
          <w:lang w:val="mk-MK"/>
        </w:rPr>
        <w:t>, како и поврзување со дигиталните платформи: е-Парламент, Службен весник на Р</w:t>
      </w:r>
      <w:r w:rsidR="00A51747">
        <w:rPr>
          <w:lang w:val="mk-MK"/>
        </w:rPr>
        <w:t xml:space="preserve">епублика </w:t>
      </w:r>
      <w:r>
        <w:rPr>
          <w:lang w:val="mk-MK"/>
        </w:rPr>
        <w:t>С</w:t>
      </w:r>
      <w:r w:rsidR="00A51747">
        <w:rPr>
          <w:lang w:val="mk-MK"/>
        </w:rPr>
        <w:t xml:space="preserve">еверна </w:t>
      </w:r>
      <w:r>
        <w:rPr>
          <w:lang w:val="mk-MK"/>
        </w:rPr>
        <w:t>М</w:t>
      </w:r>
      <w:r w:rsidR="00A51747">
        <w:rPr>
          <w:lang w:val="mk-MK"/>
        </w:rPr>
        <w:t>акедонија</w:t>
      </w:r>
      <w:r>
        <w:rPr>
          <w:lang w:val="mk-MK"/>
        </w:rPr>
        <w:t>, НПАА и ЕНЕР.</w:t>
      </w:r>
    </w:p>
    <w:p w14:paraId="3A30C1AE" w14:textId="77777777" w:rsidR="00D2754F" w:rsidRDefault="00D2754F" w:rsidP="00D2754F">
      <w:pPr>
        <w:jc w:val="both"/>
        <w:rPr>
          <w:lang w:val="mk-MK"/>
        </w:rPr>
      </w:pPr>
      <w:r>
        <w:rPr>
          <w:lang w:val="mk-MK"/>
        </w:rPr>
        <w:t xml:space="preserve">Во делот на унапредување на системот на координација на пристапниот процес и </w:t>
      </w:r>
      <w:r w:rsidRPr="00577ABA">
        <w:rPr>
          <w:lang w:val="mk-MK"/>
        </w:rPr>
        <w:t>обезбедување на непречено функционирање</w:t>
      </w:r>
      <w:r>
        <w:rPr>
          <w:lang w:val="mk-MK"/>
        </w:rPr>
        <w:t>,</w:t>
      </w:r>
      <w:r w:rsidRPr="00577ABA">
        <w:rPr>
          <w:lang w:val="mk-MK"/>
        </w:rPr>
        <w:t xml:space="preserve"> </w:t>
      </w:r>
      <w:r>
        <w:rPr>
          <w:lang w:val="mk-MK"/>
        </w:rPr>
        <w:t xml:space="preserve">координација и </w:t>
      </w:r>
      <w:r w:rsidRPr="0093495D">
        <w:rPr>
          <w:lang w:val="mk-MK"/>
        </w:rPr>
        <w:t xml:space="preserve">следење на </w:t>
      </w:r>
      <w:r>
        <w:rPr>
          <w:lang w:val="mk-MK"/>
        </w:rPr>
        <w:t xml:space="preserve">работата на телата од Преговарачката структура, ќе се подготват </w:t>
      </w:r>
      <w:r w:rsidRPr="00577ABA">
        <w:rPr>
          <w:lang w:val="mk-MK"/>
        </w:rPr>
        <w:t>п</w:t>
      </w:r>
      <w:r>
        <w:rPr>
          <w:lang w:val="mk-MK"/>
        </w:rPr>
        <w:t>равилници, протоколи, упатства и урнеци</w:t>
      </w:r>
      <w:r w:rsidRPr="00D84813">
        <w:rPr>
          <w:lang w:val="mk-MK"/>
        </w:rPr>
        <w:t>.</w:t>
      </w:r>
      <w:r>
        <w:rPr>
          <w:lang w:val="mk-MK"/>
        </w:rPr>
        <w:t xml:space="preserve"> </w:t>
      </w:r>
    </w:p>
    <w:p w14:paraId="6A6DD127" w14:textId="2D9609C9" w:rsidR="00D2754F" w:rsidRPr="00827D92" w:rsidRDefault="00D2754F" w:rsidP="00D2754F">
      <w:pPr>
        <w:jc w:val="both"/>
        <w:rPr>
          <w:b/>
          <w:bCs/>
          <w:lang w:val="mk-MK"/>
        </w:rPr>
      </w:pPr>
      <w:r w:rsidRPr="00827D92">
        <w:rPr>
          <w:b/>
          <w:bCs/>
          <w:lang w:val="mk-MK"/>
        </w:rPr>
        <w:t>М</w:t>
      </w:r>
      <w:r>
        <w:rPr>
          <w:b/>
          <w:bCs/>
          <w:lang w:val="mk-MK"/>
        </w:rPr>
        <w:t xml:space="preserve"> 1.</w:t>
      </w:r>
      <w:r w:rsidR="00B951DF">
        <w:rPr>
          <w:b/>
          <w:bCs/>
          <w:lang w:val="mk-MK"/>
        </w:rPr>
        <w:t>1.</w:t>
      </w:r>
      <w:r w:rsidRPr="00827D92">
        <w:rPr>
          <w:b/>
          <w:bCs/>
          <w:lang w:val="mk-MK"/>
        </w:rPr>
        <w:t>3</w:t>
      </w:r>
      <w:r>
        <w:rPr>
          <w:b/>
          <w:bCs/>
          <w:lang w:val="mk-MK"/>
        </w:rPr>
        <w:t>.</w:t>
      </w:r>
      <w:r w:rsidRPr="00827D92">
        <w:rPr>
          <w:b/>
          <w:bCs/>
          <w:lang w:val="mk-MK"/>
        </w:rPr>
        <w:t xml:space="preserve">: </w:t>
      </w:r>
      <w:r>
        <w:rPr>
          <w:b/>
          <w:bCs/>
          <w:lang w:val="mk-MK"/>
        </w:rPr>
        <w:t>Квалитетно</w:t>
      </w:r>
      <w:r w:rsidRPr="00827D92">
        <w:rPr>
          <w:b/>
          <w:bCs/>
          <w:lang w:val="mk-MK"/>
        </w:rPr>
        <w:t xml:space="preserve"> транспонирање на правото на ЕУ во националното законодавство</w:t>
      </w:r>
    </w:p>
    <w:p w14:paraId="33B8617D" w14:textId="1B5D7344" w:rsidR="008C751E" w:rsidRDefault="00D2754F" w:rsidP="00D2754F">
      <w:pPr>
        <w:jc w:val="both"/>
        <w:rPr>
          <w:lang w:val="mk-MK"/>
        </w:rPr>
      </w:pPr>
      <w:r>
        <w:rPr>
          <w:lang w:val="mk-MK"/>
        </w:rPr>
        <w:t>За реализација на оваа мерка</w:t>
      </w:r>
      <w:r w:rsidR="001C0934">
        <w:rPr>
          <w:lang w:val="mk-MK"/>
        </w:rPr>
        <w:t xml:space="preserve">, односно за квалитетно </w:t>
      </w:r>
      <w:r w:rsidR="001C0934" w:rsidRPr="001C0934">
        <w:rPr>
          <w:lang w:val="mk-MK"/>
        </w:rPr>
        <w:t>транспонирање на правото на ЕУ во националното законодавство</w:t>
      </w:r>
      <w:r w:rsidR="001C0934">
        <w:rPr>
          <w:lang w:val="mk-MK"/>
        </w:rPr>
        <w:t>, а имајќи ја предвид новата Методологија на ЕУ за проширување,</w:t>
      </w:r>
      <w:r>
        <w:rPr>
          <w:lang w:val="mk-MK"/>
        </w:rPr>
        <w:t xml:space="preserve"> </w:t>
      </w:r>
      <w:r w:rsidR="001C0934">
        <w:rPr>
          <w:lang w:val="mk-MK"/>
        </w:rPr>
        <w:t xml:space="preserve">потребно е да се обезбедат  </w:t>
      </w:r>
      <w:r>
        <w:rPr>
          <w:lang w:val="mk-MK"/>
        </w:rPr>
        <w:t>обуки и стручно усовршување на вработените на С</w:t>
      </w:r>
      <w:r w:rsidR="007A331C">
        <w:rPr>
          <w:lang w:val="mk-MK"/>
        </w:rPr>
        <w:t>З</w:t>
      </w:r>
      <w:r w:rsidR="008C751E">
        <w:rPr>
          <w:lang w:val="mk-MK"/>
        </w:rPr>
        <w:t>, особено</w:t>
      </w:r>
      <w:r w:rsidR="001C0934" w:rsidRPr="001C0934">
        <w:t xml:space="preserve"> </w:t>
      </w:r>
      <w:r w:rsidR="001C0934" w:rsidRPr="001C0934">
        <w:rPr>
          <w:lang w:val="mk-MK"/>
        </w:rPr>
        <w:t>за транспонирање на правото на ЕУ во националното законодавство</w:t>
      </w:r>
      <w:r>
        <w:rPr>
          <w:lang w:val="mk-MK"/>
        </w:rPr>
        <w:t xml:space="preserve">, </w:t>
      </w:r>
      <w:r w:rsidR="001C0934">
        <w:rPr>
          <w:lang w:val="mk-MK"/>
        </w:rPr>
        <w:t xml:space="preserve">со оглед дека СЗ </w:t>
      </w:r>
      <w:r>
        <w:rPr>
          <w:lang w:val="mk-MK"/>
        </w:rPr>
        <w:t xml:space="preserve"> се грижи за обезбедување на конзистентноста на правниот систем и дава стручни мислења за усогласување на предлозите на законите и на другите прописи со Уставот на Република Северна Македонија, со </w:t>
      </w:r>
      <w:r>
        <w:rPr>
          <w:lang w:val="mk-MK"/>
        </w:rPr>
        <w:lastRenderedPageBreak/>
        <w:t>законодавството на Е</w:t>
      </w:r>
      <w:r w:rsidR="007A331C">
        <w:rPr>
          <w:lang w:val="mk-MK"/>
        </w:rPr>
        <w:t>У</w:t>
      </w:r>
      <w:r>
        <w:rPr>
          <w:lang w:val="mk-MK"/>
        </w:rPr>
        <w:t xml:space="preserve"> и со меѓународните договори ратификувани во согласност со Уставот</w:t>
      </w:r>
      <w:r w:rsidR="00DD7EC8">
        <w:rPr>
          <w:lang w:val="mk-MK"/>
        </w:rPr>
        <w:t xml:space="preserve"> </w:t>
      </w:r>
      <w:r w:rsidR="00807A03">
        <w:rPr>
          <w:lang w:val="mk-MK"/>
        </w:rPr>
        <w:t>Република Северна Македонија</w:t>
      </w:r>
      <w:r w:rsidR="001C0934">
        <w:rPr>
          <w:lang w:val="mk-MK"/>
        </w:rPr>
        <w:t xml:space="preserve">. </w:t>
      </w:r>
    </w:p>
    <w:p w14:paraId="11FDBCD5" w14:textId="072CB80D" w:rsidR="00D2754F" w:rsidRDefault="001C0934" w:rsidP="00D2754F">
      <w:pPr>
        <w:jc w:val="both"/>
        <w:rPr>
          <w:lang w:val="mk-MK"/>
        </w:rPr>
      </w:pPr>
      <w:r>
        <w:rPr>
          <w:lang w:val="mk-MK"/>
        </w:rPr>
        <w:t xml:space="preserve">По завршување на обуките и стручното усовршување на вработените во Секретаријатот за законодавство предвидено е </w:t>
      </w:r>
      <w:r w:rsidR="008C751E">
        <w:rPr>
          <w:lang w:val="mk-MK"/>
        </w:rPr>
        <w:t xml:space="preserve">вработените во СЗ да го споделат своето знаење и искуство преку одржување на </w:t>
      </w:r>
      <w:r>
        <w:rPr>
          <w:lang w:val="mk-MK"/>
        </w:rPr>
        <w:t>обуки</w:t>
      </w:r>
      <w:r w:rsidR="008C751E">
        <w:rPr>
          <w:lang w:val="mk-MK"/>
        </w:rPr>
        <w:t xml:space="preserve"> </w:t>
      </w:r>
      <w:r w:rsidR="008C751E" w:rsidRPr="008C751E">
        <w:rPr>
          <w:lang w:val="mk-MK"/>
        </w:rPr>
        <w:t>за номотехнички правила и за транспонирање на правото на ЕУ во националното законодавство</w:t>
      </w:r>
      <w:r>
        <w:rPr>
          <w:lang w:val="mk-MK"/>
        </w:rPr>
        <w:t xml:space="preserve"> </w:t>
      </w:r>
      <w:r w:rsidR="008C751E">
        <w:rPr>
          <w:lang w:val="mk-MK"/>
        </w:rPr>
        <w:t xml:space="preserve">за </w:t>
      </w:r>
      <w:r w:rsidR="008C751E" w:rsidRPr="008C751E">
        <w:rPr>
          <w:lang w:val="mk-MK"/>
        </w:rPr>
        <w:t>сите органи на државна управа кои се јавуваат како предлагачи на правни акти усогласени со законодавството на ЕУ</w:t>
      </w:r>
      <w:r w:rsidR="008C751E">
        <w:rPr>
          <w:lang w:val="mk-MK"/>
        </w:rPr>
        <w:t xml:space="preserve">, </w:t>
      </w:r>
      <w:r>
        <w:rPr>
          <w:lang w:val="mk-MK"/>
        </w:rPr>
        <w:t>со материјална и техничка поддршка од ГС</w:t>
      </w:r>
      <w:r w:rsidR="008C751E">
        <w:rPr>
          <w:lang w:val="mk-MK"/>
        </w:rPr>
        <w:t>.</w:t>
      </w:r>
      <w:r w:rsidR="00D2754F">
        <w:rPr>
          <w:lang w:val="mk-MK"/>
        </w:rPr>
        <w:t xml:space="preserve"> </w:t>
      </w:r>
    </w:p>
    <w:p w14:paraId="4E41EDED" w14:textId="4FC0362E" w:rsidR="00D2754F" w:rsidRDefault="00D2754F" w:rsidP="00D2754F">
      <w:pPr>
        <w:jc w:val="both"/>
        <w:rPr>
          <w:lang w:val="mk-MK"/>
        </w:rPr>
      </w:pPr>
      <w:r w:rsidRPr="00381FD5">
        <w:rPr>
          <w:lang w:val="mk-MK"/>
        </w:rPr>
        <w:t>Квалитетна и навремена подготовка на правото на ЕУ е предуслов, како за преговорите</w:t>
      </w:r>
      <w:r w:rsidR="00095624">
        <w:rPr>
          <w:lang w:val="mk-MK"/>
        </w:rPr>
        <w:t>,</w:t>
      </w:r>
      <w:r w:rsidRPr="00381FD5">
        <w:rPr>
          <w:lang w:val="mk-MK"/>
        </w:rPr>
        <w:t xml:space="preserve"> така и за севкупниот процес на европската интеграција на државата. </w:t>
      </w:r>
      <w:r>
        <w:rPr>
          <w:lang w:val="mk-MK"/>
        </w:rPr>
        <w:t>Но,</w:t>
      </w:r>
      <w:r w:rsidRPr="00381FD5">
        <w:rPr>
          <w:lang w:val="mk-MK"/>
        </w:rPr>
        <w:t xml:space="preserve"> неговото усвојување е услов, а не предмет на преговарање со Унијата, оттука, преводот</w:t>
      </w:r>
      <w:r>
        <w:rPr>
          <w:lang w:val="mk-MK"/>
        </w:rPr>
        <w:t xml:space="preserve"> </w:t>
      </w:r>
      <w:r w:rsidRPr="00381FD5">
        <w:rPr>
          <w:lang w:val="mk-MK"/>
        </w:rPr>
        <w:t>на правото на ЕУ</w:t>
      </w:r>
      <w:r>
        <w:rPr>
          <w:lang w:val="mk-MK"/>
        </w:rPr>
        <w:t xml:space="preserve"> (во сите негови фази)</w:t>
      </w:r>
      <w:r w:rsidRPr="00381FD5">
        <w:rPr>
          <w:lang w:val="mk-MK"/>
        </w:rPr>
        <w:t xml:space="preserve"> претставува наша обврска која мора да биде извршена со највисок квалитет и да се одвива континуирано</w:t>
      </w:r>
      <w:r>
        <w:rPr>
          <w:lang w:val="mk-MK"/>
        </w:rPr>
        <w:t xml:space="preserve">. Квалитетната транспозиција, не претставува само номотехничко прашање, туку и прецизно пренесување на правните концепти од европското законодавство на македонски јазик заради постигнување на ист правен ефект и униформно важење на правото. </w:t>
      </w:r>
    </w:p>
    <w:p w14:paraId="52517FED" w14:textId="25F04BBB" w:rsidR="00D2754F" w:rsidRDefault="00D2754F" w:rsidP="00D2754F">
      <w:pPr>
        <w:jc w:val="both"/>
        <w:rPr>
          <w:lang w:val="mk-MK"/>
        </w:rPr>
      </w:pPr>
      <w:r>
        <w:rPr>
          <w:lang w:val="mk-MK"/>
        </w:rPr>
        <w:t>Системот на превод на правото на ЕУ е воспоставен и се одвива преку внатрешни ресурси во СЕП и надворешни економски оператори, со буџетот на СЕП, но и преку други проекти</w:t>
      </w:r>
      <w:r w:rsidR="00465999">
        <w:rPr>
          <w:rStyle w:val="FootnoteReference"/>
          <w:lang w:val="mk-MK"/>
        </w:rPr>
        <w:footnoteReference w:id="75"/>
      </w:r>
      <w:r w:rsidR="00465999">
        <w:rPr>
          <w:lang w:val="mk-MK"/>
        </w:rPr>
        <w:t xml:space="preserve">. </w:t>
      </w:r>
      <w:r>
        <w:rPr>
          <w:lang w:val="mk-MK"/>
        </w:rPr>
        <w:t>Процесот на преведување на правото на ЕУ е мултидисциплинарен проект, кој поминува низ четири фази – превод, јазична ревизија, стручна и правна ревизија и верификација, но во моментов се одвиваат само првите две фази од истиот. Заради квалитетна транспозиција на правото на ЕУ во националниот систем, неопходно е најитно воспоставување и одржување на ефикасен систем за подготовка на националната верзија на а</w:t>
      </w:r>
      <w:r>
        <w:t>cquis</w:t>
      </w:r>
      <w:r>
        <w:rPr>
          <w:lang w:val="mk-MK"/>
        </w:rPr>
        <w:t xml:space="preserve"> и во третата и четвртата фаза од процесот. Тоа би значело формирање на тело (комитети, работни групи или сл.) за стручна и правна ревизија на терминологијата од веќе преведените акти – како од примарното, така и од секундарното законодавство и потоа тело за верификација на терминологијата, со цел да се комплетира процесот на подготовка на националната верзија на правото на ЕУ.</w:t>
      </w:r>
    </w:p>
    <w:p w14:paraId="1BA59758" w14:textId="0AF39136" w:rsidR="00D2754F" w:rsidRDefault="00D2754F" w:rsidP="00D2754F">
      <w:pPr>
        <w:jc w:val="both"/>
        <w:rPr>
          <w:lang w:val="mk-MK"/>
        </w:rPr>
      </w:pPr>
      <w:r>
        <w:rPr>
          <w:lang w:val="mk-MK"/>
        </w:rPr>
        <w:t xml:space="preserve">Конечно, во рамките на оваа мерка ќе се изврши и  анализа на </w:t>
      </w:r>
      <w:r w:rsidRPr="00893233">
        <w:rPr>
          <w:lang w:val="mk-MK"/>
        </w:rPr>
        <w:t>прописите кои содржат одредб</w:t>
      </w:r>
      <w:r>
        <w:rPr>
          <w:lang w:val="mk-MK"/>
        </w:rPr>
        <w:t>и</w:t>
      </w:r>
      <w:r w:rsidRPr="00893233">
        <w:rPr>
          <w:lang w:val="mk-MK"/>
        </w:rPr>
        <w:t xml:space="preserve"> за одложна примена </w:t>
      </w:r>
      <w:r>
        <w:rPr>
          <w:lang w:val="mk-MK"/>
        </w:rPr>
        <w:t xml:space="preserve">или за престанување на важење </w:t>
      </w:r>
      <w:r w:rsidRPr="00893233">
        <w:rPr>
          <w:lang w:val="mk-MK"/>
        </w:rPr>
        <w:t xml:space="preserve">со денот на пристапување на </w:t>
      </w:r>
      <w:r w:rsidR="00DD7EC8">
        <w:rPr>
          <w:lang w:val="mk-MK"/>
        </w:rPr>
        <w:t xml:space="preserve">РСМ </w:t>
      </w:r>
      <w:r w:rsidRPr="00893233">
        <w:rPr>
          <w:lang w:val="mk-MK"/>
        </w:rPr>
        <w:t>во Е</w:t>
      </w:r>
      <w:r w:rsidR="007D1767">
        <w:rPr>
          <w:lang w:val="mk-MK"/>
        </w:rPr>
        <w:t>У</w:t>
      </w:r>
      <w:r>
        <w:rPr>
          <w:lang w:val="mk-MK"/>
        </w:rPr>
        <w:t>, со цел да се добие појасна слика за степенот на усогласеност со правото на ЕУ.</w:t>
      </w:r>
    </w:p>
    <w:p w14:paraId="6A45A69E" w14:textId="02F65DB4" w:rsidR="00D2754F" w:rsidRPr="00827D92" w:rsidRDefault="00D2754F" w:rsidP="00D2754F">
      <w:pPr>
        <w:jc w:val="both"/>
        <w:rPr>
          <w:b/>
          <w:lang w:val="mk-MK"/>
        </w:rPr>
      </w:pPr>
      <w:r w:rsidRPr="00827D92">
        <w:rPr>
          <w:b/>
          <w:lang w:val="mk-MK"/>
        </w:rPr>
        <w:t>М</w:t>
      </w:r>
      <w:r w:rsidR="0004290D">
        <w:rPr>
          <w:b/>
          <w:lang w:val="mk-MK"/>
        </w:rPr>
        <w:t>ерка</w:t>
      </w:r>
      <w:r>
        <w:rPr>
          <w:b/>
          <w:lang w:val="mk-MK"/>
        </w:rPr>
        <w:t xml:space="preserve"> 1.</w:t>
      </w:r>
      <w:r w:rsidR="00B951DF">
        <w:rPr>
          <w:b/>
          <w:lang w:val="mk-MK"/>
        </w:rPr>
        <w:t>1.</w:t>
      </w:r>
      <w:r w:rsidRPr="00827D92">
        <w:rPr>
          <w:b/>
          <w:lang w:val="mk-MK"/>
        </w:rPr>
        <w:t>4</w:t>
      </w:r>
      <w:r>
        <w:rPr>
          <w:b/>
          <w:lang w:val="mk-MK"/>
        </w:rPr>
        <w:t>.</w:t>
      </w:r>
      <w:r w:rsidRPr="00827D92">
        <w:rPr>
          <w:b/>
          <w:lang w:val="mk-MK"/>
        </w:rPr>
        <w:t>: Ефективно и доследно спроведување на процесот на ПВР</w:t>
      </w:r>
    </w:p>
    <w:p w14:paraId="0D15ECEB" w14:textId="318401D9" w:rsidR="00D2754F" w:rsidRDefault="00D2754F" w:rsidP="00D2754F">
      <w:pPr>
        <w:spacing w:after="0" w:line="240" w:lineRule="auto"/>
        <w:jc w:val="both"/>
        <w:rPr>
          <w:lang w:val="mk-MK"/>
        </w:rPr>
      </w:pPr>
      <w:r>
        <w:rPr>
          <w:lang w:val="mk-MK"/>
        </w:rPr>
        <w:t xml:space="preserve">Од особена важност е зајакнувањето на човечките ресурси одговорни за подготовка, но и проверка на содржината на извештаите за ПВР. Извештаите за ПВР ќе станат задолжителен дел од документацијата која заедно со предлог законите ќе се доставува до </w:t>
      </w:r>
      <w:r w:rsidR="00C56181">
        <w:rPr>
          <w:lang w:val="mk-MK"/>
        </w:rPr>
        <w:t>СРСМ</w:t>
      </w:r>
      <w:r>
        <w:rPr>
          <w:lang w:val="mk-MK"/>
        </w:rPr>
        <w:t xml:space="preserve">, со што ќе се зајакне обврската на министерствата за нивна квалитетна и навремена подготовка. </w:t>
      </w:r>
    </w:p>
    <w:p w14:paraId="1D2EADF8" w14:textId="77777777" w:rsidR="00D2754F" w:rsidRDefault="00D2754F" w:rsidP="00D2754F">
      <w:pPr>
        <w:spacing w:after="0" w:line="240" w:lineRule="auto"/>
        <w:jc w:val="both"/>
        <w:rPr>
          <w:lang w:val="mk-MK"/>
        </w:rPr>
      </w:pPr>
    </w:p>
    <w:p w14:paraId="22D4B838" w14:textId="47120F57" w:rsidR="00D2754F" w:rsidRPr="009E1F19" w:rsidRDefault="00D2754F" w:rsidP="00D2754F">
      <w:pPr>
        <w:spacing w:after="0" w:line="240" w:lineRule="auto"/>
        <w:jc w:val="both"/>
        <w:rPr>
          <w:iCs/>
          <w:lang w:val="mk-MK"/>
        </w:rPr>
      </w:pPr>
      <w:r>
        <w:rPr>
          <w:lang w:val="mk-MK"/>
        </w:rPr>
        <w:t xml:space="preserve">Заради поквалитетно спроведување на процесот на ПВР, ќе се олесни и воедначи процесот на ПВР во министерствата преку активности од оперативен и нормативен карактер, како пропишување на </w:t>
      </w:r>
      <w:r w:rsidRPr="008F7928">
        <w:rPr>
          <w:lang w:val="mk-MK"/>
        </w:rPr>
        <w:t>ј</w:t>
      </w:r>
      <w:r w:rsidRPr="008F7928">
        <w:rPr>
          <w:iCs/>
          <w:lang w:val="mk-MK"/>
        </w:rPr>
        <w:t>асни правила и процедури за планирање, спроведување и следење на процесот на ПВР</w:t>
      </w:r>
      <w:r>
        <w:rPr>
          <w:iCs/>
          <w:lang w:val="mk-MK"/>
        </w:rPr>
        <w:t xml:space="preserve">, а ќе се воспостави и директна врска помеѓу </w:t>
      </w:r>
      <w:r>
        <w:rPr>
          <w:iCs/>
        </w:rPr>
        <w:t xml:space="preserve">ex-ante </w:t>
      </w:r>
      <w:r>
        <w:rPr>
          <w:iCs/>
          <w:lang w:val="mk-MK"/>
        </w:rPr>
        <w:t xml:space="preserve">и </w:t>
      </w:r>
      <w:r>
        <w:rPr>
          <w:iCs/>
        </w:rPr>
        <w:t xml:space="preserve">ex-post </w:t>
      </w:r>
      <w:r>
        <w:rPr>
          <w:iCs/>
          <w:lang w:val="mk-MK"/>
        </w:rPr>
        <w:t>анализата. Опсегот на процесот на ПВР</w:t>
      </w:r>
      <w:r w:rsidR="000F7EC2">
        <w:rPr>
          <w:iCs/>
          <w:lang w:val="mk-MK"/>
        </w:rPr>
        <w:t xml:space="preserve"> </w:t>
      </w:r>
      <w:r w:rsidR="000F7EC2">
        <w:rPr>
          <w:iCs/>
          <w:lang w:val="mk-MK"/>
        </w:rPr>
        <w:lastRenderedPageBreak/>
        <w:t xml:space="preserve">постепено </w:t>
      </w:r>
      <w:r>
        <w:rPr>
          <w:iCs/>
          <w:lang w:val="mk-MK"/>
        </w:rPr>
        <w:t xml:space="preserve"> ќе се прошири и на подзаконските акти со што ќе се обезбеди анализа на степенот на оптовареноста и трошоците кои се наметнуваат преку прописите за граѓаните и деловните субјекти. Воедно, во рамки на процесот на реорганизација, јасно ќе се </w:t>
      </w:r>
      <w:r w:rsidRPr="008F7928">
        <w:rPr>
          <w:iCs/>
          <w:lang w:val="mk-MK"/>
        </w:rPr>
        <w:t>постав</w:t>
      </w:r>
      <w:r>
        <w:rPr>
          <w:iCs/>
          <w:lang w:val="mk-MK"/>
        </w:rPr>
        <w:t xml:space="preserve">и </w:t>
      </w:r>
      <w:r w:rsidRPr="008F7928">
        <w:rPr>
          <w:iCs/>
          <w:lang w:val="mk-MK"/>
        </w:rPr>
        <w:t xml:space="preserve">институционалната одговорност за централно управување со процесот </w:t>
      </w:r>
      <w:r>
        <w:rPr>
          <w:iCs/>
          <w:lang w:val="mk-MK"/>
        </w:rPr>
        <w:t>на</w:t>
      </w:r>
      <w:r w:rsidRPr="008F7928">
        <w:rPr>
          <w:iCs/>
          <w:lang w:val="mk-MK"/>
        </w:rPr>
        <w:t xml:space="preserve"> ПВР</w:t>
      </w:r>
      <w:r w:rsidR="007D1767">
        <w:rPr>
          <w:iCs/>
          <w:lang w:val="mk-MK"/>
        </w:rPr>
        <w:t>,</w:t>
      </w:r>
      <w:r w:rsidRPr="008F7928">
        <w:rPr>
          <w:iCs/>
          <w:lang w:val="mk-MK"/>
        </w:rPr>
        <w:t xml:space="preserve"> </w:t>
      </w:r>
      <w:r>
        <w:rPr>
          <w:iCs/>
          <w:lang w:val="mk-MK"/>
        </w:rPr>
        <w:t>во Г</w:t>
      </w:r>
      <w:r w:rsidR="007D1767">
        <w:rPr>
          <w:iCs/>
          <w:lang w:val="mk-MK"/>
        </w:rPr>
        <w:t>С</w:t>
      </w:r>
      <w:r>
        <w:rPr>
          <w:iCs/>
          <w:lang w:val="mk-MK"/>
        </w:rPr>
        <w:t xml:space="preserve"> </w:t>
      </w:r>
      <w:r w:rsidRPr="008F7928">
        <w:rPr>
          <w:iCs/>
          <w:lang w:val="mk-MK"/>
        </w:rPr>
        <w:t xml:space="preserve">со мандат за процедурална и квалитативна оценка на </w:t>
      </w:r>
      <w:r>
        <w:rPr>
          <w:iCs/>
          <w:lang w:val="mk-MK"/>
        </w:rPr>
        <w:t>п</w:t>
      </w:r>
      <w:r w:rsidRPr="008F7928">
        <w:rPr>
          <w:iCs/>
          <w:lang w:val="mk-MK"/>
        </w:rPr>
        <w:t>роценките спроведени од страна на министерствата, редовна поддршка на државните службеници во министерствата преку обезбедување совети и спроведување на активности за јакнење на знаењата и капацитетите за спроведување на ПВР и обезбедување на електронски алатки за поддршка.</w:t>
      </w:r>
    </w:p>
    <w:p w14:paraId="56E2F9A6" w14:textId="77777777" w:rsidR="00D2754F" w:rsidRDefault="00D2754F" w:rsidP="00D2754F">
      <w:pPr>
        <w:jc w:val="both"/>
        <w:rPr>
          <w:b/>
          <w:bCs/>
          <w:lang w:val="mk-MK"/>
        </w:rPr>
      </w:pPr>
    </w:p>
    <w:p w14:paraId="449CC91A" w14:textId="2DF05210" w:rsidR="00D2754F" w:rsidRPr="00D2754F" w:rsidRDefault="00D2754F" w:rsidP="00D2754F">
      <w:pPr>
        <w:jc w:val="both"/>
        <w:rPr>
          <w:b/>
          <w:bCs/>
          <w:lang w:val="mk-MK"/>
        </w:rPr>
      </w:pPr>
      <w:r w:rsidRPr="00D2754F">
        <w:rPr>
          <w:b/>
          <w:bCs/>
          <w:lang w:val="mk-MK"/>
        </w:rPr>
        <w:t>М 1.</w:t>
      </w:r>
      <w:r w:rsidR="00B951DF">
        <w:rPr>
          <w:b/>
          <w:bCs/>
          <w:lang w:val="mk-MK"/>
        </w:rPr>
        <w:t>1.</w:t>
      </w:r>
      <w:r w:rsidRPr="00D2754F">
        <w:rPr>
          <w:b/>
          <w:bCs/>
          <w:lang w:val="mk-MK"/>
        </w:rPr>
        <w:t xml:space="preserve">5.: Подобрен квалитет и достапност на статистички податоци за креирање политики базирани на докази </w:t>
      </w:r>
    </w:p>
    <w:p w14:paraId="4DDBC0E9" w14:textId="77777777" w:rsidR="00D2754F" w:rsidRDefault="00D2754F" w:rsidP="00D2754F">
      <w:pPr>
        <w:jc w:val="both"/>
        <w:rPr>
          <w:lang w:val="mk-MK"/>
        </w:rPr>
      </w:pPr>
      <w:r w:rsidRPr="00F5637D">
        <w:rPr>
          <w:lang w:val="mk-MK"/>
        </w:rPr>
        <w:t>Со оваа мерка ќе се</w:t>
      </w:r>
      <w:r w:rsidRPr="00CD1AF0">
        <w:rPr>
          <w:b/>
          <w:bCs/>
          <w:lang w:val="mk-MK"/>
        </w:rPr>
        <w:t xml:space="preserve"> </w:t>
      </w:r>
      <w:r>
        <w:rPr>
          <w:lang w:val="mk-MK"/>
        </w:rPr>
        <w:t>по</w:t>
      </w:r>
      <w:r w:rsidRPr="002773C9">
        <w:rPr>
          <w:lang w:val="mk-MK"/>
        </w:rPr>
        <w:t>доб</w:t>
      </w:r>
      <w:r>
        <w:rPr>
          <w:lang w:val="mk-MK"/>
        </w:rPr>
        <w:t>ри</w:t>
      </w:r>
      <w:r w:rsidRPr="002773C9">
        <w:rPr>
          <w:lang w:val="mk-MK"/>
        </w:rPr>
        <w:t xml:space="preserve"> квалитетот, квантитетот и достапноста на официјални статистики</w:t>
      </w:r>
      <w:r>
        <w:rPr>
          <w:lang w:val="mk-MK"/>
        </w:rPr>
        <w:t xml:space="preserve">, преку зголемување на статистичката продукција и бројот на објавени сетови како на  Макстат базата на податоци на Државниот завод за статистика, така и кај останатите носители во националниот статистички систем. На овој начин ќе се зголеми расположливоста, достапноста и видливоста на податоците кои ќе можат да се користат за спроведување на анализи при подготвување на јавните политики и прописите. Воедно, ќе се подигне </w:t>
      </w:r>
      <w:r w:rsidRPr="002773C9">
        <w:rPr>
          <w:lang w:val="mk-MK"/>
        </w:rPr>
        <w:t>статистичката писменост за користење на статистички податоци, првенствено кај министерствата и другите органи на државна управа, кои ќе се</w:t>
      </w:r>
      <w:r w:rsidRPr="005111C6">
        <w:rPr>
          <w:lang w:val="mk-MK"/>
        </w:rPr>
        <w:t xml:space="preserve"> обучат како да пристапат и како да ги искористат објавените податоци. </w:t>
      </w:r>
    </w:p>
    <w:p w14:paraId="03DAE3CC" w14:textId="0902C94C" w:rsidR="00C1585A" w:rsidRPr="00C1585A" w:rsidRDefault="00C1585A" w:rsidP="00D2754F">
      <w:pPr>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tbl>
      <w:tblPr>
        <w:tblStyle w:val="TableGrid"/>
        <w:tblW w:w="0" w:type="auto"/>
        <w:tblLook w:val="04A0" w:firstRow="1" w:lastRow="0" w:firstColumn="1" w:lastColumn="0" w:noHBand="0" w:noVBand="1"/>
      </w:tblPr>
      <w:tblGrid>
        <w:gridCol w:w="5395"/>
        <w:gridCol w:w="1350"/>
        <w:gridCol w:w="1260"/>
        <w:gridCol w:w="1345"/>
      </w:tblGrid>
      <w:tr w:rsidR="00C1585A" w:rsidRPr="00933133" w14:paraId="4DE09FEA" w14:textId="77777777" w:rsidTr="002C7FE7">
        <w:tc>
          <w:tcPr>
            <w:tcW w:w="9350" w:type="dxa"/>
            <w:gridSpan w:val="4"/>
            <w:tcBorders>
              <w:top w:val="single" w:sz="12" w:space="0" w:color="auto"/>
            </w:tcBorders>
            <w:shd w:val="clear" w:color="auto" w:fill="D9E2F3" w:themeFill="accent1" w:themeFillTint="33"/>
          </w:tcPr>
          <w:p w14:paraId="7872241F" w14:textId="36963514" w:rsidR="00C1585A" w:rsidRPr="00933133" w:rsidRDefault="00C1585A" w:rsidP="00EC7C0D">
            <w:pPr>
              <w:jc w:val="both"/>
              <w:rPr>
                <w:highlight w:val="yellow"/>
                <w:lang w:val="mk-MK"/>
              </w:rPr>
            </w:pPr>
            <w:r w:rsidRPr="00933133">
              <w:rPr>
                <w:rFonts w:ascii="Calibri" w:hAnsi="Calibri" w:cs="Calibri"/>
                <w:b/>
                <w:bCs/>
                <w:color w:val="000000"/>
                <w:u w:val="single"/>
              </w:rPr>
              <w:t>Посебна цел 1</w:t>
            </w:r>
            <w:r w:rsidR="00B951DF">
              <w:rPr>
                <w:rFonts w:ascii="Calibri" w:hAnsi="Calibri" w:cs="Calibri"/>
                <w:b/>
                <w:bCs/>
                <w:color w:val="000000"/>
                <w:u w:val="single"/>
                <w:lang w:val="mk-MK"/>
              </w:rPr>
              <w:t>.1.</w:t>
            </w:r>
            <w:r w:rsidRPr="00933133">
              <w:rPr>
                <w:rFonts w:ascii="Calibri" w:hAnsi="Calibri" w:cs="Calibri"/>
                <w:b/>
                <w:bCs/>
                <w:color w:val="000000"/>
                <w:u w:val="single"/>
                <w:lang w:val="mk-MK"/>
              </w:rPr>
              <w:t>:</w:t>
            </w:r>
            <w:r w:rsidRPr="00933133">
              <w:rPr>
                <w:rFonts w:ascii="Calibri" w:hAnsi="Calibri" w:cs="Calibri"/>
                <w:b/>
                <w:bCs/>
                <w:color w:val="000000"/>
                <w:u w:val="single"/>
              </w:rPr>
              <w:t xml:space="preserve"> </w:t>
            </w:r>
            <w:r w:rsidRPr="00933133">
              <w:rPr>
                <w:rFonts w:ascii="Calibri" w:hAnsi="Calibri" w:cs="Calibri"/>
                <w:b/>
                <w:bCs/>
                <w:color w:val="000000"/>
              </w:rPr>
              <w:t>Воспоставен конзистентен и функционален систем за креирање политики и донесување закони</w:t>
            </w:r>
          </w:p>
        </w:tc>
      </w:tr>
      <w:tr w:rsidR="00C1585A" w:rsidRPr="00933133" w14:paraId="2A716603" w14:textId="77777777" w:rsidTr="002C7FE7">
        <w:tc>
          <w:tcPr>
            <w:tcW w:w="5395" w:type="dxa"/>
            <w:vMerge w:val="restart"/>
            <w:shd w:val="clear" w:color="auto" w:fill="D9E2F3" w:themeFill="accent1" w:themeFillTint="33"/>
            <w:vAlign w:val="center"/>
          </w:tcPr>
          <w:p w14:paraId="3D63A827" w14:textId="77777777" w:rsidR="00C1585A" w:rsidRPr="00933133" w:rsidRDefault="00C1585A" w:rsidP="00EC7C0D">
            <w:pPr>
              <w:jc w:val="center"/>
              <w:rPr>
                <w:rFonts w:ascii="Calibri" w:hAnsi="Calibri" w:cs="Calibri"/>
                <w:color w:val="000000"/>
                <w:lang w:val="mk-MK"/>
              </w:rPr>
            </w:pPr>
          </w:p>
          <w:p w14:paraId="3336B955"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 исход:</w:t>
            </w:r>
          </w:p>
        </w:tc>
        <w:tc>
          <w:tcPr>
            <w:tcW w:w="1350" w:type="dxa"/>
            <w:tcBorders>
              <w:bottom w:val="nil"/>
              <w:right w:val="nil"/>
            </w:tcBorders>
            <w:shd w:val="clear" w:color="auto" w:fill="D9E2F3" w:themeFill="accent1" w:themeFillTint="33"/>
          </w:tcPr>
          <w:p w14:paraId="5570D190" w14:textId="77777777" w:rsidR="00C1585A" w:rsidRPr="00933133" w:rsidRDefault="00C1585A" w:rsidP="00EC7C0D">
            <w:pPr>
              <w:jc w:val="center"/>
              <w:rPr>
                <w:rFonts w:ascii="Calibri" w:hAnsi="Calibri" w:cs="Calibri"/>
                <w:color w:val="000000"/>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6424596D" w14:textId="77777777" w:rsidR="00C1585A" w:rsidRPr="00933133" w:rsidRDefault="00C1585A" w:rsidP="00EC7C0D">
            <w:pPr>
              <w:jc w:val="center"/>
              <w:rPr>
                <w:rFonts w:ascii="Calibri" w:hAnsi="Calibri" w:cs="Calibri"/>
                <w:color w:val="000000"/>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61879BD0" w14:textId="77777777" w:rsidR="00C1585A" w:rsidRPr="00933133" w:rsidRDefault="00C1585A" w:rsidP="00EC7C0D">
            <w:pPr>
              <w:jc w:val="center"/>
              <w:rPr>
                <w:highlight w:val="yellow"/>
                <w:lang w:val="mk-MK"/>
              </w:rPr>
            </w:pPr>
            <w:r w:rsidRPr="00933133">
              <w:rPr>
                <w:b/>
                <w:bCs/>
                <w:lang w:val="mk-MK"/>
              </w:rPr>
              <w:t>Крајна вредност</w:t>
            </w:r>
          </w:p>
        </w:tc>
      </w:tr>
      <w:tr w:rsidR="00C1585A" w:rsidRPr="0033370A" w14:paraId="5D24275F" w14:textId="77777777" w:rsidTr="002C7FE7">
        <w:tc>
          <w:tcPr>
            <w:tcW w:w="5395" w:type="dxa"/>
            <w:vMerge/>
            <w:shd w:val="clear" w:color="auto" w:fill="D9E2F3" w:themeFill="accent1" w:themeFillTint="33"/>
          </w:tcPr>
          <w:p w14:paraId="5B6346B2" w14:textId="77777777" w:rsidR="00C1585A" w:rsidRPr="00933133" w:rsidRDefault="00C1585A" w:rsidP="00EC7C0D">
            <w:pPr>
              <w:rPr>
                <w:rFonts w:ascii="Calibri" w:hAnsi="Calibri" w:cs="Calibri"/>
                <w:color w:val="000000"/>
              </w:rPr>
            </w:pPr>
          </w:p>
        </w:tc>
        <w:tc>
          <w:tcPr>
            <w:tcW w:w="1350" w:type="dxa"/>
            <w:tcBorders>
              <w:top w:val="nil"/>
              <w:right w:val="nil"/>
            </w:tcBorders>
            <w:shd w:val="clear" w:color="auto" w:fill="D9E2F3" w:themeFill="accent1" w:themeFillTint="33"/>
          </w:tcPr>
          <w:p w14:paraId="0A9C110E"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2021</w:t>
            </w:r>
          </w:p>
        </w:tc>
        <w:tc>
          <w:tcPr>
            <w:tcW w:w="1260" w:type="dxa"/>
            <w:tcBorders>
              <w:top w:val="nil"/>
              <w:left w:val="nil"/>
              <w:right w:val="nil"/>
            </w:tcBorders>
            <w:shd w:val="clear" w:color="auto" w:fill="D9E2F3" w:themeFill="accent1" w:themeFillTint="33"/>
          </w:tcPr>
          <w:p w14:paraId="2046F944"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5DD55B80" w14:textId="77777777" w:rsidR="00C1585A" w:rsidRPr="0033370A" w:rsidRDefault="00C1585A" w:rsidP="00EC7C0D">
            <w:pPr>
              <w:jc w:val="center"/>
              <w:rPr>
                <w:b/>
                <w:bCs/>
                <w:lang w:val="mk-MK"/>
              </w:rPr>
            </w:pPr>
            <w:r w:rsidRPr="0033370A">
              <w:rPr>
                <w:b/>
                <w:bCs/>
                <w:lang w:val="mk-MK"/>
              </w:rPr>
              <w:t>2030</w:t>
            </w:r>
          </w:p>
        </w:tc>
      </w:tr>
      <w:tr w:rsidR="00C1585A" w:rsidRPr="0033370A" w14:paraId="1287629B" w14:textId="77777777" w:rsidTr="002C7FE7">
        <w:trPr>
          <w:trHeight w:val="665"/>
        </w:trPr>
        <w:tc>
          <w:tcPr>
            <w:tcW w:w="5395" w:type="dxa"/>
            <w:shd w:val="clear" w:color="auto" w:fill="D9E2F3" w:themeFill="accent1" w:themeFillTint="33"/>
          </w:tcPr>
          <w:p w14:paraId="4F075A9A" w14:textId="77777777" w:rsidR="00C1585A" w:rsidRPr="000D20B1" w:rsidRDefault="00C1585A" w:rsidP="00EC7C0D">
            <w:pPr>
              <w:rPr>
                <w:rFonts w:ascii="Calibri" w:hAnsi="Calibri" w:cs="Calibri"/>
                <w:color w:val="000000"/>
                <w:sz w:val="20"/>
                <w:szCs w:val="20"/>
              </w:rPr>
            </w:pPr>
            <w:r w:rsidRPr="000D20B1">
              <w:rPr>
                <w:rFonts w:ascii="Calibri" w:hAnsi="Calibri" w:cs="Calibri"/>
                <w:color w:val="000000"/>
                <w:sz w:val="20"/>
                <w:szCs w:val="20"/>
              </w:rPr>
              <w:t>Показател на квалитет на прописите (Regulatory Quality) - ранг на Светска Банка</w:t>
            </w:r>
          </w:p>
        </w:tc>
        <w:tc>
          <w:tcPr>
            <w:tcW w:w="1350" w:type="dxa"/>
            <w:shd w:val="clear" w:color="auto" w:fill="D9E2F3" w:themeFill="accent1" w:themeFillTint="33"/>
            <w:vAlign w:val="center"/>
          </w:tcPr>
          <w:p w14:paraId="682B9FC8"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0,4</w:t>
            </w:r>
          </w:p>
        </w:tc>
        <w:tc>
          <w:tcPr>
            <w:tcW w:w="1260" w:type="dxa"/>
            <w:shd w:val="clear" w:color="auto" w:fill="D9E2F3" w:themeFill="accent1" w:themeFillTint="33"/>
            <w:vAlign w:val="center"/>
          </w:tcPr>
          <w:p w14:paraId="6C9DB3B0"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0,5</w:t>
            </w:r>
          </w:p>
        </w:tc>
        <w:tc>
          <w:tcPr>
            <w:tcW w:w="1345" w:type="dxa"/>
            <w:shd w:val="clear" w:color="auto" w:fill="D9E2F3" w:themeFill="accent1" w:themeFillTint="33"/>
            <w:vAlign w:val="center"/>
          </w:tcPr>
          <w:p w14:paraId="790366B0" w14:textId="2C9B5125" w:rsidR="00C1585A" w:rsidRPr="0033370A" w:rsidRDefault="00385B81" w:rsidP="00EC7C0D">
            <w:pPr>
              <w:jc w:val="center"/>
              <w:rPr>
                <w:sz w:val="20"/>
                <w:szCs w:val="20"/>
                <w:lang w:val="mk-MK"/>
              </w:rPr>
            </w:pPr>
            <w:r w:rsidRPr="00FD03E7">
              <w:rPr>
                <w:sz w:val="20"/>
                <w:szCs w:val="20"/>
                <w:lang w:val="mk-MK"/>
              </w:rPr>
              <w:t>0,7</w:t>
            </w:r>
          </w:p>
        </w:tc>
      </w:tr>
      <w:tr w:rsidR="00C1585A" w:rsidRPr="00933133" w14:paraId="68FDC7D9" w14:textId="77777777" w:rsidTr="002C7FE7">
        <w:trPr>
          <w:trHeight w:val="647"/>
        </w:trPr>
        <w:tc>
          <w:tcPr>
            <w:tcW w:w="9350" w:type="dxa"/>
            <w:gridSpan w:val="4"/>
            <w:shd w:val="clear" w:color="auto" w:fill="D9E2F3" w:themeFill="accent1" w:themeFillTint="33"/>
          </w:tcPr>
          <w:p w14:paraId="6EDE80BD" w14:textId="12DA94DC" w:rsidR="00C1585A" w:rsidRPr="00933133" w:rsidRDefault="00C1585A" w:rsidP="00EC7C0D">
            <w:pPr>
              <w:jc w:val="both"/>
              <w:rPr>
                <w:highlight w:val="yellow"/>
                <w:lang w:val="mk-MK"/>
              </w:rPr>
            </w:pPr>
            <w:r w:rsidRPr="00186921">
              <w:rPr>
                <w:rFonts w:cstheme="minorHAnsi"/>
                <w:b/>
              </w:rPr>
              <w:t>М</w:t>
            </w:r>
            <w:r>
              <w:rPr>
                <w:rFonts w:cstheme="minorHAnsi"/>
                <w:b/>
                <w:lang w:val="mk-MK"/>
              </w:rPr>
              <w:t xml:space="preserve">ерка </w:t>
            </w:r>
            <w:r w:rsidRPr="00186921">
              <w:rPr>
                <w:rFonts w:cstheme="minorHAnsi"/>
                <w:b/>
              </w:rPr>
              <w:t>1.1.</w:t>
            </w:r>
            <w:r w:rsidR="00B951DF">
              <w:rPr>
                <w:rFonts w:cstheme="minorHAnsi"/>
                <w:b/>
                <w:lang w:val="mk-MK"/>
              </w:rPr>
              <w:t>1.</w:t>
            </w:r>
            <w:r w:rsidRPr="00186921">
              <w:rPr>
                <w:rFonts w:cstheme="minorHAnsi"/>
                <w:b/>
                <w:lang w:val="mk-MK"/>
              </w:rPr>
              <w:t xml:space="preserve"> </w:t>
            </w:r>
            <w:r w:rsidRPr="00186921">
              <w:rPr>
                <w:rFonts w:cstheme="minorHAnsi"/>
                <w:b/>
              </w:rPr>
              <w:t>Развивање и одржување на функционален механизам за усогласување на долгорочното со среднорочното и годишното планирање</w:t>
            </w:r>
          </w:p>
        </w:tc>
      </w:tr>
      <w:tr w:rsidR="00C1585A" w:rsidRPr="00186921" w14:paraId="303FC015" w14:textId="77777777" w:rsidTr="002C7FE7">
        <w:tc>
          <w:tcPr>
            <w:tcW w:w="5395" w:type="dxa"/>
            <w:vMerge w:val="restart"/>
            <w:shd w:val="clear" w:color="auto" w:fill="D9E2F3" w:themeFill="accent1" w:themeFillTint="33"/>
            <w:vAlign w:val="center"/>
          </w:tcPr>
          <w:p w14:paraId="6AE8ACF7" w14:textId="77777777" w:rsidR="00C1585A" w:rsidRPr="00186921" w:rsidRDefault="00C1585A" w:rsidP="00EC7C0D">
            <w:pPr>
              <w:jc w:val="center"/>
              <w:rPr>
                <w:rFonts w:cstheme="minorHAnsi"/>
                <w:b/>
              </w:rPr>
            </w:pPr>
            <w:r w:rsidRPr="00186921">
              <w:rPr>
                <w:rFonts w:ascii="Calibri" w:hAnsi="Calibri" w:cs="Calibri"/>
                <w:b/>
                <w:bCs/>
                <w:color w:val="000000"/>
                <w:lang w:val="mk-MK"/>
              </w:rPr>
              <w:t>Показатели на резултат:</w:t>
            </w:r>
          </w:p>
        </w:tc>
        <w:tc>
          <w:tcPr>
            <w:tcW w:w="1350" w:type="dxa"/>
            <w:tcBorders>
              <w:bottom w:val="nil"/>
              <w:right w:val="nil"/>
            </w:tcBorders>
            <w:shd w:val="clear" w:color="auto" w:fill="D9E2F3" w:themeFill="accent1" w:themeFillTint="33"/>
          </w:tcPr>
          <w:p w14:paraId="7B407776" w14:textId="77777777" w:rsidR="00C1585A" w:rsidRPr="00186921"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7333F442" w14:textId="77777777" w:rsidR="00C1585A" w:rsidRPr="00186921"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2B2E74B3" w14:textId="77777777" w:rsidR="00C1585A" w:rsidRPr="00186921" w:rsidRDefault="00C1585A" w:rsidP="00EC7C0D">
            <w:pPr>
              <w:jc w:val="center"/>
              <w:rPr>
                <w:highlight w:val="yellow"/>
                <w:lang w:val="mk-MK"/>
              </w:rPr>
            </w:pPr>
            <w:r w:rsidRPr="00933133">
              <w:rPr>
                <w:b/>
                <w:bCs/>
                <w:lang w:val="mk-MK"/>
              </w:rPr>
              <w:t>Крајна вредност</w:t>
            </w:r>
          </w:p>
        </w:tc>
      </w:tr>
      <w:tr w:rsidR="00C1585A" w:rsidRPr="0033370A" w14:paraId="613CE67D" w14:textId="77777777" w:rsidTr="002C7FE7">
        <w:tc>
          <w:tcPr>
            <w:tcW w:w="5395" w:type="dxa"/>
            <w:vMerge/>
            <w:shd w:val="clear" w:color="auto" w:fill="D9E2F3" w:themeFill="accent1" w:themeFillTint="33"/>
          </w:tcPr>
          <w:p w14:paraId="18B8C34B" w14:textId="77777777" w:rsidR="00C1585A" w:rsidRPr="00186921" w:rsidRDefault="00C1585A" w:rsidP="00EC7C0D">
            <w:pPr>
              <w:rPr>
                <w:rFonts w:cstheme="minorHAnsi"/>
                <w:b/>
              </w:rPr>
            </w:pPr>
          </w:p>
        </w:tc>
        <w:tc>
          <w:tcPr>
            <w:tcW w:w="1350" w:type="dxa"/>
            <w:tcBorders>
              <w:top w:val="nil"/>
              <w:right w:val="nil"/>
            </w:tcBorders>
            <w:shd w:val="clear" w:color="auto" w:fill="D9E2F3" w:themeFill="accent1" w:themeFillTint="33"/>
          </w:tcPr>
          <w:p w14:paraId="0328C9AD" w14:textId="77777777" w:rsidR="00C1585A" w:rsidRPr="00186921" w:rsidRDefault="00C1585A" w:rsidP="00EC7C0D">
            <w:pPr>
              <w:jc w:val="center"/>
              <w:rPr>
                <w:rFonts w:ascii="Calibri" w:hAnsi="Calibri" w:cs="Calibri"/>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60" w:type="dxa"/>
            <w:tcBorders>
              <w:top w:val="nil"/>
              <w:left w:val="nil"/>
              <w:right w:val="nil"/>
            </w:tcBorders>
            <w:shd w:val="clear" w:color="auto" w:fill="D9E2F3" w:themeFill="accent1" w:themeFillTint="33"/>
          </w:tcPr>
          <w:p w14:paraId="4ECD9284" w14:textId="77777777" w:rsidR="00C1585A" w:rsidRPr="00186921"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3F7AB34A" w14:textId="77777777" w:rsidR="00C1585A" w:rsidRPr="0033370A" w:rsidRDefault="00C1585A" w:rsidP="00EC7C0D">
            <w:pPr>
              <w:jc w:val="center"/>
              <w:rPr>
                <w:lang w:val="mk-MK"/>
              </w:rPr>
            </w:pPr>
            <w:r w:rsidRPr="0033370A">
              <w:rPr>
                <w:b/>
                <w:bCs/>
                <w:lang w:val="mk-MK"/>
              </w:rPr>
              <w:t>2030</w:t>
            </w:r>
          </w:p>
        </w:tc>
      </w:tr>
      <w:tr w:rsidR="00C1585A" w:rsidRPr="0033370A" w14:paraId="63DD74AE" w14:textId="77777777" w:rsidTr="002C7FE7">
        <w:tc>
          <w:tcPr>
            <w:tcW w:w="5395" w:type="dxa"/>
            <w:shd w:val="clear" w:color="auto" w:fill="D9E2F3" w:themeFill="accent1" w:themeFillTint="33"/>
          </w:tcPr>
          <w:p w14:paraId="7863239F" w14:textId="77777777" w:rsidR="00C1585A" w:rsidRPr="000D20B1" w:rsidRDefault="00C1585A" w:rsidP="00EC7C0D">
            <w:pPr>
              <w:rPr>
                <w:rFonts w:cstheme="minorHAnsi"/>
                <w:b/>
                <w:sz w:val="20"/>
                <w:szCs w:val="20"/>
              </w:rPr>
            </w:pPr>
            <w:r w:rsidRPr="000D20B1">
              <w:rPr>
                <w:rFonts w:cstheme="minorHAnsi"/>
                <w:sz w:val="20"/>
                <w:szCs w:val="20"/>
              </w:rPr>
              <w:t xml:space="preserve">Процент на секторски стратегии што се целосно усогласени со методолошките критериуми       </w:t>
            </w:r>
          </w:p>
        </w:tc>
        <w:tc>
          <w:tcPr>
            <w:tcW w:w="1350" w:type="dxa"/>
            <w:shd w:val="clear" w:color="auto" w:fill="D9E2F3" w:themeFill="accent1" w:themeFillTint="33"/>
            <w:vAlign w:val="center"/>
          </w:tcPr>
          <w:p w14:paraId="0E5A7F47"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Ќе се измери во 2023</w:t>
            </w:r>
          </w:p>
        </w:tc>
        <w:tc>
          <w:tcPr>
            <w:tcW w:w="1260" w:type="dxa"/>
            <w:shd w:val="clear" w:color="auto" w:fill="D9E2F3" w:themeFill="accent1" w:themeFillTint="33"/>
            <w:vAlign w:val="center"/>
          </w:tcPr>
          <w:p w14:paraId="40D18BA7"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90%</w:t>
            </w:r>
          </w:p>
        </w:tc>
        <w:tc>
          <w:tcPr>
            <w:tcW w:w="1345" w:type="dxa"/>
            <w:shd w:val="clear" w:color="auto" w:fill="D9E2F3" w:themeFill="accent1" w:themeFillTint="33"/>
            <w:vAlign w:val="center"/>
          </w:tcPr>
          <w:p w14:paraId="41E75CBC" w14:textId="77777777" w:rsidR="00C1585A" w:rsidRPr="0033370A" w:rsidRDefault="00C1585A" w:rsidP="00EC7C0D">
            <w:pPr>
              <w:jc w:val="center"/>
              <w:rPr>
                <w:sz w:val="20"/>
                <w:szCs w:val="20"/>
                <w:lang w:val="mk-MK"/>
              </w:rPr>
            </w:pPr>
            <w:r w:rsidRPr="0033370A">
              <w:rPr>
                <w:sz w:val="20"/>
                <w:szCs w:val="20"/>
                <w:lang w:val="mk-MK"/>
              </w:rPr>
              <w:t>100%</w:t>
            </w:r>
          </w:p>
        </w:tc>
      </w:tr>
      <w:tr w:rsidR="00C1585A" w:rsidRPr="000D20B1" w14:paraId="058F364E" w14:textId="77777777" w:rsidTr="002C7FE7">
        <w:trPr>
          <w:trHeight w:val="845"/>
        </w:trPr>
        <w:tc>
          <w:tcPr>
            <w:tcW w:w="5395" w:type="dxa"/>
            <w:shd w:val="clear" w:color="auto" w:fill="D9E2F3" w:themeFill="accent1" w:themeFillTint="33"/>
          </w:tcPr>
          <w:p w14:paraId="41D235FD" w14:textId="77777777" w:rsidR="00C1585A" w:rsidRPr="000D20B1" w:rsidRDefault="00C1585A" w:rsidP="00EC7C0D">
            <w:pPr>
              <w:rPr>
                <w:rFonts w:cstheme="minorHAnsi"/>
                <w:sz w:val="20"/>
                <w:szCs w:val="20"/>
              </w:rPr>
            </w:pPr>
            <w:r w:rsidRPr="000D20B1">
              <w:rPr>
                <w:rFonts w:cstheme="minorHAnsi"/>
                <w:sz w:val="20"/>
                <w:szCs w:val="20"/>
              </w:rPr>
              <w:t>Процент на извештаи за спроведување на секторски стратегии што се целосно усогласени со методолошките критериуми</w:t>
            </w:r>
          </w:p>
        </w:tc>
        <w:tc>
          <w:tcPr>
            <w:tcW w:w="1350" w:type="dxa"/>
            <w:shd w:val="clear" w:color="auto" w:fill="D9E2F3" w:themeFill="accent1" w:themeFillTint="33"/>
            <w:vAlign w:val="center"/>
          </w:tcPr>
          <w:p w14:paraId="386E11A3"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Ќе се измери во 2023</w:t>
            </w:r>
          </w:p>
        </w:tc>
        <w:tc>
          <w:tcPr>
            <w:tcW w:w="1260" w:type="dxa"/>
            <w:shd w:val="clear" w:color="auto" w:fill="D9E2F3" w:themeFill="accent1" w:themeFillTint="33"/>
            <w:vAlign w:val="center"/>
          </w:tcPr>
          <w:p w14:paraId="71A7752D"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90%</w:t>
            </w:r>
          </w:p>
        </w:tc>
        <w:tc>
          <w:tcPr>
            <w:tcW w:w="1345" w:type="dxa"/>
            <w:shd w:val="clear" w:color="auto" w:fill="D9E2F3" w:themeFill="accent1" w:themeFillTint="33"/>
            <w:vAlign w:val="center"/>
          </w:tcPr>
          <w:p w14:paraId="40472CD1" w14:textId="77777777" w:rsidR="00C1585A" w:rsidRPr="000D20B1" w:rsidRDefault="00C1585A" w:rsidP="00EC7C0D">
            <w:pPr>
              <w:jc w:val="center"/>
              <w:rPr>
                <w:sz w:val="20"/>
                <w:szCs w:val="20"/>
                <w:highlight w:val="yellow"/>
                <w:lang w:val="mk-MK"/>
              </w:rPr>
            </w:pPr>
            <w:r w:rsidRPr="0033370A">
              <w:rPr>
                <w:sz w:val="20"/>
                <w:szCs w:val="20"/>
                <w:lang w:val="mk-MK"/>
              </w:rPr>
              <w:t>100%</w:t>
            </w:r>
          </w:p>
        </w:tc>
      </w:tr>
      <w:tr w:rsidR="00C1585A" w:rsidRPr="0033370A" w14:paraId="742EB88D" w14:textId="77777777" w:rsidTr="002C7FE7">
        <w:tc>
          <w:tcPr>
            <w:tcW w:w="9350" w:type="dxa"/>
            <w:gridSpan w:val="4"/>
            <w:shd w:val="clear" w:color="auto" w:fill="D9E2F3" w:themeFill="accent1" w:themeFillTint="33"/>
          </w:tcPr>
          <w:p w14:paraId="622302C9" w14:textId="40757544" w:rsidR="00C1585A" w:rsidRPr="00202BF0" w:rsidRDefault="00C1585A" w:rsidP="00EC7C0D">
            <w:pPr>
              <w:rPr>
                <w:highlight w:val="yellow"/>
                <w:lang w:val="mk-MK"/>
              </w:rPr>
            </w:pPr>
            <w:r w:rsidRPr="0033370A">
              <w:rPr>
                <w:rFonts w:cstheme="minorHAnsi"/>
                <w:b/>
              </w:rPr>
              <w:t>М</w:t>
            </w:r>
            <w:r w:rsidRPr="0033370A">
              <w:rPr>
                <w:rFonts w:cstheme="minorHAnsi"/>
                <w:b/>
                <w:lang w:val="mk-MK"/>
              </w:rPr>
              <w:t>ерка 1.</w:t>
            </w:r>
            <w:r w:rsidR="00B951DF">
              <w:rPr>
                <w:rFonts w:cstheme="minorHAnsi"/>
                <w:b/>
                <w:lang w:val="mk-MK"/>
              </w:rPr>
              <w:t>1.</w:t>
            </w:r>
            <w:r w:rsidRPr="0033370A">
              <w:rPr>
                <w:rFonts w:cstheme="minorHAnsi"/>
                <w:b/>
              </w:rPr>
              <w:t xml:space="preserve">2. Унапредување на системот на координација на политики и одлучување на </w:t>
            </w:r>
            <w:r w:rsidR="00202BF0">
              <w:rPr>
                <w:rFonts w:cstheme="minorHAnsi"/>
                <w:b/>
                <w:lang w:val="mk-MK"/>
              </w:rPr>
              <w:t>ВРСМ</w:t>
            </w:r>
          </w:p>
        </w:tc>
      </w:tr>
      <w:tr w:rsidR="00C1585A" w:rsidRPr="00186921" w14:paraId="2A6D97F9" w14:textId="77777777" w:rsidTr="002C7FE7">
        <w:tc>
          <w:tcPr>
            <w:tcW w:w="5395" w:type="dxa"/>
            <w:vMerge w:val="restart"/>
            <w:shd w:val="clear" w:color="auto" w:fill="D9E2F3" w:themeFill="accent1" w:themeFillTint="33"/>
            <w:vAlign w:val="center"/>
          </w:tcPr>
          <w:p w14:paraId="3F6AE9C4" w14:textId="77777777" w:rsidR="00C1585A" w:rsidRPr="003D459E" w:rsidRDefault="00C1585A"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0396D774" w14:textId="77777777" w:rsidR="00C1585A"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4CD4290C" w14:textId="77777777" w:rsidR="00C1585A"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2379C23" w14:textId="77777777" w:rsidR="00C1585A" w:rsidRPr="00186921" w:rsidRDefault="00C1585A" w:rsidP="00EC7C0D">
            <w:pPr>
              <w:jc w:val="center"/>
              <w:rPr>
                <w:highlight w:val="yellow"/>
                <w:lang w:val="mk-MK"/>
              </w:rPr>
            </w:pPr>
            <w:r w:rsidRPr="00933133">
              <w:rPr>
                <w:b/>
                <w:bCs/>
                <w:lang w:val="mk-MK"/>
              </w:rPr>
              <w:t>Крајна вредност</w:t>
            </w:r>
          </w:p>
        </w:tc>
      </w:tr>
      <w:tr w:rsidR="00C1585A" w:rsidRPr="0033370A" w14:paraId="16ADE176" w14:textId="77777777" w:rsidTr="002C7FE7">
        <w:tc>
          <w:tcPr>
            <w:tcW w:w="5395" w:type="dxa"/>
            <w:vMerge/>
            <w:shd w:val="clear" w:color="auto" w:fill="D9E2F3" w:themeFill="accent1" w:themeFillTint="33"/>
          </w:tcPr>
          <w:p w14:paraId="496BFA35" w14:textId="77777777" w:rsidR="00C1585A" w:rsidRPr="003D459E" w:rsidRDefault="00C1585A" w:rsidP="00EC7C0D">
            <w:pPr>
              <w:rPr>
                <w:rFonts w:cstheme="minorHAnsi"/>
                <w:sz w:val="18"/>
                <w:szCs w:val="18"/>
              </w:rPr>
            </w:pPr>
          </w:p>
        </w:tc>
        <w:tc>
          <w:tcPr>
            <w:tcW w:w="1350" w:type="dxa"/>
            <w:tcBorders>
              <w:top w:val="nil"/>
              <w:right w:val="nil"/>
            </w:tcBorders>
            <w:shd w:val="clear" w:color="auto" w:fill="D9E2F3" w:themeFill="accent1" w:themeFillTint="33"/>
          </w:tcPr>
          <w:p w14:paraId="4E6AB06D"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18</w:t>
            </w:r>
          </w:p>
        </w:tc>
        <w:tc>
          <w:tcPr>
            <w:tcW w:w="1260" w:type="dxa"/>
            <w:tcBorders>
              <w:top w:val="nil"/>
              <w:left w:val="nil"/>
              <w:right w:val="nil"/>
            </w:tcBorders>
            <w:shd w:val="clear" w:color="auto" w:fill="D9E2F3" w:themeFill="accent1" w:themeFillTint="33"/>
          </w:tcPr>
          <w:p w14:paraId="6DFF1206"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6D635482" w14:textId="77777777" w:rsidR="00C1585A" w:rsidRPr="0033370A" w:rsidRDefault="00C1585A" w:rsidP="00EC7C0D">
            <w:pPr>
              <w:jc w:val="center"/>
              <w:rPr>
                <w:lang w:val="mk-MK"/>
              </w:rPr>
            </w:pPr>
            <w:r w:rsidRPr="0033370A">
              <w:rPr>
                <w:b/>
                <w:bCs/>
                <w:lang w:val="mk-MK"/>
              </w:rPr>
              <w:t>2030</w:t>
            </w:r>
          </w:p>
        </w:tc>
      </w:tr>
      <w:tr w:rsidR="00C1585A" w:rsidRPr="0033370A" w14:paraId="15A282A3" w14:textId="77777777" w:rsidTr="002C7FE7">
        <w:trPr>
          <w:trHeight w:val="602"/>
        </w:trPr>
        <w:tc>
          <w:tcPr>
            <w:tcW w:w="5395" w:type="dxa"/>
            <w:shd w:val="clear" w:color="auto" w:fill="D9E2F3" w:themeFill="accent1" w:themeFillTint="33"/>
          </w:tcPr>
          <w:p w14:paraId="27AF2471" w14:textId="21C7AC52" w:rsidR="00C1585A" w:rsidRPr="000D20B1" w:rsidRDefault="00C1585A" w:rsidP="00EC7C0D">
            <w:pPr>
              <w:rPr>
                <w:rFonts w:cstheme="minorHAnsi"/>
                <w:sz w:val="20"/>
                <w:szCs w:val="20"/>
              </w:rPr>
            </w:pPr>
            <w:r w:rsidRPr="000D20B1">
              <w:rPr>
                <w:rFonts w:cstheme="minorHAnsi"/>
                <w:bCs/>
                <w:sz w:val="20"/>
                <w:szCs w:val="20"/>
              </w:rPr>
              <w:lastRenderedPageBreak/>
              <w:t xml:space="preserve">Процент на доставени акти до Собранието </w:t>
            </w:r>
            <w:r w:rsidR="002C7FE7">
              <w:rPr>
                <w:iCs/>
                <w:lang w:val="mk-MK"/>
              </w:rPr>
              <w:t xml:space="preserve">на РСМ </w:t>
            </w:r>
            <w:r w:rsidRPr="000D20B1">
              <w:rPr>
                <w:rFonts w:cstheme="minorHAnsi"/>
                <w:bCs/>
                <w:sz w:val="20"/>
                <w:szCs w:val="20"/>
              </w:rPr>
              <w:t>согласно законодавната агенда</w:t>
            </w:r>
          </w:p>
        </w:tc>
        <w:tc>
          <w:tcPr>
            <w:tcW w:w="1350" w:type="dxa"/>
            <w:shd w:val="clear" w:color="auto" w:fill="D9E2F3" w:themeFill="accent1" w:themeFillTint="33"/>
            <w:vAlign w:val="center"/>
          </w:tcPr>
          <w:p w14:paraId="0515BBDA"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18%</w:t>
            </w:r>
          </w:p>
        </w:tc>
        <w:tc>
          <w:tcPr>
            <w:tcW w:w="1260" w:type="dxa"/>
            <w:shd w:val="clear" w:color="auto" w:fill="D9E2F3" w:themeFill="accent1" w:themeFillTint="33"/>
            <w:vAlign w:val="center"/>
          </w:tcPr>
          <w:p w14:paraId="2DD44189"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60%</w:t>
            </w:r>
          </w:p>
        </w:tc>
        <w:tc>
          <w:tcPr>
            <w:tcW w:w="1345" w:type="dxa"/>
            <w:shd w:val="clear" w:color="auto" w:fill="D9E2F3" w:themeFill="accent1" w:themeFillTint="33"/>
            <w:vAlign w:val="center"/>
          </w:tcPr>
          <w:p w14:paraId="42E2E61B" w14:textId="77777777" w:rsidR="00C1585A" w:rsidRPr="00095624" w:rsidRDefault="00C1585A" w:rsidP="00EC7C0D">
            <w:pPr>
              <w:jc w:val="center"/>
              <w:rPr>
                <w:bCs/>
                <w:sz w:val="20"/>
                <w:szCs w:val="20"/>
                <w:lang w:val="mk-MK"/>
              </w:rPr>
            </w:pPr>
            <w:r w:rsidRPr="00095624">
              <w:rPr>
                <w:bCs/>
                <w:sz w:val="20"/>
                <w:szCs w:val="20"/>
                <w:lang w:val="mk-MK"/>
              </w:rPr>
              <w:t>100%</w:t>
            </w:r>
          </w:p>
        </w:tc>
      </w:tr>
      <w:tr w:rsidR="00C1585A" w:rsidRPr="0033370A" w14:paraId="6F9FA257" w14:textId="77777777" w:rsidTr="002C7FE7">
        <w:tc>
          <w:tcPr>
            <w:tcW w:w="9350" w:type="dxa"/>
            <w:gridSpan w:val="4"/>
            <w:shd w:val="clear" w:color="auto" w:fill="D9E2F3" w:themeFill="accent1" w:themeFillTint="33"/>
            <w:vAlign w:val="center"/>
          </w:tcPr>
          <w:p w14:paraId="167A5F1D" w14:textId="6E848BD4" w:rsidR="00C1585A" w:rsidRPr="0033370A" w:rsidRDefault="00C1585A" w:rsidP="00EC7C0D">
            <w:pPr>
              <w:rPr>
                <w:b/>
                <w:bCs/>
                <w:highlight w:val="yellow"/>
                <w:lang w:val="mk-MK"/>
              </w:rPr>
            </w:pPr>
            <w:r w:rsidRPr="0033370A">
              <w:rPr>
                <w:rFonts w:cstheme="minorHAnsi"/>
                <w:b/>
              </w:rPr>
              <w:t>М</w:t>
            </w:r>
            <w:r w:rsidRPr="0033370A">
              <w:rPr>
                <w:rFonts w:cstheme="minorHAnsi"/>
                <w:b/>
                <w:lang w:val="mk-MK"/>
              </w:rPr>
              <w:t>ерка</w:t>
            </w:r>
            <w:r w:rsidRPr="0033370A">
              <w:rPr>
                <w:rFonts w:cstheme="minorHAnsi"/>
                <w:b/>
              </w:rPr>
              <w:t xml:space="preserve"> </w:t>
            </w:r>
            <w:r w:rsidRPr="0033370A">
              <w:rPr>
                <w:rFonts w:cstheme="minorHAnsi"/>
                <w:b/>
                <w:lang w:val="mk-MK"/>
              </w:rPr>
              <w:t>1.</w:t>
            </w:r>
            <w:r w:rsidR="00B951DF">
              <w:rPr>
                <w:rFonts w:cstheme="minorHAnsi"/>
                <w:b/>
                <w:lang w:val="mk-MK"/>
              </w:rPr>
              <w:t>1.</w:t>
            </w:r>
            <w:r w:rsidRPr="0033370A">
              <w:rPr>
                <w:rFonts w:cstheme="minorHAnsi"/>
                <w:b/>
              </w:rPr>
              <w:t>3</w:t>
            </w:r>
            <w:r w:rsidR="00B951DF">
              <w:rPr>
                <w:rFonts w:cstheme="minorHAnsi"/>
                <w:b/>
                <w:lang w:val="mk-MK"/>
              </w:rPr>
              <w:t>.</w:t>
            </w:r>
            <w:r w:rsidRPr="0033370A">
              <w:rPr>
                <w:rFonts w:cstheme="minorHAnsi"/>
                <w:b/>
              </w:rPr>
              <w:t xml:space="preserve"> Квалитетно транспонирање на правото на ЕУ во националното законодавство</w:t>
            </w:r>
          </w:p>
        </w:tc>
      </w:tr>
      <w:tr w:rsidR="00C1585A" w:rsidRPr="00933133" w14:paraId="4F32FCA5" w14:textId="77777777" w:rsidTr="002C7FE7">
        <w:tc>
          <w:tcPr>
            <w:tcW w:w="5395" w:type="dxa"/>
            <w:vMerge w:val="restart"/>
            <w:shd w:val="clear" w:color="auto" w:fill="D9E2F3" w:themeFill="accent1" w:themeFillTint="33"/>
            <w:vAlign w:val="center"/>
          </w:tcPr>
          <w:p w14:paraId="5A23D665" w14:textId="77777777" w:rsidR="00C1585A" w:rsidRPr="002068B9" w:rsidRDefault="00C1585A" w:rsidP="00EC7C0D">
            <w:pPr>
              <w:jc w:val="center"/>
              <w:rPr>
                <w:rFonts w:cstheme="minorHAnsi"/>
                <w:bCs/>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2BE4C506" w14:textId="77777777" w:rsidR="00C1585A" w:rsidRPr="006869D0"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026732FA" w14:textId="77777777" w:rsidR="00C1585A" w:rsidRPr="006869D0"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4C1B5259" w14:textId="77777777" w:rsidR="00C1585A" w:rsidRPr="00933133" w:rsidRDefault="00C1585A" w:rsidP="00EC7C0D">
            <w:pPr>
              <w:jc w:val="center"/>
              <w:rPr>
                <w:b/>
                <w:bCs/>
                <w:highlight w:val="yellow"/>
                <w:lang w:val="mk-MK"/>
              </w:rPr>
            </w:pPr>
            <w:r w:rsidRPr="00933133">
              <w:rPr>
                <w:b/>
                <w:bCs/>
                <w:lang w:val="mk-MK"/>
              </w:rPr>
              <w:t>Крајна вредност</w:t>
            </w:r>
          </w:p>
        </w:tc>
      </w:tr>
      <w:tr w:rsidR="00C1585A" w:rsidRPr="00823E83" w14:paraId="0B852FD4" w14:textId="77777777" w:rsidTr="002C7FE7">
        <w:tc>
          <w:tcPr>
            <w:tcW w:w="5395" w:type="dxa"/>
            <w:vMerge/>
            <w:shd w:val="clear" w:color="auto" w:fill="D9E2F3" w:themeFill="accent1" w:themeFillTint="33"/>
          </w:tcPr>
          <w:p w14:paraId="72132E64" w14:textId="77777777" w:rsidR="00C1585A" w:rsidRPr="002068B9" w:rsidRDefault="00C1585A" w:rsidP="00EC7C0D">
            <w:pPr>
              <w:rPr>
                <w:rFonts w:cstheme="minorHAnsi"/>
                <w:bCs/>
                <w:sz w:val="18"/>
                <w:szCs w:val="18"/>
              </w:rPr>
            </w:pPr>
          </w:p>
        </w:tc>
        <w:tc>
          <w:tcPr>
            <w:tcW w:w="1350" w:type="dxa"/>
            <w:tcBorders>
              <w:top w:val="nil"/>
              <w:right w:val="nil"/>
            </w:tcBorders>
            <w:shd w:val="clear" w:color="auto" w:fill="D9E2F3" w:themeFill="accent1" w:themeFillTint="33"/>
          </w:tcPr>
          <w:p w14:paraId="64E7941C"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21</w:t>
            </w:r>
          </w:p>
        </w:tc>
        <w:tc>
          <w:tcPr>
            <w:tcW w:w="1260" w:type="dxa"/>
            <w:tcBorders>
              <w:top w:val="nil"/>
              <w:left w:val="nil"/>
              <w:right w:val="nil"/>
            </w:tcBorders>
            <w:shd w:val="clear" w:color="auto" w:fill="D9E2F3" w:themeFill="accent1" w:themeFillTint="33"/>
          </w:tcPr>
          <w:p w14:paraId="2329D1A9"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165D11EB" w14:textId="77777777" w:rsidR="00C1585A" w:rsidRPr="00823E83" w:rsidRDefault="00C1585A" w:rsidP="00EC7C0D">
            <w:pPr>
              <w:jc w:val="center"/>
              <w:rPr>
                <w:b/>
                <w:bCs/>
                <w:lang w:val="mk-MK"/>
              </w:rPr>
            </w:pPr>
            <w:r w:rsidRPr="00823E83">
              <w:rPr>
                <w:b/>
                <w:bCs/>
                <w:lang w:val="mk-MK"/>
              </w:rPr>
              <w:t>2030</w:t>
            </w:r>
          </w:p>
        </w:tc>
      </w:tr>
      <w:tr w:rsidR="00C1585A" w:rsidRPr="00823E83" w14:paraId="1368070A" w14:textId="77777777" w:rsidTr="002C7FE7">
        <w:trPr>
          <w:trHeight w:val="413"/>
        </w:trPr>
        <w:tc>
          <w:tcPr>
            <w:tcW w:w="5395" w:type="dxa"/>
            <w:shd w:val="clear" w:color="auto" w:fill="D9E2F3" w:themeFill="accent1" w:themeFillTint="33"/>
          </w:tcPr>
          <w:p w14:paraId="0F88881F" w14:textId="77777777" w:rsidR="00C1585A" w:rsidRPr="000D20B1" w:rsidRDefault="00C1585A" w:rsidP="00EC7C0D">
            <w:pPr>
              <w:rPr>
                <w:rFonts w:cstheme="minorHAnsi"/>
                <w:bCs/>
                <w:sz w:val="20"/>
                <w:szCs w:val="20"/>
              </w:rPr>
            </w:pPr>
            <w:r w:rsidRPr="000D20B1">
              <w:rPr>
                <w:rFonts w:cstheme="minorHAnsi"/>
                <w:bCs/>
                <w:sz w:val="20"/>
                <w:szCs w:val="20"/>
              </w:rPr>
              <w:t xml:space="preserve">Процент на подготвена национална верзија на Acquis                                                            </w:t>
            </w:r>
          </w:p>
        </w:tc>
        <w:tc>
          <w:tcPr>
            <w:tcW w:w="1350" w:type="dxa"/>
            <w:shd w:val="clear" w:color="auto" w:fill="D9E2F3" w:themeFill="accent1" w:themeFillTint="33"/>
            <w:vAlign w:val="center"/>
          </w:tcPr>
          <w:p w14:paraId="03DAD845" w14:textId="77777777" w:rsidR="00C1585A" w:rsidRPr="000D20B1" w:rsidRDefault="00C1585A" w:rsidP="00EC7C0D">
            <w:pPr>
              <w:jc w:val="center"/>
              <w:rPr>
                <w:rFonts w:ascii="Calibri" w:hAnsi="Calibri" w:cs="Calibri"/>
                <w:color w:val="000000"/>
                <w:sz w:val="20"/>
                <w:szCs w:val="20"/>
                <w:lang w:val="mk-MK"/>
              </w:rPr>
            </w:pPr>
            <w:r>
              <w:rPr>
                <w:rFonts w:ascii="Calibri" w:hAnsi="Calibri" w:cs="Calibri"/>
                <w:color w:val="000000"/>
                <w:sz w:val="20"/>
                <w:szCs w:val="20"/>
                <w:lang w:val="mk-MK"/>
              </w:rPr>
              <w:t>13%</w:t>
            </w:r>
          </w:p>
        </w:tc>
        <w:tc>
          <w:tcPr>
            <w:tcW w:w="1260" w:type="dxa"/>
            <w:shd w:val="clear" w:color="auto" w:fill="D9E2F3" w:themeFill="accent1" w:themeFillTint="33"/>
            <w:vAlign w:val="center"/>
          </w:tcPr>
          <w:p w14:paraId="7DA77BB8"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25%</w:t>
            </w:r>
          </w:p>
        </w:tc>
        <w:tc>
          <w:tcPr>
            <w:tcW w:w="1345" w:type="dxa"/>
            <w:shd w:val="clear" w:color="auto" w:fill="D9E2F3" w:themeFill="accent1" w:themeFillTint="33"/>
            <w:vAlign w:val="center"/>
          </w:tcPr>
          <w:p w14:paraId="1D424BF0" w14:textId="77777777" w:rsidR="00C1585A" w:rsidRPr="00823E83" w:rsidRDefault="00C1585A" w:rsidP="00EC7C0D">
            <w:pPr>
              <w:jc w:val="center"/>
              <w:rPr>
                <w:sz w:val="20"/>
                <w:szCs w:val="20"/>
                <w:lang w:val="mk-MK"/>
              </w:rPr>
            </w:pPr>
            <w:r w:rsidRPr="00823E83">
              <w:rPr>
                <w:sz w:val="20"/>
                <w:szCs w:val="20"/>
                <w:lang w:val="mk-MK"/>
              </w:rPr>
              <w:t>76%</w:t>
            </w:r>
          </w:p>
        </w:tc>
      </w:tr>
      <w:tr w:rsidR="00C1585A" w:rsidRPr="000D20B1" w14:paraId="4D95AA7D" w14:textId="77777777" w:rsidTr="002C7FE7">
        <w:tc>
          <w:tcPr>
            <w:tcW w:w="9350" w:type="dxa"/>
            <w:gridSpan w:val="4"/>
            <w:shd w:val="clear" w:color="auto" w:fill="D9E2F3" w:themeFill="accent1" w:themeFillTint="33"/>
            <w:vAlign w:val="center"/>
          </w:tcPr>
          <w:p w14:paraId="18E2BDBD" w14:textId="44A6009D" w:rsidR="00C1585A" w:rsidRPr="000D20B1" w:rsidRDefault="00C1585A" w:rsidP="00EC7C0D">
            <w:pPr>
              <w:rPr>
                <w:b/>
                <w:bCs/>
                <w:highlight w:val="yellow"/>
                <w:lang w:val="mk-MK"/>
              </w:rPr>
            </w:pPr>
            <w:r w:rsidRPr="000D20B1">
              <w:rPr>
                <w:rFonts w:cstheme="minorHAnsi"/>
                <w:b/>
              </w:rPr>
              <w:t>М</w:t>
            </w:r>
            <w:r w:rsidRPr="000D20B1">
              <w:rPr>
                <w:rFonts w:cstheme="minorHAnsi"/>
                <w:b/>
                <w:lang w:val="mk-MK"/>
              </w:rPr>
              <w:t>ерка</w:t>
            </w:r>
            <w:r w:rsidRPr="000D20B1">
              <w:rPr>
                <w:rFonts w:cstheme="minorHAnsi"/>
                <w:b/>
              </w:rPr>
              <w:t xml:space="preserve"> </w:t>
            </w:r>
            <w:r w:rsidRPr="000D20B1">
              <w:rPr>
                <w:rFonts w:cstheme="minorHAnsi"/>
                <w:b/>
                <w:lang w:val="mk-MK"/>
              </w:rPr>
              <w:t>1.</w:t>
            </w:r>
            <w:r w:rsidR="00B951DF">
              <w:rPr>
                <w:rFonts w:cstheme="minorHAnsi"/>
                <w:b/>
                <w:lang w:val="mk-MK"/>
              </w:rPr>
              <w:t>1.</w:t>
            </w:r>
            <w:r w:rsidRPr="000D20B1">
              <w:rPr>
                <w:rFonts w:cstheme="minorHAnsi"/>
                <w:b/>
              </w:rPr>
              <w:t>4. Ефективно и доследно спроведување на процесот на проценка на влијанието на регулативата (ПВР)</w:t>
            </w:r>
          </w:p>
        </w:tc>
      </w:tr>
      <w:tr w:rsidR="00C1585A" w:rsidRPr="00933133" w14:paraId="05051082" w14:textId="77777777" w:rsidTr="002C7FE7">
        <w:tc>
          <w:tcPr>
            <w:tcW w:w="5395" w:type="dxa"/>
            <w:vMerge w:val="restart"/>
            <w:shd w:val="clear" w:color="auto" w:fill="D9E2F3" w:themeFill="accent1" w:themeFillTint="33"/>
            <w:vAlign w:val="center"/>
          </w:tcPr>
          <w:p w14:paraId="01BA6B69" w14:textId="77777777" w:rsidR="00C1585A" w:rsidRPr="002068B9" w:rsidRDefault="00C1585A" w:rsidP="00EC7C0D">
            <w:pPr>
              <w:jc w:val="center"/>
              <w:rPr>
                <w:rFonts w:cstheme="minorHAnsi"/>
                <w:bCs/>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67B74122" w14:textId="77777777" w:rsidR="00C1585A" w:rsidRPr="006869D0"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7C4A92B6" w14:textId="77777777" w:rsidR="00C1585A" w:rsidRPr="006869D0"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53EB4D65" w14:textId="77777777" w:rsidR="00C1585A" w:rsidRPr="00933133" w:rsidRDefault="00C1585A" w:rsidP="00EC7C0D">
            <w:pPr>
              <w:jc w:val="center"/>
              <w:rPr>
                <w:b/>
                <w:bCs/>
                <w:highlight w:val="yellow"/>
                <w:lang w:val="mk-MK"/>
              </w:rPr>
            </w:pPr>
            <w:r w:rsidRPr="00933133">
              <w:rPr>
                <w:b/>
                <w:bCs/>
                <w:lang w:val="mk-MK"/>
              </w:rPr>
              <w:t>Крајна вредност</w:t>
            </w:r>
          </w:p>
        </w:tc>
      </w:tr>
      <w:tr w:rsidR="00C1585A" w:rsidRPr="00823E83" w14:paraId="61813A3A" w14:textId="77777777" w:rsidTr="002C7FE7">
        <w:tc>
          <w:tcPr>
            <w:tcW w:w="5395" w:type="dxa"/>
            <w:vMerge/>
            <w:shd w:val="clear" w:color="auto" w:fill="D9E2F3" w:themeFill="accent1" w:themeFillTint="33"/>
          </w:tcPr>
          <w:p w14:paraId="2E570586" w14:textId="77777777" w:rsidR="00C1585A" w:rsidRPr="002068B9" w:rsidRDefault="00C1585A" w:rsidP="00EC7C0D">
            <w:pPr>
              <w:rPr>
                <w:rFonts w:cstheme="minorHAnsi"/>
                <w:bCs/>
                <w:sz w:val="18"/>
                <w:szCs w:val="18"/>
              </w:rPr>
            </w:pPr>
          </w:p>
        </w:tc>
        <w:tc>
          <w:tcPr>
            <w:tcW w:w="1350" w:type="dxa"/>
            <w:tcBorders>
              <w:top w:val="nil"/>
              <w:right w:val="nil"/>
            </w:tcBorders>
            <w:shd w:val="clear" w:color="auto" w:fill="D9E2F3" w:themeFill="accent1" w:themeFillTint="33"/>
          </w:tcPr>
          <w:p w14:paraId="5B7BA54B"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21</w:t>
            </w:r>
          </w:p>
        </w:tc>
        <w:tc>
          <w:tcPr>
            <w:tcW w:w="1260" w:type="dxa"/>
            <w:tcBorders>
              <w:top w:val="nil"/>
              <w:left w:val="nil"/>
              <w:right w:val="nil"/>
            </w:tcBorders>
            <w:shd w:val="clear" w:color="auto" w:fill="D9E2F3" w:themeFill="accent1" w:themeFillTint="33"/>
          </w:tcPr>
          <w:p w14:paraId="31811041"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3F595791" w14:textId="77777777" w:rsidR="00C1585A" w:rsidRPr="00823E83" w:rsidRDefault="00C1585A" w:rsidP="00EC7C0D">
            <w:pPr>
              <w:jc w:val="center"/>
              <w:rPr>
                <w:b/>
                <w:bCs/>
                <w:lang w:val="mk-MK"/>
              </w:rPr>
            </w:pPr>
            <w:r w:rsidRPr="00823E83">
              <w:rPr>
                <w:b/>
                <w:bCs/>
                <w:lang w:val="mk-MK"/>
              </w:rPr>
              <w:t>2030</w:t>
            </w:r>
          </w:p>
        </w:tc>
      </w:tr>
      <w:tr w:rsidR="00C1585A" w:rsidRPr="00823E83" w14:paraId="41B141D4" w14:textId="77777777" w:rsidTr="002C7FE7">
        <w:trPr>
          <w:trHeight w:val="890"/>
        </w:trPr>
        <w:tc>
          <w:tcPr>
            <w:tcW w:w="5395" w:type="dxa"/>
            <w:shd w:val="clear" w:color="auto" w:fill="D9E2F3" w:themeFill="accent1" w:themeFillTint="33"/>
          </w:tcPr>
          <w:p w14:paraId="35A3BA22" w14:textId="77777777" w:rsidR="00C1585A" w:rsidRPr="000D20B1" w:rsidRDefault="00C1585A" w:rsidP="00EC7C0D">
            <w:pPr>
              <w:rPr>
                <w:rFonts w:cstheme="minorHAnsi"/>
                <w:bCs/>
                <w:sz w:val="20"/>
                <w:szCs w:val="20"/>
              </w:rPr>
            </w:pPr>
            <w:r w:rsidRPr="000D20B1">
              <w:rPr>
                <w:rFonts w:cstheme="minorHAnsi"/>
                <w:bCs/>
                <w:sz w:val="20"/>
                <w:szCs w:val="20"/>
              </w:rPr>
              <w:t xml:space="preserve">Процент на предлози на закони кои ги исполнуваат минимум критериумите во однос на процедурата на процесот на ПВР                                                          </w:t>
            </w:r>
          </w:p>
        </w:tc>
        <w:tc>
          <w:tcPr>
            <w:tcW w:w="1350" w:type="dxa"/>
            <w:shd w:val="clear" w:color="auto" w:fill="D9E2F3" w:themeFill="accent1" w:themeFillTint="33"/>
            <w:vAlign w:val="center"/>
          </w:tcPr>
          <w:p w14:paraId="652875E1" w14:textId="77777777" w:rsidR="00C1585A" w:rsidRPr="00823E83" w:rsidRDefault="00C1585A" w:rsidP="00EC7C0D">
            <w:pPr>
              <w:jc w:val="center"/>
              <w:rPr>
                <w:rFonts w:ascii="Calibri" w:hAnsi="Calibri" w:cs="Calibri"/>
                <w:color w:val="000000"/>
                <w:sz w:val="20"/>
                <w:szCs w:val="20"/>
                <w:lang w:val="mk-MK"/>
              </w:rPr>
            </w:pPr>
            <w:r w:rsidRPr="00823E83">
              <w:rPr>
                <w:rFonts w:ascii="Calibri" w:hAnsi="Calibri" w:cs="Calibri"/>
                <w:color w:val="000000"/>
                <w:sz w:val="20"/>
                <w:szCs w:val="20"/>
                <w:lang w:val="mk-MK"/>
              </w:rPr>
              <w:t>20,7%</w:t>
            </w:r>
          </w:p>
        </w:tc>
        <w:tc>
          <w:tcPr>
            <w:tcW w:w="1260" w:type="dxa"/>
            <w:shd w:val="clear" w:color="auto" w:fill="D9E2F3" w:themeFill="accent1" w:themeFillTint="33"/>
            <w:vAlign w:val="center"/>
          </w:tcPr>
          <w:p w14:paraId="5C3F162C" w14:textId="77777777" w:rsidR="00C1585A" w:rsidRPr="00823E83" w:rsidRDefault="00C1585A" w:rsidP="00EC7C0D">
            <w:pPr>
              <w:jc w:val="center"/>
              <w:rPr>
                <w:rFonts w:ascii="Calibri" w:hAnsi="Calibri" w:cs="Calibri"/>
                <w:color w:val="000000"/>
                <w:sz w:val="20"/>
                <w:szCs w:val="20"/>
                <w:lang w:val="mk-MK"/>
              </w:rPr>
            </w:pPr>
            <w:r w:rsidRPr="00823E83">
              <w:rPr>
                <w:rFonts w:ascii="Calibri" w:hAnsi="Calibri" w:cs="Calibri"/>
                <w:color w:val="000000"/>
                <w:sz w:val="20"/>
                <w:szCs w:val="20"/>
                <w:lang w:val="mk-MK"/>
              </w:rPr>
              <w:t>50%</w:t>
            </w:r>
          </w:p>
        </w:tc>
        <w:tc>
          <w:tcPr>
            <w:tcW w:w="1345" w:type="dxa"/>
            <w:shd w:val="clear" w:color="auto" w:fill="D9E2F3" w:themeFill="accent1" w:themeFillTint="33"/>
            <w:vAlign w:val="center"/>
          </w:tcPr>
          <w:p w14:paraId="7B42833A" w14:textId="77777777" w:rsidR="00C1585A" w:rsidRPr="00823E83" w:rsidRDefault="00C1585A" w:rsidP="00EC7C0D">
            <w:pPr>
              <w:jc w:val="center"/>
              <w:rPr>
                <w:sz w:val="20"/>
                <w:szCs w:val="20"/>
                <w:lang w:val="mk-MK"/>
              </w:rPr>
            </w:pPr>
            <w:r w:rsidRPr="00823E83">
              <w:rPr>
                <w:sz w:val="20"/>
                <w:szCs w:val="20"/>
                <w:lang w:val="mk-MK"/>
              </w:rPr>
              <w:t>80%</w:t>
            </w:r>
          </w:p>
        </w:tc>
      </w:tr>
      <w:tr w:rsidR="00C1585A" w:rsidRPr="000D20B1" w14:paraId="0AF7471D" w14:textId="77777777" w:rsidTr="002C7FE7">
        <w:tc>
          <w:tcPr>
            <w:tcW w:w="9350" w:type="dxa"/>
            <w:gridSpan w:val="4"/>
            <w:shd w:val="clear" w:color="auto" w:fill="D9E2F3" w:themeFill="accent1" w:themeFillTint="33"/>
            <w:vAlign w:val="center"/>
          </w:tcPr>
          <w:p w14:paraId="4837424C" w14:textId="51C4A581" w:rsidR="00C1585A" w:rsidRPr="000D20B1" w:rsidRDefault="00C1585A" w:rsidP="00EC7C0D">
            <w:pPr>
              <w:rPr>
                <w:b/>
                <w:bCs/>
                <w:highlight w:val="yellow"/>
                <w:lang w:val="mk-MK"/>
              </w:rPr>
            </w:pPr>
            <w:r w:rsidRPr="000D20B1">
              <w:rPr>
                <w:rFonts w:cstheme="minorHAnsi"/>
                <w:b/>
              </w:rPr>
              <w:t>М</w:t>
            </w:r>
            <w:r>
              <w:rPr>
                <w:rFonts w:cstheme="minorHAnsi"/>
                <w:b/>
                <w:lang w:val="mk-MK"/>
              </w:rPr>
              <w:t>ерка</w:t>
            </w:r>
            <w:r w:rsidRPr="000D20B1">
              <w:rPr>
                <w:rFonts w:cstheme="minorHAnsi"/>
                <w:b/>
              </w:rPr>
              <w:t xml:space="preserve"> </w:t>
            </w:r>
            <w:r w:rsidRPr="000D20B1">
              <w:rPr>
                <w:rFonts w:cstheme="minorHAnsi"/>
                <w:b/>
                <w:lang w:val="mk-MK"/>
              </w:rPr>
              <w:t>1.</w:t>
            </w:r>
            <w:r w:rsidR="00B951DF">
              <w:rPr>
                <w:rFonts w:cstheme="minorHAnsi"/>
                <w:b/>
                <w:lang w:val="mk-MK"/>
              </w:rPr>
              <w:t>1.</w:t>
            </w:r>
            <w:r w:rsidRPr="000D20B1">
              <w:rPr>
                <w:rFonts w:cstheme="minorHAnsi"/>
                <w:b/>
              </w:rPr>
              <w:t>5. Подобрен квалитет и достапност на статистички податоци за креирање политики базирани на докази</w:t>
            </w:r>
          </w:p>
        </w:tc>
      </w:tr>
      <w:tr w:rsidR="00C1585A" w:rsidRPr="00933133" w14:paraId="0F995DEB" w14:textId="77777777" w:rsidTr="002C7FE7">
        <w:tc>
          <w:tcPr>
            <w:tcW w:w="5395" w:type="dxa"/>
            <w:vMerge w:val="restart"/>
            <w:shd w:val="clear" w:color="auto" w:fill="D9E2F3" w:themeFill="accent1" w:themeFillTint="33"/>
            <w:vAlign w:val="center"/>
          </w:tcPr>
          <w:p w14:paraId="4B6FCD6B" w14:textId="77777777" w:rsidR="00C1585A" w:rsidRPr="002068B9" w:rsidRDefault="00C1585A" w:rsidP="00EC7C0D">
            <w:pPr>
              <w:jc w:val="center"/>
              <w:rPr>
                <w:rFonts w:cstheme="minorHAnsi"/>
                <w:bCs/>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1B287051" w14:textId="77777777" w:rsidR="00C1585A" w:rsidRPr="006869D0"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7969A339" w14:textId="77777777" w:rsidR="00C1585A" w:rsidRPr="006869D0"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64A7ACB4" w14:textId="77777777" w:rsidR="00C1585A" w:rsidRPr="00933133" w:rsidRDefault="00C1585A" w:rsidP="00EC7C0D">
            <w:pPr>
              <w:jc w:val="center"/>
              <w:rPr>
                <w:b/>
                <w:bCs/>
                <w:highlight w:val="yellow"/>
                <w:lang w:val="mk-MK"/>
              </w:rPr>
            </w:pPr>
            <w:r w:rsidRPr="00933133">
              <w:rPr>
                <w:b/>
                <w:bCs/>
                <w:lang w:val="mk-MK"/>
              </w:rPr>
              <w:t>Крајна вредност</w:t>
            </w:r>
          </w:p>
        </w:tc>
      </w:tr>
      <w:tr w:rsidR="00C1585A" w:rsidRPr="00823E83" w14:paraId="27DEDC4B" w14:textId="77777777" w:rsidTr="002C7FE7">
        <w:tc>
          <w:tcPr>
            <w:tcW w:w="5395" w:type="dxa"/>
            <w:vMerge/>
            <w:tcBorders>
              <w:bottom w:val="single" w:sz="4" w:space="0" w:color="auto"/>
            </w:tcBorders>
            <w:shd w:val="clear" w:color="auto" w:fill="D9E2F3" w:themeFill="accent1" w:themeFillTint="33"/>
          </w:tcPr>
          <w:p w14:paraId="09B4C2C3" w14:textId="77777777" w:rsidR="00C1585A" w:rsidRPr="002068B9" w:rsidRDefault="00C1585A" w:rsidP="00EC7C0D">
            <w:pPr>
              <w:rPr>
                <w:rFonts w:cstheme="minorHAnsi"/>
                <w:bCs/>
                <w:sz w:val="18"/>
                <w:szCs w:val="18"/>
              </w:rPr>
            </w:pPr>
          </w:p>
        </w:tc>
        <w:tc>
          <w:tcPr>
            <w:tcW w:w="1350" w:type="dxa"/>
            <w:tcBorders>
              <w:top w:val="nil"/>
              <w:bottom w:val="single" w:sz="4" w:space="0" w:color="auto"/>
              <w:right w:val="nil"/>
            </w:tcBorders>
            <w:shd w:val="clear" w:color="auto" w:fill="D9E2F3" w:themeFill="accent1" w:themeFillTint="33"/>
          </w:tcPr>
          <w:p w14:paraId="76A063C4"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21</w:t>
            </w:r>
          </w:p>
        </w:tc>
        <w:tc>
          <w:tcPr>
            <w:tcW w:w="1260" w:type="dxa"/>
            <w:tcBorders>
              <w:top w:val="nil"/>
              <w:left w:val="nil"/>
              <w:bottom w:val="single" w:sz="4" w:space="0" w:color="auto"/>
              <w:right w:val="nil"/>
            </w:tcBorders>
            <w:shd w:val="clear" w:color="auto" w:fill="D9E2F3" w:themeFill="accent1" w:themeFillTint="33"/>
          </w:tcPr>
          <w:p w14:paraId="02204780" w14:textId="77777777" w:rsidR="00C1585A" w:rsidRPr="006869D0"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bottom w:val="single" w:sz="4" w:space="0" w:color="auto"/>
            </w:tcBorders>
            <w:shd w:val="clear" w:color="auto" w:fill="D9E2F3" w:themeFill="accent1" w:themeFillTint="33"/>
          </w:tcPr>
          <w:p w14:paraId="2B639F31" w14:textId="77777777" w:rsidR="00C1585A" w:rsidRPr="00823E83" w:rsidRDefault="00C1585A" w:rsidP="00EC7C0D">
            <w:pPr>
              <w:jc w:val="center"/>
              <w:rPr>
                <w:b/>
                <w:bCs/>
                <w:lang w:val="mk-MK"/>
              </w:rPr>
            </w:pPr>
            <w:r w:rsidRPr="00823E83">
              <w:rPr>
                <w:b/>
                <w:bCs/>
                <w:lang w:val="mk-MK"/>
              </w:rPr>
              <w:t>2030</w:t>
            </w:r>
          </w:p>
        </w:tc>
      </w:tr>
      <w:tr w:rsidR="00C1585A" w:rsidRPr="00823E83" w14:paraId="76F9F642" w14:textId="77777777" w:rsidTr="002C7FE7">
        <w:trPr>
          <w:trHeight w:val="683"/>
        </w:trPr>
        <w:tc>
          <w:tcPr>
            <w:tcW w:w="5395" w:type="dxa"/>
            <w:tcBorders>
              <w:bottom w:val="single" w:sz="12" w:space="0" w:color="auto"/>
            </w:tcBorders>
            <w:shd w:val="clear" w:color="auto" w:fill="D9E2F3" w:themeFill="accent1" w:themeFillTint="33"/>
          </w:tcPr>
          <w:p w14:paraId="2BB5EA49" w14:textId="77777777" w:rsidR="00C1585A" w:rsidRPr="000D20B1" w:rsidRDefault="00C1585A" w:rsidP="00EC7C0D">
            <w:pPr>
              <w:rPr>
                <w:rFonts w:cstheme="minorHAnsi"/>
                <w:bCs/>
                <w:sz w:val="20"/>
                <w:szCs w:val="20"/>
              </w:rPr>
            </w:pPr>
            <w:r w:rsidRPr="000D20B1">
              <w:rPr>
                <w:rFonts w:cstheme="minorHAnsi"/>
                <w:bCs/>
                <w:sz w:val="20"/>
                <w:szCs w:val="20"/>
              </w:rPr>
              <w:t>Процент на официјални статистички податоци усогласени со стандардите на Евростат</w:t>
            </w:r>
          </w:p>
        </w:tc>
        <w:tc>
          <w:tcPr>
            <w:tcW w:w="1350" w:type="dxa"/>
            <w:tcBorders>
              <w:bottom w:val="single" w:sz="12" w:space="0" w:color="auto"/>
            </w:tcBorders>
            <w:shd w:val="clear" w:color="auto" w:fill="D9E2F3" w:themeFill="accent1" w:themeFillTint="33"/>
            <w:vAlign w:val="center"/>
          </w:tcPr>
          <w:p w14:paraId="7CE9BF78"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67%</w:t>
            </w:r>
          </w:p>
        </w:tc>
        <w:tc>
          <w:tcPr>
            <w:tcW w:w="1260" w:type="dxa"/>
            <w:tcBorders>
              <w:bottom w:val="single" w:sz="12" w:space="0" w:color="auto"/>
            </w:tcBorders>
            <w:shd w:val="clear" w:color="auto" w:fill="D9E2F3" w:themeFill="accent1" w:themeFillTint="33"/>
            <w:vAlign w:val="center"/>
          </w:tcPr>
          <w:p w14:paraId="2E634D57"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76%</w:t>
            </w:r>
          </w:p>
        </w:tc>
        <w:tc>
          <w:tcPr>
            <w:tcW w:w="1345" w:type="dxa"/>
            <w:tcBorders>
              <w:bottom w:val="single" w:sz="12" w:space="0" w:color="auto"/>
            </w:tcBorders>
            <w:shd w:val="clear" w:color="auto" w:fill="D9E2F3" w:themeFill="accent1" w:themeFillTint="33"/>
            <w:vAlign w:val="center"/>
          </w:tcPr>
          <w:p w14:paraId="329AC811" w14:textId="77777777" w:rsidR="00C1585A" w:rsidRPr="00823E83" w:rsidRDefault="00C1585A" w:rsidP="00EC7C0D">
            <w:pPr>
              <w:jc w:val="center"/>
              <w:rPr>
                <w:sz w:val="20"/>
                <w:szCs w:val="20"/>
                <w:lang w:val="mk-MK"/>
              </w:rPr>
            </w:pPr>
            <w:r w:rsidRPr="00823E83">
              <w:rPr>
                <w:sz w:val="20"/>
                <w:szCs w:val="20"/>
                <w:lang w:val="mk-MK"/>
              </w:rPr>
              <w:t>85%</w:t>
            </w:r>
          </w:p>
        </w:tc>
      </w:tr>
    </w:tbl>
    <w:p w14:paraId="02849C04" w14:textId="77777777" w:rsidR="00D2754F" w:rsidRDefault="00D2754F" w:rsidP="00D2754F">
      <w:pPr>
        <w:jc w:val="both"/>
        <w:rPr>
          <w:lang w:val="mk-MK"/>
        </w:rPr>
      </w:pPr>
    </w:p>
    <w:p w14:paraId="2C91FFE8" w14:textId="6FBF8990" w:rsidR="00D2754F" w:rsidRDefault="00D2754F" w:rsidP="00D2754F">
      <w:pPr>
        <w:jc w:val="both"/>
        <w:rPr>
          <w:b/>
          <w:bCs/>
          <w:u w:val="single"/>
          <w:lang w:val="mk-MK"/>
        </w:rPr>
      </w:pPr>
      <w:r>
        <w:rPr>
          <w:b/>
          <w:bCs/>
          <w:u w:val="single"/>
          <w:lang w:val="mk-MK"/>
        </w:rPr>
        <w:t xml:space="preserve">Посебна цел </w:t>
      </w:r>
      <w:r w:rsidR="00B951DF">
        <w:rPr>
          <w:b/>
          <w:bCs/>
          <w:u w:val="single"/>
          <w:lang w:val="mk-MK"/>
        </w:rPr>
        <w:t>1.</w:t>
      </w:r>
      <w:r>
        <w:rPr>
          <w:b/>
          <w:bCs/>
          <w:u w:val="single"/>
          <w:lang w:val="mk-MK"/>
        </w:rPr>
        <w:t>2</w:t>
      </w:r>
      <w:r w:rsidR="00B951DF">
        <w:rPr>
          <w:b/>
          <w:bCs/>
          <w:u w:val="single"/>
          <w:lang w:val="mk-MK"/>
        </w:rPr>
        <w:t>.</w:t>
      </w:r>
      <w:r>
        <w:rPr>
          <w:b/>
          <w:bCs/>
          <w:u w:val="single"/>
          <w:lang w:val="mk-MK"/>
        </w:rPr>
        <w:t>: Зголемена транспарентност, инклузивност и партиципативност во процесот на креирање политики и подготовка на закони</w:t>
      </w:r>
    </w:p>
    <w:p w14:paraId="781328B1" w14:textId="709563B9" w:rsidR="00D2754F" w:rsidRDefault="00D2754F" w:rsidP="00D2754F">
      <w:pPr>
        <w:jc w:val="both"/>
        <w:rPr>
          <w:b/>
          <w:bCs/>
          <w:lang w:val="mk-MK"/>
        </w:rPr>
      </w:pPr>
      <w:r w:rsidRPr="00827D92">
        <w:rPr>
          <w:b/>
          <w:bCs/>
          <w:lang w:val="mk-MK"/>
        </w:rPr>
        <w:t>М</w:t>
      </w:r>
      <w:r w:rsidR="000943C5">
        <w:rPr>
          <w:b/>
          <w:bCs/>
          <w:lang w:val="mk-MK"/>
        </w:rPr>
        <w:t xml:space="preserve"> </w:t>
      </w:r>
      <w:r w:rsidR="00B951DF">
        <w:rPr>
          <w:b/>
          <w:bCs/>
          <w:lang w:val="mk-MK"/>
        </w:rPr>
        <w:t>1.</w:t>
      </w:r>
      <w:r>
        <w:rPr>
          <w:b/>
          <w:bCs/>
          <w:lang w:val="mk-MK"/>
        </w:rPr>
        <w:t>2.</w:t>
      </w:r>
      <w:r w:rsidRPr="00827D92">
        <w:rPr>
          <w:b/>
          <w:bCs/>
          <w:lang w:val="mk-MK"/>
        </w:rPr>
        <w:t>1</w:t>
      </w:r>
      <w:r>
        <w:rPr>
          <w:b/>
          <w:bCs/>
          <w:lang w:val="mk-MK"/>
        </w:rPr>
        <w:t>.</w:t>
      </w:r>
      <w:r w:rsidRPr="00827D92">
        <w:rPr>
          <w:b/>
          <w:bCs/>
          <w:lang w:val="mk-MK"/>
        </w:rPr>
        <w:t xml:space="preserve">: </w:t>
      </w:r>
      <w:r>
        <w:rPr>
          <w:b/>
          <w:bCs/>
          <w:lang w:val="mk-MK"/>
        </w:rPr>
        <w:t xml:space="preserve">Вклучување на заинтересираните страни и пошироката јавност </w:t>
      </w:r>
      <w:r w:rsidRPr="00827D92">
        <w:rPr>
          <w:b/>
          <w:bCs/>
          <w:lang w:val="mk-MK"/>
        </w:rPr>
        <w:t xml:space="preserve">во </w:t>
      </w:r>
      <w:r>
        <w:rPr>
          <w:b/>
          <w:bCs/>
          <w:lang w:val="mk-MK"/>
        </w:rPr>
        <w:t xml:space="preserve">креирањето </w:t>
      </w:r>
      <w:r w:rsidRPr="00827D92">
        <w:rPr>
          <w:b/>
          <w:bCs/>
          <w:lang w:val="mk-MK"/>
        </w:rPr>
        <w:t xml:space="preserve">на политиките и </w:t>
      </w:r>
      <w:r>
        <w:rPr>
          <w:b/>
          <w:bCs/>
          <w:lang w:val="mk-MK"/>
        </w:rPr>
        <w:t xml:space="preserve">подготовката на </w:t>
      </w:r>
      <w:r w:rsidRPr="00827D92">
        <w:rPr>
          <w:b/>
          <w:bCs/>
          <w:lang w:val="mk-MK"/>
        </w:rPr>
        <w:t xml:space="preserve">законодавството </w:t>
      </w:r>
    </w:p>
    <w:p w14:paraId="120CFE19" w14:textId="78E21265" w:rsidR="00D2754F" w:rsidRDefault="00D2754F" w:rsidP="00D2754F">
      <w:pPr>
        <w:jc w:val="both"/>
        <w:rPr>
          <w:lang w:val="mk-MK"/>
        </w:rPr>
      </w:pPr>
      <w:r w:rsidRPr="00687CDA">
        <w:rPr>
          <w:lang w:val="mk-MK"/>
        </w:rPr>
        <w:t xml:space="preserve">Со цел поголемо промовирање на отвореноста и транспарентноста на јавната администрација и олеснување на вклучувањето на засегнатите страни во развојот на политиките, ќе се зголеми рокот за консултации на </w:t>
      </w:r>
      <w:r>
        <w:rPr>
          <w:lang w:val="mk-MK"/>
        </w:rPr>
        <w:t xml:space="preserve">ЕНЕР </w:t>
      </w:r>
      <w:r w:rsidRPr="00687CDA">
        <w:rPr>
          <w:lang w:val="mk-MK"/>
        </w:rPr>
        <w:t xml:space="preserve"> од 20 на 30 дена</w:t>
      </w:r>
      <w:r>
        <w:rPr>
          <w:lang w:val="mk-MK"/>
        </w:rPr>
        <w:t xml:space="preserve"> со што ќе се овозможи доволно време на засегнатите страни да ги анализираат законите и да ги подготват своите мислења. За да се подобри почитувањето на обврската за спроведување на консултациите, </w:t>
      </w:r>
      <w:r w:rsidRPr="00687CDA">
        <w:rPr>
          <w:lang w:val="mk-MK"/>
        </w:rPr>
        <w:t>ќе се воспостави редовна постапка за следење на спроведување</w:t>
      </w:r>
      <w:r>
        <w:rPr>
          <w:lang w:val="mk-MK"/>
        </w:rPr>
        <w:t>то</w:t>
      </w:r>
      <w:r w:rsidRPr="00687CDA">
        <w:rPr>
          <w:lang w:val="mk-MK"/>
        </w:rPr>
        <w:t xml:space="preserve"> на процесот на консултации</w:t>
      </w:r>
      <w:r>
        <w:rPr>
          <w:lang w:val="mk-MK"/>
        </w:rPr>
        <w:t xml:space="preserve"> и </w:t>
      </w:r>
      <w:r w:rsidRPr="00687CDA">
        <w:rPr>
          <w:lang w:val="mk-MK"/>
        </w:rPr>
        <w:t xml:space="preserve">јавна достапност на мислењата за Извештаите за ПВР изработени од министерствата, </w:t>
      </w:r>
      <w:r>
        <w:rPr>
          <w:lang w:val="mk-MK"/>
        </w:rPr>
        <w:t xml:space="preserve">а ќе се подобри и </w:t>
      </w:r>
      <w:r w:rsidRPr="00687CDA">
        <w:rPr>
          <w:lang w:val="mk-MK"/>
        </w:rPr>
        <w:t>правна</w:t>
      </w:r>
      <w:r>
        <w:rPr>
          <w:lang w:val="mk-MK"/>
        </w:rPr>
        <w:t>та</w:t>
      </w:r>
      <w:r w:rsidRPr="00687CDA">
        <w:rPr>
          <w:lang w:val="mk-MK"/>
        </w:rPr>
        <w:t xml:space="preserve"> и методолошка</w:t>
      </w:r>
      <w:r>
        <w:rPr>
          <w:lang w:val="mk-MK"/>
        </w:rPr>
        <w:t>та</w:t>
      </w:r>
      <w:r w:rsidRPr="00687CDA">
        <w:rPr>
          <w:lang w:val="mk-MK"/>
        </w:rPr>
        <w:t xml:space="preserve"> рамка за спроведување на консултации со засегнати страни за подзаконските акти кои ги донесува </w:t>
      </w:r>
      <w:r w:rsidR="00202BF0">
        <w:rPr>
          <w:lang w:val="mk-MK"/>
        </w:rPr>
        <w:t>ВРСМ</w:t>
      </w:r>
      <w:r w:rsidR="00202BF0" w:rsidRPr="00687CDA">
        <w:rPr>
          <w:lang w:val="mk-MK"/>
        </w:rPr>
        <w:t xml:space="preserve"> </w:t>
      </w:r>
      <w:r w:rsidRPr="00687CDA">
        <w:rPr>
          <w:lang w:val="mk-MK"/>
        </w:rPr>
        <w:t>и актите кои се донесуваат од страна на министрите</w:t>
      </w:r>
      <w:r>
        <w:rPr>
          <w:lang w:val="mk-MK"/>
        </w:rPr>
        <w:t xml:space="preserve">. Воедно, ќе се направи </w:t>
      </w:r>
      <w:r w:rsidRPr="00687CDA">
        <w:rPr>
          <w:lang w:val="mk-MK"/>
        </w:rPr>
        <w:t xml:space="preserve">надградба на ЕНЕР темелена на потребите на корисниците. </w:t>
      </w:r>
    </w:p>
    <w:p w14:paraId="177CB8DC" w14:textId="66195A75" w:rsidR="00D2754F" w:rsidRPr="00687CDA" w:rsidRDefault="00D2754F" w:rsidP="00D2754F">
      <w:pPr>
        <w:jc w:val="both"/>
        <w:rPr>
          <w:lang w:val="mk-MK"/>
        </w:rPr>
      </w:pPr>
      <w:r>
        <w:rPr>
          <w:lang w:val="mk-MK"/>
        </w:rPr>
        <w:t xml:space="preserve">Со цел </w:t>
      </w:r>
      <w:r w:rsidRPr="00687CDA">
        <w:rPr>
          <w:lang w:val="mk-MK"/>
        </w:rPr>
        <w:t>почитување на роковите за спроведување на консултации и зајакнување на видливоста на процесот на консултации во Извештајот за ПВР</w:t>
      </w:r>
      <w:r>
        <w:rPr>
          <w:lang w:val="mk-MK"/>
        </w:rPr>
        <w:t xml:space="preserve">, ќе се </w:t>
      </w:r>
      <w:r w:rsidRPr="00687CDA">
        <w:rPr>
          <w:lang w:val="mk-MK"/>
        </w:rPr>
        <w:t xml:space="preserve">зајакнат контролните механизми </w:t>
      </w:r>
      <w:r>
        <w:rPr>
          <w:lang w:val="mk-MK"/>
        </w:rPr>
        <w:t>с</w:t>
      </w:r>
      <w:r w:rsidRPr="00687CDA">
        <w:rPr>
          <w:lang w:val="mk-MK"/>
        </w:rPr>
        <w:t xml:space="preserve">о </w:t>
      </w:r>
      <w:r>
        <w:rPr>
          <w:lang w:val="mk-MK"/>
        </w:rPr>
        <w:t xml:space="preserve">новиот </w:t>
      </w:r>
      <w:r w:rsidRPr="00687CDA">
        <w:rPr>
          <w:lang w:val="mk-MK"/>
        </w:rPr>
        <w:t xml:space="preserve">Деловник за работа на </w:t>
      </w:r>
      <w:r w:rsidR="00202BF0">
        <w:rPr>
          <w:lang w:val="mk-MK"/>
        </w:rPr>
        <w:t>ВРСМ</w:t>
      </w:r>
      <w:r w:rsidR="00202BF0" w:rsidRPr="00687CDA">
        <w:rPr>
          <w:lang w:val="mk-MK"/>
        </w:rPr>
        <w:t xml:space="preserve"> </w:t>
      </w:r>
      <w:r w:rsidRPr="00687CDA">
        <w:rPr>
          <w:lang w:val="mk-MK"/>
        </w:rPr>
        <w:t xml:space="preserve">и Методологијата за ПВР. </w:t>
      </w:r>
      <w:r>
        <w:rPr>
          <w:lang w:val="mk-MK"/>
        </w:rPr>
        <w:t xml:space="preserve">Процесот на предлагање на </w:t>
      </w:r>
      <w:r w:rsidRPr="00687CDA">
        <w:rPr>
          <w:lang w:val="mk-MK"/>
        </w:rPr>
        <w:t xml:space="preserve">иницијативи во </w:t>
      </w:r>
      <w:r w:rsidR="00DD7EC8">
        <w:rPr>
          <w:lang w:val="mk-MK"/>
        </w:rPr>
        <w:t>ГПРВ</w:t>
      </w:r>
      <w:r w:rsidR="00202BF0">
        <w:rPr>
          <w:lang w:val="mk-MK"/>
        </w:rPr>
        <w:t xml:space="preserve"> </w:t>
      </w:r>
      <w:r>
        <w:rPr>
          <w:lang w:val="mk-MK"/>
        </w:rPr>
        <w:t xml:space="preserve">ќе биде </w:t>
      </w:r>
      <w:r w:rsidRPr="00687CDA">
        <w:rPr>
          <w:lang w:val="mk-MK"/>
        </w:rPr>
        <w:t>дополн</w:t>
      </w:r>
      <w:r>
        <w:rPr>
          <w:lang w:val="mk-MK"/>
        </w:rPr>
        <w:t xml:space="preserve">ет </w:t>
      </w:r>
      <w:r w:rsidRPr="00687CDA">
        <w:rPr>
          <w:lang w:val="mk-MK"/>
        </w:rPr>
        <w:t xml:space="preserve">со план за консултации со засегнатите страни. </w:t>
      </w:r>
      <w:r>
        <w:rPr>
          <w:lang w:val="mk-MK"/>
        </w:rPr>
        <w:t xml:space="preserve">Воедно, ќе се зајакне правната рамка за вклучување на </w:t>
      </w:r>
      <w:r w:rsidRPr="00687CDA">
        <w:rPr>
          <w:lang w:val="mk-MK"/>
        </w:rPr>
        <w:t>засегнатите страни во процесот на изготвување закони и подзаконски акти</w:t>
      </w:r>
      <w:r>
        <w:rPr>
          <w:lang w:val="mk-MK"/>
        </w:rPr>
        <w:t xml:space="preserve"> </w:t>
      </w:r>
      <w:r>
        <w:rPr>
          <w:lang w:val="mk-MK"/>
        </w:rPr>
        <w:lastRenderedPageBreak/>
        <w:t>преку донесување на посебно упатство, како</w:t>
      </w:r>
      <w:r w:rsidRPr="00687CDA">
        <w:rPr>
          <w:lang w:val="mk-MK"/>
        </w:rPr>
        <w:t xml:space="preserve"> и усвојување на модел за учество на засегнатите страни во преговарачката структура и подготовката на преговарачките позиции. </w:t>
      </w:r>
      <w:r w:rsidRPr="00490641">
        <w:rPr>
          <w:lang w:val="mk-MK"/>
        </w:rPr>
        <w:t xml:space="preserve">Мерката треба да овозможи  </w:t>
      </w:r>
      <w:r w:rsidRPr="00687CDA">
        <w:rPr>
          <w:lang w:val="mk-MK"/>
        </w:rPr>
        <w:t xml:space="preserve">подобрување  на  работењето  на  секторските  работни  групи  во насока на зајакнување  на  капацитетот  за  спроведување на секторскиот пристап </w:t>
      </w:r>
      <w:r>
        <w:rPr>
          <w:lang w:val="mk-MK"/>
        </w:rPr>
        <w:t xml:space="preserve">и </w:t>
      </w:r>
      <w:r w:rsidRPr="00687CDA">
        <w:rPr>
          <w:lang w:val="mk-MK"/>
        </w:rPr>
        <w:t xml:space="preserve">одржување  на  постојан  дијалог  меѓу  </w:t>
      </w:r>
      <w:r>
        <w:rPr>
          <w:lang w:val="mk-MK"/>
        </w:rPr>
        <w:t xml:space="preserve">сите чинители во процесот. </w:t>
      </w:r>
      <w:r w:rsidRPr="00687CDA">
        <w:rPr>
          <w:lang w:val="mk-MK"/>
        </w:rPr>
        <w:t xml:space="preserve">  </w:t>
      </w:r>
    </w:p>
    <w:p w14:paraId="26CC971B" w14:textId="75B03921" w:rsidR="00D2754F" w:rsidRPr="00827D92" w:rsidRDefault="00D2754F" w:rsidP="00D2754F">
      <w:pPr>
        <w:jc w:val="both"/>
        <w:rPr>
          <w:b/>
          <w:bCs/>
          <w:lang w:val="mk-MK"/>
        </w:rPr>
      </w:pPr>
      <w:r w:rsidRPr="00827D92">
        <w:rPr>
          <w:b/>
          <w:bCs/>
          <w:lang w:val="mk-MK"/>
        </w:rPr>
        <w:t>М</w:t>
      </w:r>
      <w:r w:rsidR="000943C5">
        <w:rPr>
          <w:b/>
          <w:bCs/>
          <w:lang w:val="mk-MK"/>
        </w:rPr>
        <w:t xml:space="preserve"> </w:t>
      </w:r>
      <w:r w:rsidR="00B951DF">
        <w:rPr>
          <w:b/>
          <w:bCs/>
          <w:lang w:val="mk-MK"/>
        </w:rPr>
        <w:t>1.</w:t>
      </w:r>
      <w:r>
        <w:rPr>
          <w:b/>
          <w:bCs/>
          <w:lang w:val="mk-MK"/>
        </w:rPr>
        <w:t>2</w:t>
      </w:r>
      <w:r w:rsidR="000943C5">
        <w:rPr>
          <w:b/>
          <w:bCs/>
          <w:lang w:val="mk-MK"/>
        </w:rPr>
        <w:t>.2.</w:t>
      </w:r>
      <w:r w:rsidRPr="00827D92">
        <w:rPr>
          <w:b/>
          <w:bCs/>
          <w:lang w:val="mk-MK"/>
        </w:rPr>
        <w:t xml:space="preserve">: Редовно и навремено информирање на јавноста </w:t>
      </w:r>
      <w:r>
        <w:rPr>
          <w:b/>
          <w:bCs/>
          <w:lang w:val="mk-MK"/>
        </w:rPr>
        <w:t xml:space="preserve">за работата на </w:t>
      </w:r>
      <w:r w:rsidR="002F55EA">
        <w:rPr>
          <w:b/>
          <w:bCs/>
          <w:lang w:val="mk-MK"/>
        </w:rPr>
        <w:t xml:space="preserve">ВРСМ </w:t>
      </w:r>
      <w:r>
        <w:rPr>
          <w:b/>
          <w:bCs/>
          <w:lang w:val="mk-MK"/>
        </w:rPr>
        <w:t xml:space="preserve">и </w:t>
      </w:r>
      <w:r w:rsidRPr="00827D92">
        <w:rPr>
          <w:b/>
          <w:bCs/>
          <w:lang w:val="mk-MK"/>
        </w:rPr>
        <w:t>за спроведување</w:t>
      </w:r>
      <w:r>
        <w:rPr>
          <w:b/>
          <w:bCs/>
          <w:lang w:val="mk-MK"/>
        </w:rPr>
        <w:t>то</w:t>
      </w:r>
      <w:r w:rsidRPr="00827D92">
        <w:rPr>
          <w:b/>
          <w:bCs/>
          <w:lang w:val="mk-MK"/>
        </w:rPr>
        <w:t xml:space="preserve"> на планските документи </w:t>
      </w:r>
    </w:p>
    <w:p w14:paraId="11CDAFB8" w14:textId="2B8E0DBD" w:rsidR="00D2754F" w:rsidRDefault="00D2754F" w:rsidP="00D2754F">
      <w:pPr>
        <w:jc w:val="both"/>
        <w:rPr>
          <w:lang w:val="mk-MK"/>
        </w:rPr>
      </w:pPr>
      <w:r>
        <w:rPr>
          <w:lang w:val="mk-MK"/>
        </w:rPr>
        <w:t xml:space="preserve">Со цел да се обезбеди предвидливост во работата на </w:t>
      </w:r>
      <w:r w:rsidR="00202BF0">
        <w:rPr>
          <w:lang w:val="mk-MK"/>
        </w:rPr>
        <w:t>ВРСМ</w:t>
      </w:r>
      <w:r>
        <w:rPr>
          <w:lang w:val="mk-MK"/>
        </w:rPr>
        <w:t xml:space="preserve">, дневниот ред за седниците на </w:t>
      </w:r>
      <w:r w:rsidR="00202BF0">
        <w:rPr>
          <w:lang w:val="mk-MK"/>
        </w:rPr>
        <w:t xml:space="preserve">ВРСМ </w:t>
      </w:r>
      <w:r>
        <w:rPr>
          <w:lang w:val="mk-MK"/>
        </w:rPr>
        <w:t xml:space="preserve">ќе се објавува пред нивното започнување. На тој начин </w:t>
      </w:r>
      <w:r w:rsidRPr="00AB76B1">
        <w:rPr>
          <w:lang w:val="mk-MK"/>
        </w:rPr>
        <w:t xml:space="preserve">ќе се даде преглед на </w:t>
      </w:r>
      <w:r>
        <w:rPr>
          <w:lang w:val="mk-MK"/>
        </w:rPr>
        <w:t xml:space="preserve">очекуваните одлуки на седниците на </w:t>
      </w:r>
      <w:r w:rsidR="00202BF0">
        <w:rPr>
          <w:lang w:val="mk-MK"/>
        </w:rPr>
        <w:t>ВРСМ</w:t>
      </w:r>
      <w:r>
        <w:rPr>
          <w:lang w:val="mk-MK"/>
        </w:rPr>
        <w:t xml:space="preserve">. Исто така, </w:t>
      </w:r>
      <w:r w:rsidR="00202BF0">
        <w:rPr>
          <w:lang w:val="mk-MK"/>
        </w:rPr>
        <w:t xml:space="preserve">ВРСМ </w:t>
      </w:r>
      <w:r>
        <w:rPr>
          <w:lang w:val="mk-MK"/>
        </w:rPr>
        <w:t>и органите на државната управа, р</w:t>
      </w:r>
      <w:r w:rsidRPr="00AB76B1">
        <w:rPr>
          <w:lang w:val="mk-MK"/>
        </w:rPr>
        <w:t>едовно и навремено</w:t>
      </w:r>
      <w:r>
        <w:rPr>
          <w:lang w:val="mk-MK"/>
        </w:rPr>
        <w:t xml:space="preserve"> ќе </w:t>
      </w:r>
      <w:r w:rsidRPr="00AB76B1">
        <w:rPr>
          <w:lang w:val="mk-MK"/>
        </w:rPr>
        <w:t>објавува</w:t>
      </w:r>
      <w:r>
        <w:rPr>
          <w:lang w:val="mk-MK"/>
        </w:rPr>
        <w:t>ат</w:t>
      </w:r>
      <w:r w:rsidRPr="00AB76B1">
        <w:rPr>
          <w:lang w:val="mk-MK"/>
        </w:rPr>
        <w:t xml:space="preserve"> извештаи за спроведување на секторски</w:t>
      </w:r>
      <w:r>
        <w:rPr>
          <w:lang w:val="mk-MK"/>
        </w:rPr>
        <w:t>те</w:t>
      </w:r>
      <w:r w:rsidRPr="00AB76B1">
        <w:rPr>
          <w:lang w:val="mk-MK"/>
        </w:rPr>
        <w:t xml:space="preserve"> стратегии, </w:t>
      </w:r>
      <w:r>
        <w:rPr>
          <w:lang w:val="mk-MK"/>
        </w:rPr>
        <w:t xml:space="preserve">на </w:t>
      </w:r>
      <w:r w:rsidRPr="00AB76B1">
        <w:rPr>
          <w:lang w:val="mk-MK"/>
        </w:rPr>
        <w:t>НПАА и</w:t>
      </w:r>
      <w:r>
        <w:rPr>
          <w:lang w:val="mk-MK"/>
        </w:rPr>
        <w:t xml:space="preserve"> на</w:t>
      </w:r>
      <w:r w:rsidRPr="00AB76B1">
        <w:rPr>
          <w:lang w:val="mk-MK"/>
        </w:rPr>
        <w:t xml:space="preserve"> ГПРВ</w:t>
      </w:r>
      <w:r>
        <w:rPr>
          <w:lang w:val="mk-MK"/>
        </w:rPr>
        <w:t xml:space="preserve"> со што ќе се овозможи преглед на </w:t>
      </w:r>
      <w:r w:rsidRPr="00AB76B1">
        <w:rPr>
          <w:lang w:val="mk-MK"/>
        </w:rPr>
        <w:t>степенот на реализација на предвидените цели и активности</w:t>
      </w:r>
      <w:r>
        <w:rPr>
          <w:lang w:val="mk-MK"/>
        </w:rPr>
        <w:t xml:space="preserve"> и исполнувањето на обврските во однос на</w:t>
      </w:r>
      <w:r w:rsidRPr="00AB76B1">
        <w:rPr>
          <w:lang w:val="mk-MK"/>
        </w:rPr>
        <w:t xml:space="preserve"> </w:t>
      </w:r>
      <w:r>
        <w:rPr>
          <w:lang w:val="mk-MK"/>
        </w:rPr>
        <w:t xml:space="preserve">пристапниот процес. Оваа мерка ќе придонесе кон поголема транспрентност и зајакнување на отчетноста на </w:t>
      </w:r>
      <w:r w:rsidR="00202BF0">
        <w:rPr>
          <w:lang w:val="mk-MK"/>
        </w:rPr>
        <w:t>ВРСМ</w:t>
      </w:r>
      <w:r>
        <w:rPr>
          <w:lang w:val="mk-MK"/>
        </w:rPr>
        <w:t xml:space="preserve">. </w:t>
      </w:r>
    </w:p>
    <w:p w14:paraId="622E1B97" w14:textId="77777777" w:rsidR="00351D48" w:rsidRPr="00C1585A" w:rsidRDefault="00351D48" w:rsidP="00351D48">
      <w:pPr>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tbl>
      <w:tblPr>
        <w:tblStyle w:val="TableGrid"/>
        <w:tblW w:w="0" w:type="auto"/>
        <w:tblLook w:val="04A0" w:firstRow="1" w:lastRow="0" w:firstColumn="1" w:lastColumn="0" w:noHBand="0" w:noVBand="1"/>
      </w:tblPr>
      <w:tblGrid>
        <w:gridCol w:w="5395"/>
        <w:gridCol w:w="1350"/>
        <w:gridCol w:w="1260"/>
        <w:gridCol w:w="1345"/>
      </w:tblGrid>
      <w:tr w:rsidR="00C1585A" w:rsidRPr="00C5110C" w14:paraId="47A82C9F" w14:textId="77777777" w:rsidTr="002877AE">
        <w:tc>
          <w:tcPr>
            <w:tcW w:w="9350" w:type="dxa"/>
            <w:gridSpan w:val="4"/>
            <w:tcBorders>
              <w:top w:val="single" w:sz="12" w:space="0" w:color="auto"/>
            </w:tcBorders>
            <w:shd w:val="clear" w:color="auto" w:fill="D9E2F3" w:themeFill="accent1" w:themeFillTint="33"/>
          </w:tcPr>
          <w:p w14:paraId="650D3B48" w14:textId="200673F0" w:rsidR="00C1585A" w:rsidRPr="00C5110C" w:rsidRDefault="00C1585A" w:rsidP="00EC7C0D">
            <w:pPr>
              <w:jc w:val="both"/>
              <w:rPr>
                <w:highlight w:val="yellow"/>
                <w:lang w:val="mk-MK"/>
              </w:rPr>
            </w:pPr>
            <w:r w:rsidRPr="00C5110C">
              <w:rPr>
                <w:rFonts w:ascii="Calibri" w:hAnsi="Calibri" w:cs="Calibri"/>
                <w:b/>
                <w:bCs/>
                <w:u w:val="single"/>
              </w:rPr>
              <w:t xml:space="preserve">Посебна цел </w:t>
            </w:r>
            <w:r w:rsidR="00B951DF">
              <w:rPr>
                <w:rFonts w:ascii="Calibri" w:hAnsi="Calibri" w:cs="Calibri"/>
                <w:b/>
                <w:bCs/>
                <w:u w:val="single"/>
                <w:lang w:val="mk-MK"/>
              </w:rPr>
              <w:t>1.</w:t>
            </w:r>
            <w:r w:rsidRPr="00C5110C">
              <w:rPr>
                <w:rFonts w:ascii="Calibri" w:hAnsi="Calibri" w:cs="Calibri"/>
                <w:b/>
                <w:bCs/>
                <w:u w:val="single"/>
                <w:lang w:val="mk-MK"/>
              </w:rPr>
              <w:t>2</w:t>
            </w:r>
            <w:r w:rsidRPr="00C5110C">
              <w:rPr>
                <w:rFonts w:ascii="Calibri" w:hAnsi="Calibri" w:cs="Calibri"/>
                <w:b/>
                <w:bCs/>
                <w:u w:val="single"/>
              </w:rPr>
              <w:t xml:space="preserve">.: </w:t>
            </w:r>
            <w:r w:rsidRPr="00C5110C">
              <w:rPr>
                <w:rFonts w:ascii="Calibri" w:hAnsi="Calibri" w:cs="Calibri"/>
                <w:b/>
                <w:bCs/>
              </w:rPr>
              <w:t xml:space="preserve">Зголемена транспарентност, инклузивност и партиципативност во процесот на креирање политики и подготовка на закони  </w:t>
            </w:r>
          </w:p>
        </w:tc>
      </w:tr>
      <w:tr w:rsidR="00C1585A" w:rsidRPr="00933133" w14:paraId="3ADFC7F9" w14:textId="77777777" w:rsidTr="002877AE">
        <w:tc>
          <w:tcPr>
            <w:tcW w:w="5395" w:type="dxa"/>
            <w:vMerge w:val="restart"/>
            <w:shd w:val="clear" w:color="auto" w:fill="D9E2F3" w:themeFill="accent1" w:themeFillTint="33"/>
            <w:vAlign w:val="center"/>
          </w:tcPr>
          <w:p w14:paraId="19C4A615" w14:textId="77777777" w:rsidR="00C1585A" w:rsidRPr="00933133" w:rsidRDefault="00C1585A" w:rsidP="00EC7C0D">
            <w:pPr>
              <w:jc w:val="center"/>
              <w:rPr>
                <w:rFonts w:ascii="Calibri" w:hAnsi="Calibri" w:cs="Calibri"/>
                <w:color w:val="000000"/>
                <w:lang w:val="mk-MK"/>
              </w:rPr>
            </w:pPr>
          </w:p>
          <w:p w14:paraId="282430B2"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 исход:</w:t>
            </w:r>
          </w:p>
        </w:tc>
        <w:tc>
          <w:tcPr>
            <w:tcW w:w="1350" w:type="dxa"/>
            <w:tcBorders>
              <w:bottom w:val="nil"/>
              <w:right w:val="nil"/>
            </w:tcBorders>
            <w:shd w:val="clear" w:color="auto" w:fill="D9E2F3" w:themeFill="accent1" w:themeFillTint="33"/>
          </w:tcPr>
          <w:p w14:paraId="0F6CF7EE" w14:textId="77777777" w:rsidR="00C1585A" w:rsidRPr="00933133" w:rsidRDefault="00C1585A" w:rsidP="00EC7C0D">
            <w:pPr>
              <w:jc w:val="center"/>
              <w:rPr>
                <w:rFonts w:ascii="Calibri" w:hAnsi="Calibri" w:cs="Calibri"/>
                <w:color w:val="000000"/>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62702213" w14:textId="77777777" w:rsidR="00C1585A" w:rsidRPr="00933133" w:rsidRDefault="00C1585A" w:rsidP="00EC7C0D">
            <w:pPr>
              <w:jc w:val="center"/>
              <w:rPr>
                <w:rFonts w:ascii="Calibri" w:hAnsi="Calibri" w:cs="Calibri"/>
                <w:color w:val="000000"/>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2D83116" w14:textId="77777777" w:rsidR="00C1585A" w:rsidRPr="00933133" w:rsidRDefault="00C1585A" w:rsidP="00EC7C0D">
            <w:pPr>
              <w:jc w:val="center"/>
              <w:rPr>
                <w:highlight w:val="yellow"/>
                <w:lang w:val="mk-MK"/>
              </w:rPr>
            </w:pPr>
            <w:r w:rsidRPr="00933133">
              <w:rPr>
                <w:b/>
                <w:bCs/>
                <w:lang w:val="mk-MK"/>
              </w:rPr>
              <w:t>Крајна вредност</w:t>
            </w:r>
          </w:p>
        </w:tc>
      </w:tr>
      <w:tr w:rsidR="00C1585A" w:rsidRPr="00823E83" w14:paraId="26D0DFF7" w14:textId="77777777" w:rsidTr="002877AE">
        <w:tc>
          <w:tcPr>
            <w:tcW w:w="5395" w:type="dxa"/>
            <w:vMerge/>
            <w:shd w:val="clear" w:color="auto" w:fill="D9E2F3" w:themeFill="accent1" w:themeFillTint="33"/>
          </w:tcPr>
          <w:p w14:paraId="36077107" w14:textId="77777777" w:rsidR="00C1585A" w:rsidRPr="00933133" w:rsidRDefault="00C1585A" w:rsidP="00EC7C0D">
            <w:pPr>
              <w:rPr>
                <w:rFonts w:ascii="Calibri" w:hAnsi="Calibri" w:cs="Calibri"/>
                <w:color w:val="000000"/>
              </w:rPr>
            </w:pPr>
          </w:p>
        </w:tc>
        <w:tc>
          <w:tcPr>
            <w:tcW w:w="1350" w:type="dxa"/>
            <w:tcBorders>
              <w:top w:val="nil"/>
              <w:right w:val="nil"/>
            </w:tcBorders>
            <w:shd w:val="clear" w:color="auto" w:fill="D9E2F3" w:themeFill="accent1" w:themeFillTint="33"/>
          </w:tcPr>
          <w:p w14:paraId="5687F4A8"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2021</w:t>
            </w:r>
          </w:p>
        </w:tc>
        <w:tc>
          <w:tcPr>
            <w:tcW w:w="1260" w:type="dxa"/>
            <w:tcBorders>
              <w:top w:val="nil"/>
              <w:left w:val="nil"/>
              <w:right w:val="nil"/>
            </w:tcBorders>
            <w:shd w:val="clear" w:color="auto" w:fill="D9E2F3" w:themeFill="accent1" w:themeFillTint="33"/>
          </w:tcPr>
          <w:p w14:paraId="38C1A613" w14:textId="77777777" w:rsidR="00C1585A" w:rsidRPr="00933133" w:rsidRDefault="00C1585A"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780D06F5" w14:textId="77777777" w:rsidR="00C1585A" w:rsidRPr="00823E83" w:rsidRDefault="00C1585A" w:rsidP="00EC7C0D">
            <w:pPr>
              <w:jc w:val="center"/>
              <w:rPr>
                <w:b/>
                <w:bCs/>
                <w:lang w:val="mk-MK"/>
              </w:rPr>
            </w:pPr>
            <w:r w:rsidRPr="00823E83">
              <w:rPr>
                <w:b/>
                <w:bCs/>
                <w:lang w:val="mk-MK"/>
              </w:rPr>
              <w:t>2030</w:t>
            </w:r>
          </w:p>
        </w:tc>
      </w:tr>
      <w:tr w:rsidR="00C1585A" w:rsidRPr="00823E83" w14:paraId="2EC67EDC" w14:textId="77777777" w:rsidTr="002877AE">
        <w:trPr>
          <w:trHeight w:val="1115"/>
        </w:trPr>
        <w:tc>
          <w:tcPr>
            <w:tcW w:w="5395" w:type="dxa"/>
            <w:shd w:val="clear" w:color="auto" w:fill="D9E2F3" w:themeFill="accent1" w:themeFillTint="33"/>
          </w:tcPr>
          <w:p w14:paraId="362CBD0E" w14:textId="1AE35D44" w:rsidR="00C1585A" w:rsidRPr="000D20B1" w:rsidRDefault="00C1585A" w:rsidP="00EC7C0D">
            <w:pPr>
              <w:rPr>
                <w:rFonts w:ascii="Calibri" w:hAnsi="Calibri" w:cs="Calibri"/>
                <w:color w:val="000000"/>
                <w:sz w:val="20"/>
                <w:szCs w:val="20"/>
              </w:rPr>
            </w:pPr>
            <w:r w:rsidRPr="000D20B1">
              <w:rPr>
                <w:rFonts w:ascii="Calibri" w:hAnsi="Calibri" w:cs="Calibri"/>
                <w:sz w:val="20"/>
                <w:szCs w:val="20"/>
              </w:rPr>
              <w:t xml:space="preserve">Вредност на показателот на СИГМА за </w:t>
            </w:r>
            <w:r w:rsidR="00EE36C7">
              <w:rPr>
                <w:rFonts w:ascii="Calibri" w:hAnsi="Calibri" w:cs="Calibri"/>
                <w:sz w:val="20"/>
                <w:szCs w:val="20"/>
                <w:lang w:val="mk-MK"/>
              </w:rPr>
              <w:t>к</w:t>
            </w:r>
            <w:r w:rsidRPr="000D20B1">
              <w:rPr>
                <w:rFonts w:ascii="Calibri" w:hAnsi="Calibri" w:cs="Calibri"/>
                <w:sz w:val="20"/>
                <w:szCs w:val="20"/>
              </w:rPr>
              <w:t xml:space="preserve">онсултации со јавноста за јавни политики (тематската област Развој и координација на политики од Начелата на јавната администрација)                                                                                                                      </w:t>
            </w:r>
          </w:p>
        </w:tc>
        <w:tc>
          <w:tcPr>
            <w:tcW w:w="1350" w:type="dxa"/>
            <w:shd w:val="clear" w:color="auto" w:fill="D9E2F3" w:themeFill="accent1" w:themeFillTint="33"/>
            <w:vAlign w:val="center"/>
          </w:tcPr>
          <w:p w14:paraId="6D5D9002"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2</w:t>
            </w:r>
          </w:p>
        </w:tc>
        <w:tc>
          <w:tcPr>
            <w:tcW w:w="1260" w:type="dxa"/>
            <w:shd w:val="clear" w:color="auto" w:fill="D9E2F3" w:themeFill="accent1" w:themeFillTint="33"/>
            <w:vAlign w:val="center"/>
          </w:tcPr>
          <w:p w14:paraId="396A9955"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2,5</w:t>
            </w:r>
          </w:p>
        </w:tc>
        <w:tc>
          <w:tcPr>
            <w:tcW w:w="1345" w:type="dxa"/>
            <w:shd w:val="clear" w:color="auto" w:fill="D9E2F3" w:themeFill="accent1" w:themeFillTint="33"/>
            <w:vAlign w:val="center"/>
          </w:tcPr>
          <w:p w14:paraId="49892E6A" w14:textId="77777777" w:rsidR="00C1585A" w:rsidRPr="00823E83" w:rsidRDefault="00C1585A" w:rsidP="00EC7C0D">
            <w:pPr>
              <w:jc w:val="center"/>
              <w:rPr>
                <w:sz w:val="20"/>
                <w:szCs w:val="20"/>
                <w:lang w:val="mk-MK"/>
              </w:rPr>
            </w:pPr>
            <w:r w:rsidRPr="00823E83">
              <w:rPr>
                <w:sz w:val="20"/>
                <w:szCs w:val="20"/>
                <w:lang w:val="mk-MK"/>
              </w:rPr>
              <w:t>3,5</w:t>
            </w:r>
          </w:p>
        </w:tc>
      </w:tr>
      <w:tr w:rsidR="00C1585A" w:rsidRPr="00C5110C" w14:paraId="0F661D7F" w14:textId="77777777" w:rsidTr="002877AE">
        <w:tc>
          <w:tcPr>
            <w:tcW w:w="9350" w:type="dxa"/>
            <w:gridSpan w:val="4"/>
            <w:shd w:val="clear" w:color="auto" w:fill="D9E2F3" w:themeFill="accent1" w:themeFillTint="33"/>
          </w:tcPr>
          <w:p w14:paraId="0FFD9C69" w14:textId="6DA20EEA" w:rsidR="00C1585A" w:rsidRPr="00C5110C" w:rsidRDefault="00C1585A" w:rsidP="00EC7C0D">
            <w:pPr>
              <w:rPr>
                <w:highlight w:val="yellow"/>
                <w:lang w:val="mk-MK"/>
              </w:rPr>
            </w:pPr>
            <w:r w:rsidRPr="00C5110C">
              <w:rPr>
                <w:rFonts w:cstheme="minorHAnsi"/>
                <w:b/>
              </w:rPr>
              <w:t>М</w:t>
            </w:r>
            <w:r>
              <w:rPr>
                <w:rFonts w:cstheme="minorHAnsi"/>
                <w:b/>
                <w:lang w:val="mk-MK"/>
              </w:rPr>
              <w:t>ерка</w:t>
            </w:r>
            <w:r w:rsidRPr="00C5110C">
              <w:rPr>
                <w:rFonts w:cstheme="minorHAnsi"/>
                <w:b/>
              </w:rPr>
              <w:t xml:space="preserve"> </w:t>
            </w:r>
            <w:r w:rsidR="00B951DF">
              <w:rPr>
                <w:rFonts w:cstheme="minorHAnsi"/>
                <w:b/>
                <w:lang w:val="mk-MK"/>
              </w:rPr>
              <w:t>1.</w:t>
            </w:r>
            <w:r w:rsidRPr="00C5110C">
              <w:rPr>
                <w:rFonts w:cstheme="minorHAnsi"/>
                <w:b/>
              </w:rPr>
              <w:t>2.1 Вклучување на заинтересираните страни и пошироката јавност во креирањето на политиките и подготовката на законодавството</w:t>
            </w:r>
          </w:p>
        </w:tc>
      </w:tr>
      <w:tr w:rsidR="00C1585A" w:rsidRPr="00186921" w14:paraId="523AD3DD" w14:textId="77777777" w:rsidTr="002877AE">
        <w:tc>
          <w:tcPr>
            <w:tcW w:w="5395" w:type="dxa"/>
            <w:vMerge w:val="restart"/>
            <w:shd w:val="clear" w:color="auto" w:fill="D9E2F3" w:themeFill="accent1" w:themeFillTint="33"/>
            <w:vAlign w:val="center"/>
          </w:tcPr>
          <w:p w14:paraId="5B865133" w14:textId="77777777" w:rsidR="00C1585A" w:rsidRPr="003D459E" w:rsidRDefault="00C1585A"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4AE5F6FB" w14:textId="77777777" w:rsidR="00C1585A"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7340D2C6" w14:textId="77777777" w:rsidR="00C1585A"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18E2DCBC" w14:textId="77777777" w:rsidR="00C1585A" w:rsidRPr="00186921" w:rsidRDefault="00C1585A" w:rsidP="00EC7C0D">
            <w:pPr>
              <w:jc w:val="center"/>
              <w:rPr>
                <w:highlight w:val="yellow"/>
                <w:lang w:val="mk-MK"/>
              </w:rPr>
            </w:pPr>
            <w:r w:rsidRPr="00933133">
              <w:rPr>
                <w:b/>
                <w:bCs/>
                <w:lang w:val="mk-MK"/>
              </w:rPr>
              <w:t>Крајна вредност</w:t>
            </w:r>
          </w:p>
        </w:tc>
      </w:tr>
      <w:tr w:rsidR="00C1585A" w:rsidRPr="00823E83" w14:paraId="7D283D34" w14:textId="77777777" w:rsidTr="002877AE">
        <w:tc>
          <w:tcPr>
            <w:tcW w:w="5395" w:type="dxa"/>
            <w:vMerge/>
            <w:shd w:val="clear" w:color="auto" w:fill="D9E2F3" w:themeFill="accent1" w:themeFillTint="33"/>
          </w:tcPr>
          <w:p w14:paraId="35DEAEA3" w14:textId="77777777" w:rsidR="00C1585A" w:rsidRPr="003D459E" w:rsidRDefault="00C1585A" w:rsidP="00EC7C0D">
            <w:pPr>
              <w:rPr>
                <w:rFonts w:cstheme="minorHAnsi"/>
                <w:sz w:val="18"/>
                <w:szCs w:val="18"/>
              </w:rPr>
            </w:pPr>
          </w:p>
        </w:tc>
        <w:tc>
          <w:tcPr>
            <w:tcW w:w="1350" w:type="dxa"/>
            <w:tcBorders>
              <w:top w:val="nil"/>
              <w:right w:val="nil"/>
            </w:tcBorders>
            <w:shd w:val="clear" w:color="auto" w:fill="D9E2F3" w:themeFill="accent1" w:themeFillTint="33"/>
          </w:tcPr>
          <w:p w14:paraId="3ADE6587"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21</w:t>
            </w:r>
          </w:p>
        </w:tc>
        <w:tc>
          <w:tcPr>
            <w:tcW w:w="1260" w:type="dxa"/>
            <w:tcBorders>
              <w:top w:val="nil"/>
              <w:left w:val="nil"/>
              <w:right w:val="nil"/>
            </w:tcBorders>
            <w:shd w:val="clear" w:color="auto" w:fill="D9E2F3" w:themeFill="accent1" w:themeFillTint="33"/>
          </w:tcPr>
          <w:p w14:paraId="00E9BC5F"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21EC3133" w14:textId="77777777" w:rsidR="00C1585A" w:rsidRPr="00823E83" w:rsidRDefault="00C1585A" w:rsidP="00EC7C0D">
            <w:pPr>
              <w:jc w:val="center"/>
              <w:rPr>
                <w:lang w:val="mk-MK"/>
              </w:rPr>
            </w:pPr>
            <w:r w:rsidRPr="00823E83">
              <w:rPr>
                <w:b/>
                <w:bCs/>
                <w:lang w:val="mk-MK"/>
              </w:rPr>
              <w:t>2030</w:t>
            </w:r>
          </w:p>
        </w:tc>
      </w:tr>
      <w:tr w:rsidR="00C1585A" w:rsidRPr="00823E83" w14:paraId="35CB1029" w14:textId="77777777" w:rsidTr="002877AE">
        <w:trPr>
          <w:trHeight w:val="872"/>
        </w:trPr>
        <w:tc>
          <w:tcPr>
            <w:tcW w:w="5395" w:type="dxa"/>
            <w:shd w:val="clear" w:color="auto" w:fill="D9E2F3" w:themeFill="accent1" w:themeFillTint="33"/>
          </w:tcPr>
          <w:p w14:paraId="0BC0EAC5" w14:textId="77777777" w:rsidR="00C1585A" w:rsidRPr="000D20B1" w:rsidRDefault="00C1585A" w:rsidP="00EC7C0D">
            <w:pPr>
              <w:rPr>
                <w:rFonts w:cstheme="minorHAnsi"/>
                <w:sz w:val="20"/>
                <w:szCs w:val="20"/>
              </w:rPr>
            </w:pPr>
            <w:r w:rsidRPr="000D20B1">
              <w:rPr>
                <w:rFonts w:cstheme="minorHAnsi"/>
                <w:bCs/>
                <w:sz w:val="20"/>
                <w:szCs w:val="20"/>
              </w:rPr>
              <w:t>Процент на работни групи формирани при изработка на предлози на закони со вклучени претставници на граѓански организации</w:t>
            </w:r>
          </w:p>
        </w:tc>
        <w:tc>
          <w:tcPr>
            <w:tcW w:w="1350" w:type="dxa"/>
            <w:shd w:val="clear" w:color="auto" w:fill="D9E2F3" w:themeFill="accent1" w:themeFillTint="33"/>
            <w:vAlign w:val="center"/>
          </w:tcPr>
          <w:p w14:paraId="02FB2E9C"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35%</w:t>
            </w:r>
          </w:p>
        </w:tc>
        <w:tc>
          <w:tcPr>
            <w:tcW w:w="1260" w:type="dxa"/>
            <w:shd w:val="clear" w:color="auto" w:fill="D9E2F3" w:themeFill="accent1" w:themeFillTint="33"/>
            <w:vAlign w:val="center"/>
          </w:tcPr>
          <w:p w14:paraId="7937BC22"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50%</w:t>
            </w:r>
          </w:p>
        </w:tc>
        <w:tc>
          <w:tcPr>
            <w:tcW w:w="1345" w:type="dxa"/>
            <w:shd w:val="clear" w:color="auto" w:fill="D9E2F3" w:themeFill="accent1" w:themeFillTint="33"/>
            <w:vAlign w:val="center"/>
          </w:tcPr>
          <w:p w14:paraId="6A395DA9" w14:textId="77777777" w:rsidR="00C1585A" w:rsidRPr="00B951DF" w:rsidRDefault="00C1585A" w:rsidP="00EC7C0D">
            <w:pPr>
              <w:jc w:val="center"/>
              <w:rPr>
                <w:sz w:val="20"/>
                <w:szCs w:val="20"/>
                <w:lang w:val="mk-MK"/>
              </w:rPr>
            </w:pPr>
            <w:r w:rsidRPr="00B951DF">
              <w:rPr>
                <w:sz w:val="20"/>
                <w:szCs w:val="20"/>
                <w:lang w:val="mk-MK"/>
              </w:rPr>
              <w:t>60%</w:t>
            </w:r>
          </w:p>
        </w:tc>
      </w:tr>
      <w:tr w:rsidR="00C1585A" w:rsidRPr="00823E83" w14:paraId="2A14682F" w14:textId="77777777" w:rsidTr="002877AE">
        <w:trPr>
          <w:trHeight w:val="620"/>
        </w:trPr>
        <w:tc>
          <w:tcPr>
            <w:tcW w:w="5395" w:type="dxa"/>
            <w:shd w:val="clear" w:color="auto" w:fill="D9E2F3" w:themeFill="accent1" w:themeFillTint="33"/>
          </w:tcPr>
          <w:p w14:paraId="4A37C0B9" w14:textId="77777777" w:rsidR="00C1585A" w:rsidRPr="000D20B1" w:rsidRDefault="00C1585A" w:rsidP="00EC7C0D">
            <w:pPr>
              <w:rPr>
                <w:rFonts w:cstheme="minorHAnsi"/>
                <w:bCs/>
                <w:sz w:val="20"/>
                <w:szCs w:val="20"/>
              </w:rPr>
            </w:pPr>
            <w:r w:rsidRPr="000D20B1">
              <w:rPr>
                <w:rFonts w:cstheme="minorHAnsi"/>
                <w:bCs/>
                <w:sz w:val="20"/>
                <w:szCs w:val="20"/>
              </w:rPr>
              <w:t>Процент на предлози на закони со нацрт Извештаи за ПВР за кои е запазена постапката за консултации на ЕНЕР</w:t>
            </w:r>
          </w:p>
        </w:tc>
        <w:tc>
          <w:tcPr>
            <w:tcW w:w="1350" w:type="dxa"/>
            <w:shd w:val="clear" w:color="auto" w:fill="D9E2F3" w:themeFill="accent1" w:themeFillTint="33"/>
            <w:vAlign w:val="center"/>
          </w:tcPr>
          <w:p w14:paraId="57E94C27"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18%</w:t>
            </w:r>
          </w:p>
        </w:tc>
        <w:tc>
          <w:tcPr>
            <w:tcW w:w="1260" w:type="dxa"/>
            <w:shd w:val="clear" w:color="auto" w:fill="D9E2F3" w:themeFill="accent1" w:themeFillTint="33"/>
            <w:vAlign w:val="center"/>
          </w:tcPr>
          <w:p w14:paraId="2C1B50EE"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50%</w:t>
            </w:r>
          </w:p>
        </w:tc>
        <w:tc>
          <w:tcPr>
            <w:tcW w:w="1345" w:type="dxa"/>
            <w:shd w:val="clear" w:color="auto" w:fill="D9E2F3" w:themeFill="accent1" w:themeFillTint="33"/>
            <w:vAlign w:val="center"/>
          </w:tcPr>
          <w:p w14:paraId="2EFC8F5B" w14:textId="77777777" w:rsidR="00C1585A" w:rsidRPr="00B951DF" w:rsidRDefault="00C1585A" w:rsidP="00EC7C0D">
            <w:pPr>
              <w:jc w:val="center"/>
              <w:rPr>
                <w:sz w:val="20"/>
                <w:szCs w:val="20"/>
                <w:lang w:val="mk-MK"/>
              </w:rPr>
            </w:pPr>
            <w:r w:rsidRPr="00B951DF">
              <w:rPr>
                <w:sz w:val="20"/>
                <w:szCs w:val="20"/>
                <w:lang w:val="mk-MK"/>
              </w:rPr>
              <w:t>80%</w:t>
            </w:r>
          </w:p>
        </w:tc>
      </w:tr>
      <w:tr w:rsidR="00C1585A" w:rsidRPr="00C5110C" w14:paraId="12C29BB9" w14:textId="77777777" w:rsidTr="002877AE">
        <w:tc>
          <w:tcPr>
            <w:tcW w:w="9350" w:type="dxa"/>
            <w:gridSpan w:val="4"/>
            <w:shd w:val="clear" w:color="auto" w:fill="D9E2F3" w:themeFill="accent1" w:themeFillTint="33"/>
          </w:tcPr>
          <w:p w14:paraId="6BED898B" w14:textId="03B1E80D" w:rsidR="00C1585A" w:rsidRPr="00C5110C" w:rsidRDefault="00C1585A" w:rsidP="00EC7C0D">
            <w:pPr>
              <w:jc w:val="both"/>
              <w:rPr>
                <w:highlight w:val="yellow"/>
                <w:lang w:val="mk-MK"/>
              </w:rPr>
            </w:pPr>
            <w:r w:rsidRPr="00C5110C">
              <w:rPr>
                <w:rFonts w:cstheme="minorHAnsi"/>
                <w:b/>
              </w:rPr>
              <w:t>М</w:t>
            </w:r>
            <w:r>
              <w:rPr>
                <w:rFonts w:cstheme="minorHAnsi"/>
                <w:b/>
                <w:lang w:val="mk-MK"/>
              </w:rPr>
              <w:t>ерка</w:t>
            </w:r>
            <w:r w:rsidRPr="00C5110C">
              <w:rPr>
                <w:rFonts w:cstheme="minorHAnsi"/>
                <w:b/>
                <w:lang w:val="mk-MK"/>
              </w:rPr>
              <w:t xml:space="preserve"> </w:t>
            </w:r>
            <w:r w:rsidR="00B951DF">
              <w:rPr>
                <w:rFonts w:cstheme="minorHAnsi"/>
                <w:b/>
                <w:lang w:val="mk-MK"/>
              </w:rPr>
              <w:t>1.</w:t>
            </w:r>
            <w:r w:rsidRPr="00C5110C">
              <w:rPr>
                <w:rFonts w:cstheme="minorHAnsi"/>
                <w:b/>
              </w:rPr>
              <w:t xml:space="preserve">2.2 Редовно и навремено информирање на јавноста за работата на </w:t>
            </w:r>
            <w:r w:rsidR="00202BF0">
              <w:rPr>
                <w:rFonts w:cstheme="minorHAnsi"/>
                <w:b/>
                <w:lang w:val="mk-MK"/>
              </w:rPr>
              <w:t>ВРСМ</w:t>
            </w:r>
            <w:r w:rsidR="00202BF0" w:rsidRPr="00C5110C">
              <w:rPr>
                <w:rFonts w:cstheme="minorHAnsi"/>
                <w:b/>
              </w:rPr>
              <w:t xml:space="preserve"> </w:t>
            </w:r>
            <w:r w:rsidRPr="00C5110C">
              <w:rPr>
                <w:rFonts w:cstheme="minorHAnsi"/>
                <w:b/>
              </w:rPr>
              <w:t>и за спроведување на планските документи</w:t>
            </w:r>
          </w:p>
        </w:tc>
      </w:tr>
      <w:tr w:rsidR="00C1585A" w:rsidRPr="00186921" w14:paraId="3F1870EF" w14:textId="77777777" w:rsidTr="002877AE">
        <w:tc>
          <w:tcPr>
            <w:tcW w:w="5395" w:type="dxa"/>
            <w:vMerge w:val="restart"/>
            <w:shd w:val="clear" w:color="auto" w:fill="D9E2F3" w:themeFill="accent1" w:themeFillTint="33"/>
            <w:vAlign w:val="center"/>
          </w:tcPr>
          <w:p w14:paraId="4EDCD65B" w14:textId="77777777" w:rsidR="00C1585A" w:rsidRPr="003D459E" w:rsidRDefault="00C1585A"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09184C36" w14:textId="77777777" w:rsidR="00C1585A" w:rsidRDefault="00C1585A"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04305D5B" w14:textId="77777777" w:rsidR="00C1585A" w:rsidRDefault="00C1585A"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4E7A2634" w14:textId="77777777" w:rsidR="00C1585A" w:rsidRPr="00186921" w:rsidRDefault="00C1585A" w:rsidP="00EC7C0D">
            <w:pPr>
              <w:jc w:val="center"/>
              <w:rPr>
                <w:highlight w:val="yellow"/>
                <w:lang w:val="mk-MK"/>
              </w:rPr>
            </w:pPr>
            <w:r w:rsidRPr="00933133">
              <w:rPr>
                <w:b/>
                <w:bCs/>
                <w:lang w:val="mk-MK"/>
              </w:rPr>
              <w:t>Крајна вредност</w:t>
            </w:r>
          </w:p>
        </w:tc>
      </w:tr>
      <w:tr w:rsidR="00C1585A" w:rsidRPr="00823E83" w14:paraId="67C33A5E" w14:textId="77777777" w:rsidTr="002877AE">
        <w:tc>
          <w:tcPr>
            <w:tcW w:w="5395" w:type="dxa"/>
            <w:vMerge/>
            <w:shd w:val="clear" w:color="auto" w:fill="D9E2F3" w:themeFill="accent1" w:themeFillTint="33"/>
          </w:tcPr>
          <w:p w14:paraId="27B144B6" w14:textId="77777777" w:rsidR="00C1585A" w:rsidRPr="003D459E" w:rsidRDefault="00C1585A" w:rsidP="00EC7C0D">
            <w:pPr>
              <w:rPr>
                <w:rFonts w:cstheme="minorHAnsi"/>
                <w:sz w:val="18"/>
                <w:szCs w:val="18"/>
              </w:rPr>
            </w:pPr>
          </w:p>
        </w:tc>
        <w:tc>
          <w:tcPr>
            <w:tcW w:w="1350" w:type="dxa"/>
            <w:tcBorders>
              <w:top w:val="nil"/>
              <w:right w:val="nil"/>
            </w:tcBorders>
            <w:shd w:val="clear" w:color="auto" w:fill="D9E2F3" w:themeFill="accent1" w:themeFillTint="33"/>
          </w:tcPr>
          <w:p w14:paraId="56A5C352"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30430C63" w14:textId="77777777" w:rsidR="00C1585A" w:rsidRDefault="00C1585A"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173F0583" w14:textId="77777777" w:rsidR="00C1585A" w:rsidRPr="00823E83" w:rsidRDefault="00C1585A" w:rsidP="00EC7C0D">
            <w:pPr>
              <w:jc w:val="center"/>
              <w:rPr>
                <w:lang w:val="mk-MK"/>
              </w:rPr>
            </w:pPr>
            <w:r w:rsidRPr="00823E83">
              <w:rPr>
                <w:b/>
                <w:bCs/>
                <w:lang w:val="mk-MK"/>
              </w:rPr>
              <w:t>2030</w:t>
            </w:r>
          </w:p>
        </w:tc>
      </w:tr>
      <w:tr w:rsidR="00C1585A" w:rsidRPr="00823E83" w14:paraId="11C9828B" w14:textId="77777777" w:rsidTr="002877AE">
        <w:trPr>
          <w:trHeight w:val="638"/>
        </w:trPr>
        <w:tc>
          <w:tcPr>
            <w:tcW w:w="5395" w:type="dxa"/>
            <w:shd w:val="clear" w:color="auto" w:fill="D9E2F3" w:themeFill="accent1" w:themeFillTint="33"/>
          </w:tcPr>
          <w:p w14:paraId="47A328CD" w14:textId="77777777" w:rsidR="00C1585A" w:rsidRPr="000D20B1" w:rsidRDefault="00C1585A" w:rsidP="00EC7C0D">
            <w:pPr>
              <w:rPr>
                <w:rFonts w:cstheme="minorHAnsi"/>
                <w:sz w:val="20"/>
                <w:szCs w:val="20"/>
              </w:rPr>
            </w:pPr>
            <w:r w:rsidRPr="000D20B1">
              <w:rPr>
                <w:rFonts w:cstheme="minorHAnsi"/>
                <w:bCs/>
                <w:sz w:val="20"/>
                <w:szCs w:val="20"/>
              </w:rPr>
              <w:t xml:space="preserve">Процент на јавно објавени извештаи за спроведување на секторски стратегии                                    </w:t>
            </w:r>
          </w:p>
        </w:tc>
        <w:tc>
          <w:tcPr>
            <w:tcW w:w="1350" w:type="dxa"/>
            <w:shd w:val="clear" w:color="auto" w:fill="D9E2F3" w:themeFill="accent1" w:themeFillTint="33"/>
            <w:vAlign w:val="center"/>
          </w:tcPr>
          <w:p w14:paraId="59611597" w14:textId="77777777" w:rsidR="00C1585A" w:rsidRPr="000D20B1" w:rsidRDefault="00C1585A" w:rsidP="00EC7C0D">
            <w:pPr>
              <w:jc w:val="center"/>
              <w:rPr>
                <w:rFonts w:ascii="Calibri" w:hAnsi="Calibri" w:cs="Calibri"/>
                <w:color w:val="000000"/>
                <w:sz w:val="20"/>
                <w:szCs w:val="20"/>
                <w:lang w:val="mk-MK"/>
              </w:rPr>
            </w:pPr>
            <w:r w:rsidRPr="000D20B1">
              <w:rPr>
                <w:rFonts w:ascii="Calibri" w:hAnsi="Calibri" w:cs="Calibri"/>
                <w:color w:val="000000"/>
                <w:sz w:val="20"/>
                <w:szCs w:val="20"/>
                <w:lang w:val="mk-MK"/>
              </w:rPr>
              <w:t>Ќе се измери во 2023</w:t>
            </w:r>
          </w:p>
        </w:tc>
        <w:tc>
          <w:tcPr>
            <w:tcW w:w="1260" w:type="dxa"/>
            <w:shd w:val="clear" w:color="auto" w:fill="D9E2F3" w:themeFill="accent1" w:themeFillTint="33"/>
            <w:vAlign w:val="center"/>
          </w:tcPr>
          <w:p w14:paraId="7C8628E1" w14:textId="031D81CA" w:rsidR="00C1585A" w:rsidRPr="000D20B1" w:rsidRDefault="00385B81" w:rsidP="00EC7C0D">
            <w:pPr>
              <w:jc w:val="center"/>
              <w:rPr>
                <w:rFonts w:ascii="Calibri" w:hAnsi="Calibri" w:cs="Calibri"/>
                <w:color w:val="000000"/>
                <w:sz w:val="20"/>
                <w:szCs w:val="20"/>
                <w:lang w:val="mk-MK"/>
              </w:rPr>
            </w:pPr>
            <w:r w:rsidRPr="00FD03E7">
              <w:rPr>
                <w:rFonts w:ascii="Calibri" w:hAnsi="Calibri" w:cs="Calibri"/>
                <w:color w:val="000000"/>
                <w:sz w:val="20"/>
                <w:szCs w:val="20"/>
                <w:lang w:val="mk-MK"/>
              </w:rPr>
              <w:t>9</w:t>
            </w:r>
            <w:r w:rsidR="00C1585A" w:rsidRPr="00FD03E7">
              <w:rPr>
                <w:rFonts w:ascii="Calibri" w:hAnsi="Calibri" w:cs="Calibri"/>
                <w:color w:val="000000"/>
                <w:sz w:val="20"/>
                <w:szCs w:val="20"/>
                <w:lang w:val="mk-MK"/>
              </w:rPr>
              <w:t>0%</w:t>
            </w:r>
          </w:p>
        </w:tc>
        <w:tc>
          <w:tcPr>
            <w:tcW w:w="1345" w:type="dxa"/>
            <w:shd w:val="clear" w:color="auto" w:fill="D9E2F3" w:themeFill="accent1" w:themeFillTint="33"/>
            <w:vAlign w:val="center"/>
          </w:tcPr>
          <w:p w14:paraId="41DB3693" w14:textId="77777777" w:rsidR="00C1585A" w:rsidRPr="00B951DF" w:rsidRDefault="00C1585A" w:rsidP="00EC7C0D">
            <w:pPr>
              <w:jc w:val="center"/>
              <w:rPr>
                <w:sz w:val="20"/>
                <w:szCs w:val="20"/>
                <w:lang w:val="mk-MK"/>
              </w:rPr>
            </w:pPr>
            <w:r w:rsidRPr="00B951DF">
              <w:rPr>
                <w:sz w:val="20"/>
                <w:szCs w:val="20"/>
                <w:lang w:val="mk-MK"/>
              </w:rPr>
              <w:t>100%</w:t>
            </w:r>
          </w:p>
        </w:tc>
      </w:tr>
    </w:tbl>
    <w:p w14:paraId="31E08388" w14:textId="41466C58" w:rsidR="00ED026D" w:rsidRDefault="00106B99" w:rsidP="00106B99">
      <w:pPr>
        <w:pStyle w:val="Heading2"/>
        <w:rPr>
          <w:lang w:val="mk-MK"/>
        </w:rPr>
      </w:pPr>
      <w:r>
        <w:rPr>
          <w:lang w:val="mk-MK"/>
        </w:rPr>
        <w:lastRenderedPageBreak/>
        <w:t>3.2. Општа и посебни цели во приоритетна област 2: Јавна служба и управување со човечките ресурси</w:t>
      </w:r>
    </w:p>
    <w:p w14:paraId="45B73A7E" w14:textId="214BDB67" w:rsidR="00106B99" w:rsidRDefault="00106B99" w:rsidP="00106B99">
      <w:pPr>
        <w:rPr>
          <w:lang w:val="mk-MK"/>
        </w:rPr>
      </w:pPr>
    </w:p>
    <w:p w14:paraId="2F03F460" w14:textId="7418385C" w:rsidR="00106B99" w:rsidRPr="005C2F75" w:rsidRDefault="00106B99" w:rsidP="00106B99">
      <w:pPr>
        <w:jc w:val="both"/>
        <w:rPr>
          <w:rFonts w:cstheme="minorHAnsi"/>
          <w:b/>
          <w:bCs/>
          <w:sz w:val="24"/>
          <w:szCs w:val="24"/>
          <w:lang w:val="mk-MK"/>
        </w:rPr>
      </w:pPr>
      <w:r w:rsidRPr="005C2F75">
        <w:rPr>
          <w:rFonts w:cstheme="minorHAnsi"/>
          <w:b/>
          <w:bCs/>
          <w:sz w:val="24"/>
          <w:szCs w:val="24"/>
          <w:lang w:val="mk-MK"/>
        </w:rPr>
        <w:t xml:space="preserve">ОПШТА ЦЕЛ: </w:t>
      </w:r>
      <w:r w:rsidRPr="005C2F75">
        <w:rPr>
          <w:rFonts w:cstheme="minorHAnsi"/>
          <w:b/>
          <w:bCs/>
          <w:iCs/>
          <w:sz w:val="24"/>
          <w:szCs w:val="24"/>
          <w:lang w:val="mk-MK"/>
        </w:rPr>
        <w:t>Департизирана, професионална и стручна јавна администрација</w:t>
      </w:r>
    </w:p>
    <w:p w14:paraId="45C2E044" w14:textId="1E224E59" w:rsidR="00106B99" w:rsidRDefault="00106B99" w:rsidP="00106B99">
      <w:pPr>
        <w:jc w:val="both"/>
        <w:rPr>
          <w:rFonts w:cstheme="minorHAnsi"/>
          <w:lang w:val="mk-MK"/>
        </w:rPr>
      </w:pPr>
      <w:r>
        <w:rPr>
          <w:rFonts w:cstheme="minorHAnsi"/>
          <w:lang w:val="mk-MK"/>
        </w:rPr>
        <w:t>Врз основа на а</w:t>
      </w:r>
      <w:r w:rsidRPr="007B413E">
        <w:rPr>
          <w:rFonts w:cstheme="minorHAnsi"/>
          <w:lang w:val="mk-MK"/>
        </w:rPr>
        <w:t xml:space="preserve">нализите на постигнатите резултати во остварувањето на општата и посебните цели утврдени во Стратегијата за РЈА </w:t>
      </w:r>
      <w:r w:rsidR="00EE36C7">
        <w:rPr>
          <w:rFonts w:cstheme="minorHAnsi"/>
          <w:lang w:val="mk-MK"/>
        </w:rPr>
        <w:t>со Акциски план (</w:t>
      </w:r>
      <w:r w:rsidRPr="007B413E">
        <w:rPr>
          <w:rFonts w:cstheme="minorHAnsi"/>
          <w:lang w:val="mk-MK"/>
        </w:rPr>
        <w:t>2018 – 2022</w:t>
      </w:r>
      <w:r w:rsidR="00EE36C7">
        <w:rPr>
          <w:rFonts w:cstheme="minorHAnsi"/>
          <w:lang w:val="mk-MK"/>
        </w:rPr>
        <w:t>)</w:t>
      </w:r>
      <w:r w:rsidRPr="007B413E">
        <w:rPr>
          <w:rFonts w:cstheme="minorHAnsi"/>
          <w:lang w:val="mk-MK"/>
        </w:rPr>
        <w:t xml:space="preserve">, </w:t>
      </w:r>
      <w:r>
        <w:rPr>
          <w:rFonts w:cstheme="minorHAnsi"/>
          <w:lang w:val="mk-MK"/>
        </w:rPr>
        <w:t xml:space="preserve">а </w:t>
      </w:r>
      <w:r w:rsidRPr="007B413E">
        <w:rPr>
          <w:rFonts w:cstheme="minorHAnsi"/>
          <w:lang w:val="mk-MK"/>
        </w:rPr>
        <w:t>следејќи ги наодите и препораките содржани во Извештајот на С</w:t>
      </w:r>
      <w:r w:rsidR="00EE36C7" w:rsidRPr="007B413E">
        <w:rPr>
          <w:rFonts w:cstheme="minorHAnsi"/>
          <w:lang w:val="mk-MK"/>
        </w:rPr>
        <w:t>ИГМА</w:t>
      </w:r>
      <w:r w:rsidRPr="007B413E">
        <w:rPr>
          <w:rFonts w:cstheme="minorHAnsi"/>
          <w:lang w:val="mk-MK"/>
        </w:rPr>
        <w:t xml:space="preserve"> од 2021 година</w:t>
      </w:r>
      <w:r w:rsidRPr="007B413E">
        <w:rPr>
          <w:rStyle w:val="FootnoteReference"/>
          <w:rFonts w:cstheme="minorHAnsi"/>
          <w:lang w:val="mk-MK"/>
        </w:rPr>
        <w:footnoteReference w:id="76"/>
      </w:r>
      <w:r w:rsidRPr="007B413E">
        <w:rPr>
          <w:rFonts w:cstheme="minorHAnsi"/>
          <w:lang w:val="mk-MK"/>
        </w:rPr>
        <w:t>, извештаите на граѓанскиот сектор</w:t>
      </w:r>
      <w:r w:rsidRPr="007B413E">
        <w:rPr>
          <w:rStyle w:val="FootnoteReference"/>
          <w:rFonts w:cstheme="minorHAnsi"/>
          <w:lang w:val="mk-MK"/>
        </w:rPr>
        <w:footnoteReference w:id="77"/>
      </w:r>
      <w:r w:rsidRPr="007B413E">
        <w:rPr>
          <w:rFonts w:cstheme="minorHAnsi"/>
          <w:lang w:val="mk-MK"/>
        </w:rPr>
        <w:t xml:space="preserve"> и раководејќи се од потребите на граѓаните во област</w:t>
      </w:r>
      <w:r>
        <w:rPr>
          <w:rFonts w:cstheme="minorHAnsi"/>
          <w:lang w:val="mk-MK"/>
        </w:rPr>
        <w:t>а на јавната служба и управувањето со човечките ресурси</w:t>
      </w:r>
      <w:r w:rsidRPr="007B413E">
        <w:rPr>
          <w:rFonts w:cstheme="minorHAnsi"/>
          <w:lang w:val="mk-MK"/>
        </w:rPr>
        <w:t xml:space="preserve"> во</w:t>
      </w:r>
      <w:r>
        <w:rPr>
          <w:rFonts w:cstheme="minorHAnsi"/>
          <w:lang w:val="mk-MK"/>
        </w:rPr>
        <w:t xml:space="preserve"> следниот</w:t>
      </w:r>
      <w:r w:rsidRPr="007B413E">
        <w:rPr>
          <w:rFonts w:cstheme="minorHAnsi"/>
          <w:lang w:val="mk-MK"/>
        </w:rPr>
        <w:t xml:space="preserve">  осумгодишен период, во Стратегијата за РЈА се утврдува истата општа цел како и </w:t>
      </w:r>
      <w:r>
        <w:rPr>
          <w:rFonts w:cstheme="minorHAnsi"/>
          <w:lang w:val="mk-MK"/>
        </w:rPr>
        <w:t>претходно</w:t>
      </w:r>
      <w:r w:rsidRPr="007B413E">
        <w:rPr>
          <w:rFonts w:cstheme="minorHAnsi"/>
          <w:lang w:val="mk-MK"/>
        </w:rPr>
        <w:t xml:space="preserve">, од едноставна причина што </w:t>
      </w:r>
      <w:r>
        <w:rPr>
          <w:rFonts w:cstheme="minorHAnsi"/>
          <w:lang w:val="mk-MK"/>
        </w:rPr>
        <w:t xml:space="preserve">целта </w:t>
      </w:r>
      <w:r w:rsidRPr="007B413E">
        <w:rPr>
          <w:rFonts w:cstheme="minorHAnsi"/>
          <w:lang w:val="mk-MK"/>
        </w:rPr>
        <w:t>е објективно поставена, сеопфатна  и за жал се уште актуелна.</w:t>
      </w:r>
    </w:p>
    <w:p w14:paraId="60225EED" w14:textId="25247D08" w:rsidR="00106B99" w:rsidRDefault="00106B99" w:rsidP="00106B99">
      <w:pPr>
        <w:jc w:val="both"/>
        <w:rPr>
          <w:rFonts w:cstheme="minorHAnsi"/>
          <w:lang w:val="mk-MK"/>
        </w:rPr>
      </w:pPr>
      <w:r w:rsidRPr="007B413E">
        <w:rPr>
          <w:rFonts w:cstheme="minorHAnsi"/>
          <w:lang w:val="mk-MK"/>
        </w:rPr>
        <w:t>Оттука, потребно е преземање на сет меѓусебно поврзани мерки за јакнење на професионалниот развој на службениците, воведување на мерит систем при нивното вработување, унапредување и утврдување одговорност, а особено важно е издвојување на статусот, правата и одговорностите на раководните лица во јавната администрација за да може да се очекува правилно и доследно менаџирање со процесите и кадрите.</w:t>
      </w:r>
    </w:p>
    <w:p w14:paraId="21A09C37" w14:textId="03DD6770" w:rsidR="00106B99" w:rsidRPr="007B413E" w:rsidRDefault="00106B99" w:rsidP="00106B99">
      <w:pPr>
        <w:jc w:val="both"/>
        <w:rPr>
          <w:rFonts w:cstheme="minorHAnsi"/>
          <w:lang w:val="mk-MK"/>
        </w:rPr>
      </w:pPr>
      <w:r w:rsidRPr="007B413E">
        <w:rPr>
          <w:rFonts w:cstheme="minorHAnsi"/>
          <w:lang w:val="mk-MK"/>
        </w:rPr>
        <w:t>Ефикасноста на јавната администрација и нејзиното целосно ставање во функција на граѓаните првенствено подразбира нејзина департизација, професионализација и стручност. Тоа е единствениот начин кој на граѓаните може да им гарантира побрзо, поквалитетно и поевтино остварување на нивните индивидуални права, како и заштита на јавниот интерес. Поаѓајќи од вака утврдената општа цел, се предвидуваат следниве посебни цели за нејзино спроведување:</w:t>
      </w:r>
    </w:p>
    <w:p w14:paraId="263BE1C2" w14:textId="77777777" w:rsidR="00351D48" w:rsidRDefault="00351D48" w:rsidP="00351D48">
      <w:pPr>
        <w:jc w:val="both"/>
        <w:rPr>
          <w:lang w:val="mk-MK"/>
        </w:rPr>
      </w:pPr>
      <w:r>
        <w:rPr>
          <w:lang w:val="mk-MK"/>
        </w:rPr>
        <w:t>Општата цел ќе се следи преку следниов показател на ниво на ефект:</w:t>
      </w:r>
    </w:p>
    <w:tbl>
      <w:tblPr>
        <w:tblStyle w:val="TableGrid"/>
        <w:tblW w:w="0" w:type="auto"/>
        <w:tblLook w:val="04A0" w:firstRow="1" w:lastRow="0" w:firstColumn="1" w:lastColumn="0" w:noHBand="0" w:noVBand="1"/>
      </w:tblPr>
      <w:tblGrid>
        <w:gridCol w:w="5214"/>
        <w:gridCol w:w="1370"/>
        <w:gridCol w:w="1383"/>
        <w:gridCol w:w="1383"/>
      </w:tblGrid>
      <w:tr w:rsidR="00351D48" w:rsidRPr="004041C1" w14:paraId="375AF226" w14:textId="77777777" w:rsidTr="002877AE">
        <w:tc>
          <w:tcPr>
            <w:tcW w:w="9350" w:type="dxa"/>
            <w:gridSpan w:val="4"/>
            <w:shd w:val="clear" w:color="auto" w:fill="D9E2F3" w:themeFill="accent1" w:themeFillTint="33"/>
          </w:tcPr>
          <w:p w14:paraId="644B49CC" w14:textId="77777777" w:rsidR="00351D48" w:rsidRPr="004041C1" w:rsidRDefault="00351D48" w:rsidP="00EC7C0D">
            <w:pPr>
              <w:rPr>
                <w:rFonts w:cstheme="minorHAnsi"/>
                <w:b/>
                <w:bCs/>
                <w:color w:val="000000"/>
              </w:rPr>
            </w:pPr>
            <w:r w:rsidRPr="004041C1">
              <w:rPr>
                <w:rFonts w:cstheme="minorHAnsi"/>
                <w:b/>
                <w:bCs/>
                <w:color w:val="000000"/>
              </w:rPr>
              <w:t xml:space="preserve">ОПШТА ЦЕЛ: </w:t>
            </w:r>
            <w:r w:rsidRPr="004041C1">
              <w:rPr>
                <w:rFonts w:cstheme="minorHAnsi"/>
                <w:b/>
                <w:bCs/>
                <w:iCs/>
                <w:lang w:val="mk-MK"/>
              </w:rPr>
              <w:t>ДЕПОЛИТИЗИРАНА, ПРОФЕСИОНАЛНА И СТРУЧНА ЈАВНА АДМИНИСТРАЦИЈА</w:t>
            </w:r>
          </w:p>
        </w:tc>
      </w:tr>
      <w:tr w:rsidR="00351D48" w:rsidRPr="004041C1" w14:paraId="5CAF2F51" w14:textId="77777777" w:rsidTr="002877AE">
        <w:tc>
          <w:tcPr>
            <w:tcW w:w="5214" w:type="dxa"/>
            <w:vMerge w:val="restart"/>
            <w:shd w:val="clear" w:color="auto" w:fill="D9E2F3" w:themeFill="accent1" w:themeFillTint="33"/>
            <w:vAlign w:val="center"/>
          </w:tcPr>
          <w:p w14:paraId="37087844" w14:textId="77777777" w:rsidR="00351D48" w:rsidRPr="004041C1" w:rsidRDefault="00351D48" w:rsidP="00EC7C0D">
            <w:pPr>
              <w:jc w:val="center"/>
              <w:rPr>
                <w:rFonts w:cstheme="minorHAnsi"/>
                <w:b/>
                <w:bCs/>
                <w:sz w:val="20"/>
                <w:szCs w:val="20"/>
              </w:rPr>
            </w:pPr>
            <w:r w:rsidRPr="004041C1">
              <w:rPr>
                <w:rFonts w:cstheme="minorHAnsi"/>
                <w:b/>
                <w:bCs/>
                <w:sz w:val="20"/>
                <w:szCs w:val="20"/>
                <w:lang w:val="mk-MK"/>
              </w:rPr>
              <w:t>Показател на ефект:</w:t>
            </w:r>
          </w:p>
        </w:tc>
        <w:tc>
          <w:tcPr>
            <w:tcW w:w="1370" w:type="dxa"/>
            <w:tcBorders>
              <w:bottom w:val="nil"/>
              <w:right w:val="nil"/>
            </w:tcBorders>
            <w:shd w:val="clear" w:color="auto" w:fill="D9E2F3" w:themeFill="accent1" w:themeFillTint="33"/>
          </w:tcPr>
          <w:p w14:paraId="5AFAA816"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5D0F3699"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Преодна вредност</w:t>
            </w:r>
          </w:p>
        </w:tc>
        <w:tc>
          <w:tcPr>
            <w:tcW w:w="1383" w:type="dxa"/>
            <w:tcBorders>
              <w:left w:val="nil"/>
              <w:bottom w:val="nil"/>
            </w:tcBorders>
            <w:shd w:val="clear" w:color="auto" w:fill="D9E2F3" w:themeFill="accent1" w:themeFillTint="33"/>
          </w:tcPr>
          <w:p w14:paraId="2BAE66EC"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Крајна вредност</w:t>
            </w:r>
          </w:p>
        </w:tc>
      </w:tr>
      <w:tr w:rsidR="00351D48" w:rsidRPr="004041C1" w14:paraId="00FDB309" w14:textId="77777777" w:rsidTr="002877AE">
        <w:tc>
          <w:tcPr>
            <w:tcW w:w="5214" w:type="dxa"/>
            <w:vMerge/>
            <w:tcBorders>
              <w:bottom w:val="single" w:sz="4" w:space="0" w:color="auto"/>
            </w:tcBorders>
            <w:shd w:val="clear" w:color="auto" w:fill="D9E2F3" w:themeFill="accent1" w:themeFillTint="33"/>
          </w:tcPr>
          <w:p w14:paraId="47B7307C" w14:textId="77777777" w:rsidR="00351D48" w:rsidRPr="004041C1" w:rsidRDefault="00351D48" w:rsidP="00EC7C0D">
            <w:pPr>
              <w:rPr>
                <w:rFonts w:cstheme="minorHAnsi"/>
                <w:sz w:val="20"/>
                <w:szCs w:val="20"/>
                <w:lang w:val="mk-MK"/>
              </w:rPr>
            </w:pPr>
          </w:p>
        </w:tc>
        <w:tc>
          <w:tcPr>
            <w:tcW w:w="1370" w:type="dxa"/>
            <w:tcBorders>
              <w:top w:val="nil"/>
              <w:bottom w:val="single" w:sz="4" w:space="0" w:color="auto"/>
              <w:right w:val="nil"/>
            </w:tcBorders>
            <w:shd w:val="clear" w:color="auto" w:fill="D9E2F3" w:themeFill="accent1" w:themeFillTint="33"/>
          </w:tcPr>
          <w:p w14:paraId="59CBDAC3"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2021</w:t>
            </w:r>
          </w:p>
        </w:tc>
        <w:tc>
          <w:tcPr>
            <w:tcW w:w="1383" w:type="dxa"/>
            <w:tcBorders>
              <w:top w:val="nil"/>
              <w:left w:val="nil"/>
              <w:bottom w:val="single" w:sz="4" w:space="0" w:color="auto"/>
              <w:right w:val="nil"/>
            </w:tcBorders>
            <w:shd w:val="clear" w:color="auto" w:fill="D9E2F3" w:themeFill="accent1" w:themeFillTint="33"/>
          </w:tcPr>
          <w:p w14:paraId="7C94633F"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2026</w:t>
            </w:r>
          </w:p>
        </w:tc>
        <w:tc>
          <w:tcPr>
            <w:tcW w:w="1383" w:type="dxa"/>
            <w:tcBorders>
              <w:top w:val="nil"/>
              <w:left w:val="nil"/>
              <w:bottom w:val="single" w:sz="4" w:space="0" w:color="auto"/>
            </w:tcBorders>
            <w:shd w:val="clear" w:color="auto" w:fill="D9E2F3" w:themeFill="accent1" w:themeFillTint="33"/>
          </w:tcPr>
          <w:p w14:paraId="63B0641E"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2030</w:t>
            </w:r>
          </w:p>
        </w:tc>
      </w:tr>
      <w:tr w:rsidR="00351D48" w:rsidRPr="004041C1" w14:paraId="58360ABC" w14:textId="77777777" w:rsidTr="002877AE">
        <w:tc>
          <w:tcPr>
            <w:tcW w:w="5214" w:type="dxa"/>
            <w:tcBorders>
              <w:bottom w:val="single" w:sz="12" w:space="0" w:color="auto"/>
            </w:tcBorders>
            <w:shd w:val="clear" w:color="auto" w:fill="D9E2F3" w:themeFill="accent1" w:themeFillTint="33"/>
          </w:tcPr>
          <w:p w14:paraId="1FCA1579" w14:textId="77777777" w:rsidR="00351D48" w:rsidRPr="004041C1" w:rsidRDefault="00351D48" w:rsidP="00EC7C0D">
            <w:pPr>
              <w:rPr>
                <w:rFonts w:cstheme="minorHAnsi"/>
                <w:bCs/>
                <w:sz w:val="20"/>
                <w:szCs w:val="20"/>
                <w:lang w:val="mk-MK"/>
              </w:rPr>
            </w:pPr>
            <w:r w:rsidRPr="004041C1">
              <w:rPr>
                <w:rFonts w:cstheme="minorHAnsi"/>
                <w:bCs/>
                <w:sz w:val="20"/>
                <w:szCs w:val="20"/>
                <w:lang w:val="mk-MK"/>
              </w:rPr>
              <w:t>Вредност на показателот на СИГМА за тематската област Јавна служба и управување со човечките ресурси од Начелата за јавна администрација</w:t>
            </w:r>
          </w:p>
          <w:p w14:paraId="26A67516" w14:textId="77777777" w:rsidR="00351D48" w:rsidRPr="004041C1" w:rsidRDefault="00351D48" w:rsidP="00EC7C0D">
            <w:pPr>
              <w:jc w:val="both"/>
              <w:rPr>
                <w:rFonts w:cstheme="minorHAnsi"/>
                <w:bCs/>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E69FD3" w14:textId="77777777" w:rsidR="00351D48" w:rsidRPr="004041C1" w:rsidRDefault="00351D48" w:rsidP="00EC7C0D">
            <w:pPr>
              <w:jc w:val="center"/>
              <w:rPr>
                <w:rFonts w:cstheme="minorHAnsi"/>
                <w:sz w:val="18"/>
                <w:szCs w:val="18"/>
              </w:rPr>
            </w:pPr>
            <w:r w:rsidRPr="004041C1">
              <w:rPr>
                <w:rFonts w:cstheme="minorHAnsi"/>
                <w:sz w:val="18"/>
                <w:szCs w:val="18"/>
                <w:lang w:val="mk-MK" w:eastAsia="mk-MK"/>
              </w:rPr>
              <w:t>2.6</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E4724" w14:textId="77777777" w:rsidR="00351D48" w:rsidRPr="004041C1" w:rsidRDefault="00351D48" w:rsidP="00EC7C0D">
            <w:pPr>
              <w:jc w:val="center"/>
              <w:rPr>
                <w:rFonts w:cstheme="minorHAnsi"/>
                <w:sz w:val="18"/>
                <w:szCs w:val="18"/>
              </w:rPr>
            </w:pPr>
            <w:r w:rsidRPr="004041C1">
              <w:rPr>
                <w:rFonts w:cstheme="minorHAnsi"/>
                <w:sz w:val="18"/>
                <w:szCs w:val="18"/>
                <w:lang w:val="mk-MK" w:eastAsia="mk-MK"/>
              </w:rPr>
              <w:t>3</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4C1E5F" w14:textId="77777777" w:rsidR="00351D48" w:rsidRPr="004041C1" w:rsidRDefault="00351D48" w:rsidP="00EC7C0D">
            <w:pPr>
              <w:jc w:val="center"/>
              <w:rPr>
                <w:rFonts w:cstheme="minorHAnsi"/>
                <w:sz w:val="18"/>
                <w:szCs w:val="18"/>
                <w:lang w:val="mk-MK"/>
              </w:rPr>
            </w:pPr>
            <w:r w:rsidRPr="004041C1">
              <w:rPr>
                <w:rFonts w:cstheme="minorHAnsi"/>
                <w:sz w:val="18"/>
                <w:szCs w:val="18"/>
                <w:lang w:val="mk-MK" w:eastAsia="mk-MK"/>
              </w:rPr>
              <w:t>3.5</w:t>
            </w:r>
          </w:p>
        </w:tc>
      </w:tr>
    </w:tbl>
    <w:p w14:paraId="16611A55" w14:textId="77777777" w:rsidR="00351D48" w:rsidRPr="00351D48" w:rsidRDefault="00351D48" w:rsidP="00106B99">
      <w:pPr>
        <w:jc w:val="both"/>
        <w:rPr>
          <w:rFonts w:cstheme="minorHAnsi"/>
          <w:lang w:val="mk-MK"/>
        </w:rPr>
      </w:pPr>
    </w:p>
    <w:p w14:paraId="2995B5F6" w14:textId="68783DB9" w:rsidR="00106B99" w:rsidRPr="007B413E" w:rsidRDefault="00106B99" w:rsidP="00106B99">
      <w:pPr>
        <w:jc w:val="both"/>
        <w:rPr>
          <w:rFonts w:cstheme="minorHAnsi"/>
          <w:lang w:val="mk-MK"/>
        </w:rPr>
      </w:pPr>
      <w:r w:rsidRPr="007B413E">
        <w:rPr>
          <w:rFonts w:cstheme="minorHAnsi"/>
          <w:b/>
          <w:bCs/>
          <w:u w:val="single"/>
          <w:lang w:val="mk-MK"/>
        </w:rPr>
        <w:t xml:space="preserve">Посебна цел </w:t>
      </w:r>
      <w:r w:rsidR="00B951DF">
        <w:rPr>
          <w:rFonts w:cstheme="minorHAnsi"/>
          <w:b/>
          <w:bCs/>
          <w:u w:val="single"/>
          <w:lang w:val="mk-MK"/>
        </w:rPr>
        <w:t>2.</w:t>
      </w:r>
      <w:r w:rsidRPr="007B413E">
        <w:rPr>
          <w:rFonts w:cstheme="minorHAnsi"/>
          <w:b/>
          <w:bCs/>
          <w:u w:val="single"/>
          <w:lang w:val="mk-MK"/>
        </w:rPr>
        <w:t>1</w:t>
      </w:r>
      <w:r w:rsidR="00B951DF">
        <w:rPr>
          <w:rFonts w:cstheme="minorHAnsi"/>
          <w:b/>
          <w:bCs/>
          <w:u w:val="single"/>
          <w:lang w:val="mk-MK"/>
        </w:rPr>
        <w:t>.</w:t>
      </w:r>
      <w:r w:rsidRPr="007B413E">
        <w:rPr>
          <w:rFonts w:cstheme="minorHAnsi"/>
          <w:b/>
          <w:bCs/>
          <w:u w:val="single"/>
          <w:lang w:val="mk-MK"/>
        </w:rPr>
        <w:t>: Деполитизација на јавната администрација</w:t>
      </w:r>
    </w:p>
    <w:p w14:paraId="6F7258E2" w14:textId="5FD5EAC2" w:rsidR="00106B99" w:rsidRPr="007B413E" w:rsidRDefault="00106B99" w:rsidP="00106B99">
      <w:pPr>
        <w:jc w:val="both"/>
        <w:rPr>
          <w:rFonts w:cstheme="minorHAnsi"/>
          <w:lang w:val="mk-MK"/>
        </w:rPr>
      </w:pPr>
      <w:r w:rsidRPr="007B413E">
        <w:rPr>
          <w:rFonts w:cstheme="minorHAnsi"/>
          <w:lang w:val="mk-MK"/>
        </w:rPr>
        <w:t xml:space="preserve">Оваа цел обезбедува разграничување на професионалното од политичкото ниво во јавната администрација, преку отстранување на политичко влијание врз секој сегмент што го сочинува службеничкиот систем, започнувајќи од вработувањето (влез во јавната администрација),  превземањето (мобилноста)  од една во друга институција, унапредувањето, се до престанокот на </w:t>
      </w:r>
      <w:r w:rsidRPr="007B413E">
        <w:rPr>
          <w:rFonts w:cstheme="minorHAnsi"/>
          <w:lang w:val="mk-MK"/>
        </w:rPr>
        <w:lastRenderedPageBreak/>
        <w:t>службеничкиот однос. Тука се опфатени и сите други аспекти на процесот на управување со човечки ресурси: оценувањето, наградувањето, стручното усовршување, дисциплинската и материјална одговорност, остварување на  права</w:t>
      </w:r>
      <w:r w:rsidR="00ED7A86">
        <w:rPr>
          <w:rFonts w:cstheme="minorHAnsi"/>
          <w:lang w:val="mk-MK"/>
        </w:rPr>
        <w:t>та</w:t>
      </w:r>
      <w:r w:rsidRPr="007B413E">
        <w:rPr>
          <w:rFonts w:cstheme="minorHAnsi"/>
          <w:lang w:val="mk-MK"/>
        </w:rPr>
        <w:t xml:space="preserve"> и обврски</w:t>
      </w:r>
      <w:r w:rsidR="00ED7A86">
        <w:rPr>
          <w:rFonts w:cstheme="minorHAnsi"/>
          <w:lang w:val="mk-MK"/>
        </w:rPr>
        <w:t>те</w:t>
      </w:r>
      <w:r w:rsidRPr="007B413E">
        <w:rPr>
          <w:rFonts w:cstheme="minorHAnsi"/>
          <w:lang w:val="mk-MK"/>
        </w:rPr>
        <w:t xml:space="preserve"> од службеничкиот однос.</w:t>
      </w:r>
    </w:p>
    <w:p w14:paraId="10C8D0FD" w14:textId="77777777" w:rsidR="00106B99" w:rsidRPr="007B413E" w:rsidRDefault="00106B99" w:rsidP="00106B99">
      <w:pPr>
        <w:jc w:val="both"/>
        <w:rPr>
          <w:rFonts w:cstheme="minorHAnsi"/>
          <w:lang w:val="mk-MK"/>
        </w:rPr>
      </w:pPr>
      <w:r w:rsidRPr="007B413E">
        <w:rPr>
          <w:rFonts w:cstheme="minorHAnsi"/>
          <w:lang w:val="mk-MK"/>
        </w:rPr>
        <w:t>Имено, начелото на еднаков пристап до секое работно место, начелото на стручност и компетентност и начелото на родова еднаквост треба да се примарни и единствено применети во целиот процес на селекција, вработување и унапредување на сите нивоа во јавната администрација, додека во фазата пред донесување на одлуката за избор секако треба да се води сметка и за начелото на соодветна и правична застапеност на припадниците на заедниците. На овој начин, од една страна  се надминува потребата од примена на алатката наречена „балансер“, која во пракса предизвикува бројни злоупотреби, а од друга страна останува примената на начелото на соодветна и правична застапеност на припадниците на заедниците.</w:t>
      </w:r>
    </w:p>
    <w:p w14:paraId="03062932" w14:textId="77777777" w:rsidR="00106B99" w:rsidRPr="007B413E" w:rsidRDefault="00106B99" w:rsidP="00106B99">
      <w:pPr>
        <w:jc w:val="both"/>
        <w:rPr>
          <w:rFonts w:cstheme="minorHAnsi"/>
          <w:lang w:val="mk-MK"/>
        </w:rPr>
      </w:pPr>
      <w:r w:rsidRPr="007B413E">
        <w:rPr>
          <w:rFonts w:cstheme="minorHAnsi"/>
          <w:lang w:val="mk-MK"/>
        </w:rPr>
        <w:t>Со објективни критериуми и постапки на отворен натпревар за избор на најдобриот кандидат, спроведени од професионалци во администрацијата кои поседуваат висок степен на</w:t>
      </w:r>
      <w:r>
        <w:rPr>
          <w:rFonts w:cstheme="minorHAnsi"/>
          <w:lang w:val="mk-MK"/>
        </w:rPr>
        <w:t xml:space="preserve"> стручност и </w:t>
      </w:r>
      <w:r w:rsidRPr="007B413E">
        <w:rPr>
          <w:rFonts w:cstheme="minorHAnsi"/>
          <w:lang w:val="mk-MK"/>
        </w:rPr>
        <w:t xml:space="preserve"> интегритет ќе се направи брана од политичкото влијание. </w:t>
      </w:r>
    </w:p>
    <w:p w14:paraId="1E6707E2" w14:textId="72CB4EA7" w:rsidR="00106B99" w:rsidRPr="007B413E" w:rsidRDefault="00106B99" w:rsidP="00106B99">
      <w:pPr>
        <w:jc w:val="both"/>
        <w:rPr>
          <w:rFonts w:cstheme="minorHAnsi"/>
          <w:lang w:val="mk-MK"/>
        </w:rPr>
      </w:pPr>
      <w:r w:rsidRPr="007B413E">
        <w:rPr>
          <w:rFonts w:cstheme="minorHAnsi"/>
          <w:lang w:val="mk-MK"/>
        </w:rPr>
        <w:t xml:space="preserve">Мерките за намалување на политизацијата треба да се препознаат уште во процесите што претходат на постапките за селекција при вработување и унапредување во јавната служба. Истите се осмислени така што трендот на постепена деполитизација треба да почне уште при стратешкото планирање на ресурсите кое нужно е поврзано со стратешките приоритети и цели на </w:t>
      </w:r>
      <w:r w:rsidR="00202BF0">
        <w:rPr>
          <w:rFonts w:cstheme="minorHAnsi"/>
          <w:lang w:val="mk-MK"/>
        </w:rPr>
        <w:t>ВРСМ</w:t>
      </w:r>
      <w:r w:rsidRPr="007B413E">
        <w:rPr>
          <w:rFonts w:cstheme="minorHAnsi"/>
          <w:lang w:val="mk-MK"/>
        </w:rPr>
        <w:t xml:space="preserve">, изразени уште во Национална развојна стратегија, секторските стратегии (со посебен акцент на Стратегијата за РЈА, Програмата за </w:t>
      </w:r>
      <w:r w:rsidR="00ED7A86">
        <w:rPr>
          <w:rFonts w:cstheme="minorHAnsi"/>
          <w:lang w:val="mk-MK"/>
        </w:rPr>
        <w:t xml:space="preserve">реформа  на </w:t>
      </w:r>
      <w:r w:rsidRPr="007B413E">
        <w:rPr>
          <w:rFonts w:cstheme="minorHAnsi"/>
          <w:lang w:val="mk-MK"/>
        </w:rPr>
        <w:t xml:space="preserve">управување со јавните финансии, Стратегијата за јавна внатрешна контрола и сл.) ,Програмата за работа на </w:t>
      </w:r>
      <w:r w:rsidR="00202BF0">
        <w:rPr>
          <w:rFonts w:cstheme="minorHAnsi"/>
          <w:lang w:val="mk-MK"/>
        </w:rPr>
        <w:t>ВРСМ</w:t>
      </w:r>
      <w:r w:rsidR="00202BF0" w:rsidRPr="007B413E">
        <w:rPr>
          <w:rFonts w:cstheme="minorHAnsi"/>
          <w:lang w:val="mk-MK"/>
        </w:rPr>
        <w:t xml:space="preserve"> </w:t>
      </w:r>
      <w:r w:rsidRPr="007B413E">
        <w:rPr>
          <w:rFonts w:cstheme="minorHAnsi"/>
          <w:lang w:val="mk-MK"/>
        </w:rPr>
        <w:t xml:space="preserve">и заклучно стратешките планови на институциите. </w:t>
      </w:r>
    </w:p>
    <w:p w14:paraId="71A61CBA" w14:textId="3737905A" w:rsidR="00106B99" w:rsidRPr="007B413E" w:rsidRDefault="00106B99" w:rsidP="00106B99">
      <w:pPr>
        <w:jc w:val="both"/>
        <w:rPr>
          <w:rFonts w:cstheme="minorHAnsi"/>
          <w:lang w:val="mk-MK"/>
        </w:rPr>
      </w:pPr>
      <w:bookmarkStart w:id="6" w:name="_Hlk116904702"/>
      <w:r w:rsidRPr="007B413E">
        <w:rPr>
          <w:rFonts w:cstheme="minorHAnsi"/>
          <w:lang w:val="mk-MK"/>
        </w:rPr>
        <w:t>Клучно кон што треба да придонесат мерките и активностите од оваа посебна цел е  да се зголеми довербата на граѓаните во институциите и да се врати интересот на квалитетни кадри за работа</w:t>
      </w:r>
      <w:r w:rsidR="00ED7A86">
        <w:rPr>
          <w:rFonts w:cstheme="minorHAnsi"/>
          <w:lang w:val="mk-MK"/>
        </w:rPr>
        <w:t xml:space="preserve"> во администрација</w:t>
      </w:r>
      <w:r>
        <w:rPr>
          <w:rFonts w:cstheme="minorHAnsi"/>
          <w:lang w:val="mk-MK"/>
        </w:rPr>
        <w:t>,</w:t>
      </w:r>
      <w:r w:rsidRPr="007B413E">
        <w:rPr>
          <w:rFonts w:cstheme="minorHAnsi"/>
          <w:lang w:val="mk-MK"/>
        </w:rPr>
        <w:t xml:space="preserve"> но и за раководење на институциите  во јавниот сектор</w:t>
      </w:r>
      <w:r w:rsidR="00480B4A">
        <w:rPr>
          <w:rStyle w:val="FootnoteReference"/>
          <w:rFonts w:cstheme="minorHAnsi"/>
          <w:lang w:val="mk-MK"/>
        </w:rPr>
        <w:footnoteReference w:id="78"/>
      </w:r>
      <w:r w:rsidRPr="007B413E">
        <w:rPr>
          <w:rFonts w:cstheme="minorHAnsi"/>
          <w:lang w:val="mk-MK"/>
        </w:rPr>
        <w:t>.</w:t>
      </w:r>
      <w:r w:rsidR="00480B4A">
        <w:rPr>
          <w:rFonts w:cstheme="minorHAnsi"/>
          <w:lang w:val="mk-MK"/>
        </w:rPr>
        <w:t xml:space="preserve"> </w:t>
      </w:r>
    </w:p>
    <w:bookmarkEnd w:id="6"/>
    <w:p w14:paraId="0CA9022F" w14:textId="77777777" w:rsidR="00106B99" w:rsidRPr="007B413E" w:rsidRDefault="00106B99" w:rsidP="00106B99">
      <w:pPr>
        <w:jc w:val="both"/>
        <w:rPr>
          <w:rFonts w:cstheme="minorHAnsi"/>
          <w:lang w:val="mk-MK"/>
        </w:rPr>
      </w:pPr>
      <w:r w:rsidRPr="007B413E">
        <w:rPr>
          <w:rFonts w:cstheme="minorHAnsi"/>
          <w:lang w:val="mk-MK"/>
        </w:rPr>
        <w:t>Во рамките на оваа посебна цел, предвидени се следните мерки како алатки за спречување на политичко влијание врз работењето и процесите во јавната администрација:</w:t>
      </w:r>
    </w:p>
    <w:p w14:paraId="4AC58D3B" w14:textId="4F17329F" w:rsidR="00106B99" w:rsidRDefault="00106B99" w:rsidP="00106B99">
      <w:pPr>
        <w:jc w:val="both"/>
        <w:rPr>
          <w:rFonts w:cstheme="minorHAnsi"/>
          <w:b/>
          <w:bCs/>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sidRPr="007B413E">
        <w:rPr>
          <w:rFonts w:cstheme="minorHAnsi"/>
          <w:b/>
          <w:lang w:val="mk-MK"/>
        </w:rPr>
        <w:t>1</w:t>
      </w:r>
      <w:r>
        <w:rPr>
          <w:rFonts w:cstheme="minorHAnsi"/>
          <w:b/>
          <w:lang w:val="mk-MK"/>
        </w:rPr>
        <w:t>.1.</w:t>
      </w:r>
      <w:r w:rsidRPr="007B413E">
        <w:rPr>
          <w:rFonts w:cstheme="minorHAnsi"/>
          <w:b/>
          <w:lang w:val="mk-MK"/>
        </w:rPr>
        <w:t>:</w:t>
      </w:r>
      <w:r w:rsidRPr="007B413E">
        <w:rPr>
          <w:rFonts w:cstheme="minorHAnsi"/>
          <w:lang w:val="mk-MK"/>
        </w:rPr>
        <w:t xml:space="preserve"> </w:t>
      </w:r>
      <w:r w:rsidRPr="00697E99">
        <w:rPr>
          <w:rFonts w:cstheme="minorHAnsi"/>
          <w:b/>
          <w:bCs/>
          <w:lang w:val="mk-MK"/>
        </w:rPr>
        <w:t>Поврзување на стретешкото планирање со управувањето со човечките ресурси во секоја институција</w:t>
      </w:r>
    </w:p>
    <w:p w14:paraId="17C7E734" w14:textId="5553D0E6" w:rsidR="00106B99" w:rsidRPr="00D63BEE" w:rsidRDefault="00106B99" w:rsidP="00106B99">
      <w:pPr>
        <w:jc w:val="both"/>
        <w:rPr>
          <w:rFonts w:cstheme="minorHAnsi"/>
          <w:b/>
          <w:bCs/>
          <w:lang w:val="mk-MK"/>
        </w:rPr>
      </w:pPr>
      <w:r>
        <w:rPr>
          <w:rFonts w:cstheme="minorHAnsi"/>
          <w:lang w:val="mk-MK"/>
        </w:rPr>
        <w:t xml:space="preserve">Оваа мерка во секоја институција </w:t>
      </w:r>
      <w:r w:rsidRPr="007B413E">
        <w:rPr>
          <w:rFonts w:cstheme="minorHAnsi"/>
          <w:lang w:val="mk-MK"/>
        </w:rPr>
        <w:t xml:space="preserve">одделно, </w:t>
      </w:r>
      <w:r>
        <w:rPr>
          <w:rFonts w:cstheme="minorHAnsi"/>
          <w:lang w:val="mk-MK"/>
        </w:rPr>
        <w:t xml:space="preserve">треба да претставува </w:t>
      </w:r>
      <w:r w:rsidRPr="007B413E">
        <w:rPr>
          <w:rFonts w:cstheme="minorHAnsi"/>
          <w:lang w:val="mk-MK"/>
        </w:rPr>
        <w:t xml:space="preserve"> алатка со која точно и прецизно ќе се планираат сите вработувања и ќе се спречи прекумерното вработување и полнење на институциите со партиски кадар. Главна активност за реализација на мерката ќе биде изработка </w:t>
      </w:r>
      <w:r>
        <w:rPr>
          <w:rFonts w:cstheme="minorHAnsi"/>
          <w:lang w:val="mk-MK"/>
        </w:rPr>
        <w:t>на планови за вработени</w:t>
      </w:r>
      <w:r w:rsidR="00ED7A86">
        <w:rPr>
          <w:rFonts w:cstheme="minorHAnsi"/>
          <w:lang w:val="mk-MK"/>
        </w:rPr>
        <w:t>,</w:t>
      </w:r>
      <w:r w:rsidRPr="007B413E">
        <w:rPr>
          <w:rFonts w:cstheme="minorHAnsi"/>
          <w:lang w:val="mk-MK"/>
        </w:rPr>
        <w:t xml:space="preserve">  базирани на реалните потреби и финансиски можности на институциите кои произлегуваат од нивните надлежности и расположиви буџетски средства</w:t>
      </w:r>
      <w:r>
        <w:rPr>
          <w:rFonts w:cstheme="minorHAnsi"/>
          <w:lang w:val="mk-MK"/>
        </w:rPr>
        <w:t xml:space="preserve"> образложени во стратешките планови на институциите</w:t>
      </w:r>
      <w:r w:rsidRPr="007B413E">
        <w:rPr>
          <w:rFonts w:cstheme="minorHAnsi"/>
          <w:lang w:val="mk-MK"/>
        </w:rPr>
        <w:t>.</w:t>
      </w:r>
      <w:r>
        <w:rPr>
          <w:rFonts w:cstheme="minorHAnsi"/>
          <w:lang w:val="mk-MK"/>
        </w:rPr>
        <w:t xml:space="preserve"> Дополнително, за остварување на посебната цел, потребна е и унификација </w:t>
      </w:r>
      <w:r w:rsidRPr="007B413E">
        <w:rPr>
          <w:rFonts w:cstheme="minorHAnsi"/>
          <w:lang w:val="mk-MK"/>
        </w:rPr>
        <w:t xml:space="preserve">на организационата поставеност на административната служба </w:t>
      </w:r>
      <w:r>
        <w:rPr>
          <w:rFonts w:cstheme="minorHAnsi"/>
          <w:lang w:val="mk-MK"/>
        </w:rPr>
        <w:t xml:space="preserve">(што е во согласност со реорганизацијата на управата утврдена во третата приоритетна област) за да </w:t>
      </w:r>
      <w:r>
        <w:rPr>
          <w:rFonts w:cstheme="minorHAnsi"/>
          <w:lang w:val="mk-MK"/>
        </w:rPr>
        <w:lastRenderedPageBreak/>
        <w:t xml:space="preserve">престанат партиските </w:t>
      </w:r>
      <w:r w:rsidRPr="007B413E">
        <w:rPr>
          <w:rFonts w:cstheme="minorHAnsi"/>
          <w:lang w:val="mk-MK"/>
        </w:rPr>
        <w:t>влијанија при изготвување на акти</w:t>
      </w:r>
      <w:r>
        <w:rPr>
          <w:rFonts w:cstheme="minorHAnsi"/>
          <w:lang w:val="mk-MK"/>
        </w:rPr>
        <w:t>те</w:t>
      </w:r>
      <w:r w:rsidRPr="007B413E">
        <w:rPr>
          <w:rFonts w:cstheme="minorHAnsi"/>
          <w:lang w:val="mk-MK"/>
        </w:rPr>
        <w:t xml:space="preserve"> за внатрешна организација и систематизација на работните места во институциите </w:t>
      </w:r>
      <w:r>
        <w:rPr>
          <w:rFonts w:cstheme="minorHAnsi"/>
          <w:lang w:val="mk-MK"/>
        </w:rPr>
        <w:t>од</w:t>
      </w:r>
      <w:r w:rsidRPr="007B413E">
        <w:rPr>
          <w:rFonts w:cstheme="minorHAnsi"/>
          <w:lang w:val="mk-MK"/>
        </w:rPr>
        <w:t xml:space="preserve"> јавниот сектор.</w:t>
      </w:r>
    </w:p>
    <w:p w14:paraId="6AFD7667" w14:textId="7366FC88" w:rsidR="00106B99" w:rsidRPr="00FA2775" w:rsidRDefault="00106B99" w:rsidP="00106B99">
      <w:pPr>
        <w:spacing w:after="0"/>
        <w:rPr>
          <w:b/>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1.</w:t>
      </w:r>
      <w:r w:rsidRPr="007B413E">
        <w:rPr>
          <w:rFonts w:cstheme="minorHAnsi"/>
          <w:b/>
          <w:lang w:val="mk-MK"/>
        </w:rPr>
        <w:t>2</w:t>
      </w:r>
      <w:r>
        <w:rPr>
          <w:rFonts w:cstheme="minorHAnsi"/>
          <w:b/>
          <w:lang w:val="mk-MK"/>
        </w:rPr>
        <w:t>.</w:t>
      </w:r>
      <w:r w:rsidRPr="007B413E">
        <w:rPr>
          <w:rFonts w:cstheme="minorHAnsi"/>
          <w:bCs/>
          <w:lang w:val="mk-MK"/>
        </w:rPr>
        <w:t>:</w:t>
      </w:r>
      <w:r w:rsidRPr="00CB4830">
        <w:rPr>
          <w:b/>
          <w:sz w:val="16"/>
          <w:szCs w:val="16"/>
          <w:lang w:val="mk-MK"/>
        </w:rPr>
        <w:t xml:space="preserve"> </w:t>
      </w:r>
      <w:r w:rsidRPr="00FA2775">
        <w:rPr>
          <w:b/>
          <w:lang w:val="mk-MK"/>
        </w:rPr>
        <w:t xml:space="preserve">Јакнење на улогата на </w:t>
      </w:r>
      <w:r>
        <w:rPr>
          <w:b/>
          <w:lang w:val="mk-MK"/>
        </w:rPr>
        <w:t>и</w:t>
      </w:r>
      <w:r w:rsidRPr="00FA2775">
        <w:rPr>
          <w:b/>
          <w:lang w:val="mk-MK"/>
        </w:rPr>
        <w:t>нтервјуто базирано на компетенции во постапките за вработување на јавната администрација</w:t>
      </w:r>
    </w:p>
    <w:p w14:paraId="18B43652" w14:textId="77777777" w:rsidR="00106B99" w:rsidRPr="00CB4830" w:rsidRDefault="00106B99" w:rsidP="00095624">
      <w:pPr>
        <w:spacing w:after="0"/>
        <w:jc w:val="both"/>
        <w:rPr>
          <w:rFonts w:cstheme="minorHAnsi"/>
          <w:lang w:val="mk-MK"/>
        </w:rPr>
      </w:pPr>
    </w:p>
    <w:p w14:paraId="5494A6A7" w14:textId="0FDBFAF0" w:rsidR="00106B99" w:rsidRPr="007B413E" w:rsidRDefault="00106B99" w:rsidP="00106B99">
      <w:pPr>
        <w:jc w:val="both"/>
        <w:rPr>
          <w:rFonts w:cstheme="minorHAnsi"/>
          <w:lang w:val="mk-MK"/>
        </w:rPr>
      </w:pPr>
      <w:r w:rsidRPr="007B413E">
        <w:rPr>
          <w:rFonts w:cstheme="minorHAnsi"/>
          <w:lang w:val="mk-MK"/>
        </w:rPr>
        <w:t>Интервјуата ќе бидат структуирани и спровед</w:t>
      </w:r>
      <w:r>
        <w:rPr>
          <w:rFonts w:cstheme="minorHAnsi"/>
          <w:lang w:val="mk-MK"/>
        </w:rPr>
        <w:t xml:space="preserve">увани на потполно различен начин </w:t>
      </w:r>
      <w:r w:rsidRPr="007B413E">
        <w:rPr>
          <w:rFonts w:cstheme="minorHAnsi"/>
          <w:lang w:val="mk-MK"/>
        </w:rPr>
        <w:t>од досегашн</w:t>
      </w:r>
      <w:r w:rsidR="00D510F1">
        <w:rPr>
          <w:rFonts w:cstheme="minorHAnsi"/>
          <w:lang w:val="mk-MK"/>
        </w:rPr>
        <w:t>ата пракса</w:t>
      </w:r>
      <w:r w:rsidRPr="007B413E">
        <w:rPr>
          <w:rFonts w:cstheme="minorHAnsi"/>
          <w:lang w:val="mk-MK"/>
        </w:rPr>
        <w:t>. Активностите ќе се одвиваат во правец на формирање на комисии за интервјуа составени од професионалци, психолози и лица со изграден личен интегритет</w:t>
      </w:r>
      <w:r>
        <w:rPr>
          <w:rFonts w:cstheme="minorHAnsi"/>
          <w:lang w:val="mk-MK"/>
        </w:rPr>
        <w:t>, а резултатите од така спроведените интервјуа ќе бидат содржани во посебен извештај и јавно објавувани.</w:t>
      </w:r>
      <w:r w:rsidRPr="007B413E">
        <w:rPr>
          <w:rFonts w:cstheme="minorHAnsi"/>
          <w:lang w:val="mk-MK"/>
        </w:rPr>
        <w:t xml:space="preserve"> </w:t>
      </w:r>
    </w:p>
    <w:p w14:paraId="4F435225" w14:textId="77777777" w:rsidR="00095624"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1.</w:t>
      </w:r>
      <w:r w:rsidRPr="007B413E">
        <w:rPr>
          <w:rFonts w:cstheme="minorHAnsi"/>
          <w:b/>
          <w:lang w:val="mk-MK"/>
        </w:rPr>
        <w:t>3</w:t>
      </w:r>
      <w:r>
        <w:rPr>
          <w:rFonts w:cstheme="minorHAnsi"/>
          <w:b/>
          <w:lang w:val="mk-MK"/>
        </w:rPr>
        <w:t>.</w:t>
      </w:r>
      <w:r w:rsidRPr="007B413E">
        <w:rPr>
          <w:rFonts w:cstheme="minorHAnsi"/>
          <w:b/>
          <w:lang w:val="mk-MK"/>
        </w:rPr>
        <w:t>:</w:t>
      </w:r>
      <w:r w:rsidRPr="007B413E">
        <w:rPr>
          <w:rFonts w:cstheme="minorHAnsi"/>
          <w:lang w:val="mk-MK"/>
        </w:rPr>
        <w:t xml:space="preserve"> </w:t>
      </w:r>
      <w:r>
        <w:rPr>
          <w:rFonts w:cstheme="minorHAnsi"/>
          <w:b/>
          <w:bCs/>
          <w:lang w:val="mk-MK"/>
        </w:rPr>
        <w:t>П</w:t>
      </w:r>
      <w:r w:rsidRPr="00D63BEE">
        <w:rPr>
          <w:rFonts w:cstheme="minorHAnsi"/>
          <w:b/>
          <w:bCs/>
          <w:lang w:val="mk-MK"/>
        </w:rPr>
        <w:t>ериодична проверка на компетенции</w:t>
      </w:r>
      <w:r>
        <w:rPr>
          <w:rFonts w:cstheme="minorHAnsi"/>
          <w:b/>
          <w:bCs/>
          <w:lang w:val="mk-MK"/>
        </w:rPr>
        <w:t>те</w:t>
      </w:r>
      <w:r w:rsidRPr="00D63BEE">
        <w:rPr>
          <w:rFonts w:cstheme="minorHAnsi"/>
          <w:b/>
          <w:bCs/>
          <w:lang w:val="mk-MK"/>
        </w:rPr>
        <w:t xml:space="preserve"> </w:t>
      </w:r>
      <w:r>
        <w:rPr>
          <w:rFonts w:cstheme="minorHAnsi"/>
          <w:b/>
          <w:bCs/>
          <w:lang w:val="mk-MK"/>
        </w:rPr>
        <w:t>на</w:t>
      </w:r>
      <w:r w:rsidRPr="00D63BEE">
        <w:rPr>
          <w:rFonts w:cstheme="minorHAnsi"/>
          <w:b/>
          <w:bCs/>
          <w:lang w:val="mk-MK"/>
        </w:rPr>
        <w:t xml:space="preserve"> веќе вработениот кадар</w:t>
      </w:r>
      <w:r w:rsidRPr="007B413E">
        <w:rPr>
          <w:rFonts w:cstheme="minorHAnsi"/>
          <w:lang w:val="mk-MK"/>
        </w:rPr>
        <w:t xml:space="preserve"> </w:t>
      </w:r>
    </w:p>
    <w:p w14:paraId="65CA3DB7" w14:textId="37298796" w:rsidR="00106B99" w:rsidRPr="0004290D" w:rsidRDefault="00106B99" w:rsidP="00106B99">
      <w:pPr>
        <w:jc w:val="both"/>
        <w:rPr>
          <w:rFonts w:cstheme="minorHAnsi"/>
          <w:lang w:val="mk-MK"/>
        </w:rPr>
      </w:pPr>
      <w:r>
        <w:rPr>
          <w:rFonts w:cstheme="minorHAnsi"/>
          <w:lang w:val="mk-MK"/>
        </w:rPr>
        <w:t xml:space="preserve">Мерката ќе </w:t>
      </w:r>
      <w:r w:rsidRPr="007B413E">
        <w:rPr>
          <w:rFonts w:cstheme="minorHAnsi"/>
          <w:lang w:val="mk-MK"/>
        </w:rPr>
        <w:t>обезбеди филтрирање на неквалитетни</w:t>
      </w:r>
      <w:r>
        <w:rPr>
          <w:rFonts w:cstheme="minorHAnsi"/>
          <w:lang w:val="mk-MK"/>
        </w:rPr>
        <w:t>те</w:t>
      </w:r>
      <w:r w:rsidRPr="007B413E">
        <w:rPr>
          <w:rFonts w:cstheme="minorHAnsi"/>
          <w:lang w:val="mk-MK"/>
        </w:rPr>
        <w:t xml:space="preserve"> кадри </w:t>
      </w:r>
      <w:r>
        <w:rPr>
          <w:rFonts w:cstheme="minorHAnsi"/>
          <w:lang w:val="mk-MK"/>
        </w:rPr>
        <w:t xml:space="preserve">од јавната администрација </w:t>
      </w:r>
      <w:r w:rsidRPr="007B413E">
        <w:rPr>
          <w:rFonts w:cstheme="minorHAnsi"/>
          <w:lang w:val="mk-MK"/>
        </w:rPr>
        <w:t xml:space="preserve">и ќе се напушти праксата на “еднаш влезен - засекогаш административен службеник“. Проверките на компетенциите ќе </w:t>
      </w:r>
      <w:r>
        <w:rPr>
          <w:rFonts w:cstheme="minorHAnsi"/>
          <w:lang w:val="mk-MK"/>
        </w:rPr>
        <w:t xml:space="preserve">бидат </w:t>
      </w:r>
      <w:r w:rsidRPr="0004290D">
        <w:rPr>
          <w:rFonts w:cstheme="minorHAnsi"/>
          <w:lang w:val="mk-MK"/>
        </w:rPr>
        <w:t>објективни и организирани преку Академијата за професионален развој на администрацијата.</w:t>
      </w:r>
    </w:p>
    <w:p w14:paraId="1AAE88A6" w14:textId="58741E36" w:rsidR="00106B99" w:rsidRPr="00F93D67" w:rsidRDefault="00106B99" w:rsidP="00106B99">
      <w:pPr>
        <w:jc w:val="both"/>
        <w:rPr>
          <w:rFonts w:cstheme="minorHAnsi"/>
          <w:lang w:val="mk-MK"/>
        </w:rPr>
      </w:pPr>
      <w:r w:rsidRPr="0004290D">
        <w:rPr>
          <w:rFonts w:cstheme="minorHAnsi"/>
          <w:b/>
          <w:bCs/>
        </w:rPr>
        <w:t>M</w:t>
      </w:r>
      <w:r w:rsidRPr="0004290D">
        <w:rPr>
          <w:rFonts w:cstheme="minorHAnsi"/>
          <w:b/>
          <w:bCs/>
          <w:lang w:val="mk-MK"/>
        </w:rPr>
        <w:t xml:space="preserve"> </w:t>
      </w:r>
      <w:r w:rsidR="00B951DF">
        <w:rPr>
          <w:rFonts w:cstheme="minorHAnsi"/>
          <w:b/>
          <w:bCs/>
          <w:lang w:val="mk-MK"/>
        </w:rPr>
        <w:t>2.</w:t>
      </w:r>
      <w:r w:rsidRPr="0004290D">
        <w:rPr>
          <w:rFonts w:cstheme="minorHAnsi"/>
          <w:b/>
          <w:bCs/>
          <w:lang w:val="mk-MK"/>
        </w:rPr>
        <w:t>1.</w:t>
      </w:r>
      <w:r w:rsidRPr="0004290D">
        <w:rPr>
          <w:rFonts w:cstheme="minorHAnsi"/>
          <w:b/>
          <w:bCs/>
        </w:rPr>
        <w:t>4</w:t>
      </w:r>
      <w:r w:rsidRPr="0004290D">
        <w:rPr>
          <w:rFonts w:cstheme="minorHAnsi"/>
          <w:b/>
          <w:bCs/>
          <w:lang w:val="mk-MK"/>
        </w:rPr>
        <w:t>.:</w:t>
      </w:r>
      <w:r w:rsidRPr="0004290D">
        <w:rPr>
          <w:rFonts w:cstheme="minorHAnsi"/>
          <w:lang w:val="mk-MK"/>
        </w:rPr>
        <w:t xml:space="preserve"> </w:t>
      </w:r>
      <w:r w:rsidRPr="0004290D">
        <w:rPr>
          <w:rFonts w:cstheme="minorHAnsi"/>
          <w:b/>
          <w:lang w:val="mk-MK"/>
        </w:rPr>
        <w:t>Унификација</w:t>
      </w:r>
      <w:r w:rsidRPr="00FA2775">
        <w:rPr>
          <w:b/>
          <w:lang w:val="mk-MK"/>
        </w:rPr>
        <w:t xml:space="preserve"> на организационата поставеност на административната служба во општините и  во институциите од областа на дејностите од јавен интерес: образование, здравство, култура, социјална и детска заштита, комуналните и др. </w:t>
      </w:r>
      <w:r w:rsidRPr="00142DD3">
        <w:rPr>
          <w:rFonts w:cstheme="minorHAnsi"/>
          <w:b/>
          <w:lang w:val="mk-MK"/>
        </w:rPr>
        <w:t>дејности од јавен</w:t>
      </w:r>
      <w:r w:rsidR="00095624">
        <w:rPr>
          <w:rFonts w:cstheme="minorHAnsi"/>
          <w:b/>
          <w:lang w:val="mk-MK"/>
        </w:rPr>
        <w:t xml:space="preserve"> интерес</w:t>
      </w:r>
      <w:r w:rsidR="00D510F1">
        <w:rPr>
          <w:rFonts w:cstheme="minorHAnsi"/>
          <w:b/>
          <w:lang w:val="mk-MK"/>
        </w:rPr>
        <w:t>,</w:t>
      </w:r>
      <w:r w:rsidRPr="00142DD3">
        <w:rPr>
          <w:rFonts w:cstheme="minorHAnsi"/>
          <w:b/>
          <w:lang w:val="mk-MK"/>
        </w:rPr>
        <w:t xml:space="preserve"> </w:t>
      </w:r>
      <w:r w:rsidRPr="00142DD3">
        <w:rPr>
          <w:rFonts w:cstheme="minorHAnsi"/>
          <w:lang w:val="mk-MK"/>
        </w:rPr>
        <w:t>во насока на спречување на изготвување на предимензионирани акти за внатрешна организација и систематизација на работните места во институциите на јавниот сектор и креирање на работни места и услови по нарачка и  конкретна потреба од “вдомување на партиски кадар“</w:t>
      </w:r>
      <w:r w:rsidR="00D510F1">
        <w:rPr>
          <w:rFonts w:cstheme="minorHAnsi"/>
          <w:lang w:val="mk-MK"/>
        </w:rPr>
        <w:t>.</w:t>
      </w:r>
    </w:p>
    <w:p w14:paraId="50597EB2" w14:textId="77777777" w:rsidR="00351D48" w:rsidRPr="00C1585A" w:rsidRDefault="00351D48" w:rsidP="00351D48">
      <w:pPr>
        <w:jc w:val="both"/>
        <w:rPr>
          <w:lang w:val="mk-MK"/>
        </w:rPr>
      </w:pPr>
      <w:bookmarkStart w:id="7" w:name="_Hlk134044464"/>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tbl>
      <w:tblPr>
        <w:tblStyle w:val="TableGrid"/>
        <w:tblW w:w="0" w:type="auto"/>
        <w:tblLook w:val="04A0" w:firstRow="1" w:lastRow="0" w:firstColumn="1" w:lastColumn="0" w:noHBand="0" w:noVBand="1"/>
      </w:tblPr>
      <w:tblGrid>
        <w:gridCol w:w="5214"/>
        <w:gridCol w:w="1370"/>
        <w:gridCol w:w="1383"/>
        <w:gridCol w:w="1383"/>
      </w:tblGrid>
      <w:tr w:rsidR="00351D48" w:rsidRPr="004041C1" w14:paraId="3442E4E7" w14:textId="77777777" w:rsidTr="002877AE">
        <w:tc>
          <w:tcPr>
            <w:tcW w:w="9350" w:type="dxa"/>
            <w:gridSpan w:val="4"/>
            <w:tcBorders>
              <w:top w:val="single" w:sz="12" w:space="0" w:color="auto"/>
            </w:tcBorders>
            <w:shd w:val="clear" w:color="auto" w:fill="D9E2F3" w:themeFill="accent1" w:themeFillTint="33"/>
          </w:tcPr>
          <w:bookmarkEnd w:id="7"/>
          <w:p w14:paraId="3A038645" w14:textId="77777777" w:rsidR="00351D48" w:rsidRPr="004041C1" w:rsidRDefault="00351D48" w:rsidP="00EC7C0D">
            <w:pPr>
              <w:jc w:val="both"/>
              <w:rPr>
                <w:rFonts w:cstheme="minorHAnsi"/>
                <w:highlight w:val="yellow"/>
                <w:lang w:val="mk-MK"/>
              </w:rPr>
            </w:pPr>
            <w:r w:rsidRPr="004041C1">
              <w:rPr>
                <w:rFonts w:cstheme="minorHAnsi"/>
                <w:b/>
                <w:iCs/>
              </w:rPr>
              <w:t>Посебна цел 2.1</w:t>
            </w:r>
            <w:r w:rsidRPr="004041C1">
              <w:rPr>
                <w:rFonts w:cstheme="minorHAnsi"/>
                <w:iCs/>
              </w:rPr>
              <w:t xml:space="preserve"> </w:t>
            </w:r>
            <w:r w:rsidRPr="004041C1">
              <w:rPr>
                <w:rFonts w:cstheme="minorHAnsi"/>
                <w:b/>
                <w:color w:val="000000" w:themeColor="text1"/>
              </w:rPr>
              <w:t>Деполитизација на јавната администрација</w:t>
            </w:r>
          </w:p>
        </w:tc>
      </w:tr>
      <w:tr w:rsidR="00351D48" w:rsidRPr="004041C1" w14:paraId="407B5942" w14:textId="77777777" w:rsidTr="002877AE">
        <w:tc>
          <w:tcPr>
            <w:tcW w:w="5214" w:type="dxa"/>
            <w:vMerge w:val="restart"/>
            <w:shd w:val="clear" w:color="auto" w:fill="D9E2F3" w:themeFill="accent1" w:themeFillTint="33"/>
            <w:vAlign w:val="center"/>
          </w:tcPr>
          <w:p w14:paraId="0554319C" w14:textId="77777777" w:rsidR="00351D48" w:rsidRPr="004041C1" w:rsidRDefault="00351D48" w:rsidP="00EC7C0D">
            <w:pPr>
              <w:jc w:val="center"/>
              <w:rPr>
                <w:rFonts w:cstheme="minorHAnsi"/>
                <w:color w:val="000000"/>
                <w:sz w:val="20"/>
                <w:szCs w:val="20"/>
                <w:lang w:val="mk-MK"/>
              </w:rPr>
            </w:pPr>
          </w:p>
          <w:p w14:paraId="09FFF049" w14:textId="77777777" w:rsidR="00351D48" w:rsidRPr="004041C1" w:rsidRDefault="00351D48" w:rsidP="00EC7C0D">
            <w:pPr>
              <w:jc w:val="center"/>
              <w:rPr>
                <w:rFonts w:cstheme="minorHAnsi"/>
                <w:b/>
                <w:bCs/>
                <w:color w:val="000000"/>
                <w:sz w:val="20"/>
                <w:szCs w:val="20"/>
                <w:lang w:val="mk-MK"/>
              </w:rPr>
            </w:pPr>
            <w:r w:rsidRPr="004041C1">
              <w:rPr>
                <w:rFonts w:cstheme="minorHAnsi"/>
                <w:b/>
                <w:bCs/>
                <w:color w:val="000000"/>
                <w:sz w:val="20"/>
                <w:szCs w:val="20"/>
                <w:lang w:val="mk-MK"/>
              </w:rPr>
              <w:t>Показател на исход:</w:t>
            </w:r>
          </w:p>
        </w:tc>
        <w:tc>
          <w:tcPr>
            <w:tcW w:w="1370" w:type="dxa"/>
            <w:tcBorders>
              <w:bottom w:val="nil"/>
              <w:right w:val="nil"/>
            </w:tcBorders>
            <w:shd w:val="clear" w:color="auto" w:fill="D9E2F3" w:themeFill="accent1" w:themeFillTint="33"/>
          </w:tcPr>
          <w:p w14:paraId="3AB1E65A" w14:textId="77777777" w:rsidR="00351D48" w:rsidRPr="004041C1" w:rsidRDefault="00351D48" w:rsidP="00EC7C0D">
            <w:pPr>
              <w:jc w:val="center"/>
              <w:rPr>
                <w:rFonts w:cstheme="minorHAnsi"/>
                <w:color w:val="000000"/>
                <w:sz w:val="20"/>
                <w:szCs w:val="20"/>
              </w:rPr>
            </w:pPr>
            <w:r w:rsidRPr="004041C1">
              <w:rPr>
                <w:rFonts w:cstheme="minorHAnsi"/>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55DEEF9F" w14:textId="77777777" w:rsidR="00351D48" w:rsidRPr="004041C1" w:rsidRDefault="00351D48" w:rsidP="00EC7C0D">
            <w:pPr>
              <w:jc w:val="center"/>
              <w:rPr>
                <w:rFonts w:cstheme="minorHAnsi"/>
                <w:color w:val="000000"/>
                <w:sz w:val="20"/>
                <w:szCs w:val="20"/>
              </w:rPr>
            </w:pPr>
            <w:r w:rsidRPr="004041C1">
              <w:rPr>
                <w:rFonts w:cstheme="minorHAnsi"/>
                <w:b/>
                <w:bCs/>
                <w:sz w:val="20"/>
                <w:szCs w:val="20"/>
                <w:lang w:val="mk-MK"/>
              </w:rPr>
              <w:t>Преодна вредност</w:t>
            </w:r>
          </w:p>
        </w:tc>
        <w:tc>
          <w:tcPr>
            <w:tcW w:w="1383" w:type="dxa"/>
            <w:tcBorders>
              <w:left w:val="nil"/>
              <w:bottom w:val="nil"/>
            </w:tcBorders>
            <w:shd w:val="clear" w:color="auto" w:fill="D9E2F3" w:themeFill="accent1" w:themeFillTint="33"/>
          </w:tcPr>
          <w:p w14:paraId="649B9A4D" w14:textId="77777777" w:rsidR="00351D48" w:rsidRPr="004041C1" w:rsidRDefault="00351D48" w:rsidP="00EC7C0D">
            <w:pPr>
              <w:jc w:val="center"/>
              <w:rPr>
                <w:rFonts w:cstheme="minorHAnsi"/>
                <w:sz w:val="20"/>
                <w:szCs w:val="20"/>
                <w:highlight w:val="yellow"/>
                <w:lang w:val="mk-MK"/>
              </w:rPr>
            </w:pPr>
            <w:r w:rsidRPr="004041C1">
              <w:rPr>
                <w:rFonts w:cstheme="minorHAnsi"/>
                <w:b/>
                <w:bCs/>
                <w:sz w:val="20"/>
                <w:szCs w:val="20"/>
                <w:lang w:val="mk-MK"/>
              </w:rPr>
              <w:t>Крајна вредност</w:t>
            </w:r>
          </w:p>
        </w:tc>
      </w:tr>
      <w:tr w:rsidR="00351D48" w:rsidRPr="004041C1" w14:paraId="4854EC01" w14:textId="77777777" w:rsidTr="002877AE">
        <w:tc>
          <w:tcPr>
            <w:tcW w:w="5214" w:type="dxa"/>
            <w:vMerge/>
            <w:shd w:val="clear" w:color="auto" w:fill="D9E2F3" w:themeFill="accent1" w:themeFillTint="33"/>
          </w:tcPr>
          <w:p w14:paraId="571C1849" w14:textId="77777777" w:rsidR="00351D48" w:rsidRPr="004041C1" w:rsidRDefault="00351D48" w:rsidP="00EC7C0D">
            <w:pPr>
              <w:rPr>
                <w:rFonts w:cstheme="minorHAnsi"/>
                <w:color w:val="000000"/>
                <w:sz w:val="20"/>
                <w:szCs w:val="20"/>
              </w:rPr>
            </w:pPr>
          </w:p>
        </w:tc>
        <w:tc>
          <w:tcPr>
            <w:tcW w:w="1370" w:type="dxa"/>
            <w:tcBorders>
              <w:top w:val="nil"/>
              <w:right w:val="nil"/>
            </w:tcBorders>
            <w:shd w:val="clear" w:color="auto" w:fill="D9E2F3" w:themeFill="accent1" w:themeFillTint="33"/>
          </w:tcPr>
          <w:p w14:paraId="6BDC8428" w14:textId="77777777" w:rsidR="00351D48" w:rsidRPr="004041C1" w:rsidRDefault="00351D48" w:rsidP="00EC7C0D">
            <w:pPr>
              <w:jc w:val="center"/>
              <w:rPr>
                <w:rFonts w:cstheme="minorHAnsi"/>
                <w:b/>
                <w:bCs/>
                <w:color w:val="000000"/>
                <w:sz w:val="20"/>
                <w:szCs w:val="20"/>
                <w:lang w:val="en-US"/>
              </w:rPr>
            </w:pPr>
            <w:r w:rsidRPr="004041C1">
              <w:rPr>
                <w:rFonts w:cstheme="minorHAnsi"/>
                <w:b/>
                <w:bCs/>
                <w:color w:val="000000"/>
                <w:sz w:val="20"/>
                <w:szCs w:val="20"/>
                <w:lang w:val="mk-MK"/>
              </w:rPr>
              <w:t>202</w:t>
            </w:r>
            <w:r w:rsidRPr="004041C1">
              <w:rPr>
                <w:rFonts w:cstheme="minorHAnsi"/>
                <w:b/>
                <w:bCs/>
                <w:color w:val="000000"/>
                <w:sz w:val="20"/>
                <w:szCs w:val="20"/>
                <w:lang w:val="en-US"/>
              </w:rPr>
              <w:t>2</w:t>
            </w:r>
          </w:p>
        </w:tc>
        <w:tc>
          <w:tcPr>
            <w:tcW w:w="1383" w:type="dxa"/>
            <w:tcBorders>
              <w:top w:val="nil"/>
              <w:left w:val="nil"/>
              <w:right w:val="nil"/>
            </w:tcBorders>
            <w:shd w:val="clear" w:color="auto" w:fill="D9E2F3" w:themeFill="accent1" w:themeFillTint="33"/>
          </w:tcPr>
          <w:p w14:paraId="05C6D1FE" w14:textId="77777777" w:rsidR="00351D48" w:rsidRPr="004041C1" w:rsidRDefault="00351D48" w:rsidP="00EC7C0D">
            <w:pPr>
              <w:jc w:val="center"/>
              <w:rPr>
                <w:rFonts w:cstheme="minorHAnsi"/>
                <w:b/>
                <w:bCs/>
                <w:color w:val="000000"/>
                <w:sz w:val="20"/>
                <w:szCs w:val="20"/>
                <w:lang w:val="mk-MK"/>
              </w:rPr>
            </w:pPr>
            <w:r w:rsidRPr="004041C1">
              <w:rPr>
                <w:rFonts w:cstheme="minorHAnsi"/>
                <w:b/>
                <w:bCs/>
                <w:color w:val="000000"/>
                <w:sz w:val="20"/>
                <w:szCs w:val="20"/>
                <w:lang w:val="mk-MK"/>
              </w:rPr>
              <w:t>2026</w:t>
            </w:r>
          </w:p>
        </w:tc>
        <w:tc>
          <w:tcPr>
            <w:tcW w:w="1383" w:type="dxa"/>
            <w:tcBorders>
              <w:top w:val="nil"/>
              <w:left w:val="nil"/>
            </w:tcBorders>
            <w:shd w:val="clear" w:color="auto" w:fill="D9E2F3" w:themeFill="accent1" w:themeFillTint="33"/>
          </w:tcPr>
          <w:p w14:paraId="3772C0A3" w14:textId="77777777" w:rsidR="00351D48" w:rsidRPr="004041C1" w:rsidRDefault="00351D48" w:rsidP="00EC7C0D">
            <w:pPr>
              <w:jc w:val="center"/>
              <w:rPr>
                <w:rFonts w:cstheme="minorHAnsi"/>
                <w:b/>
                <w:bCs/>
                <w:sz w:val="20"/>
                <w:szCs w:val="20"/>
                <w:lang w:val="mk-MK"/>
              </w:rPr>
            </w:pPr>
            <w:r w:rsidRPr="004041C1">
              <w:rPr>
                <w:rFonts w:cstheme="minorHAnsi"/>
                <w:b/>
                <w:bCs/>
                <w:sz w:val="20"/>
                <w:szCs w:val="20"/>
                <w:lang w:val="mk-MK"/>
              </w:rPr>
              <w:t>2030</w:t>
            </w:r>
          </w:p>
        </w:tc>
      </w:tr>
      <w:tr w:rsidR="00351D48" w:rsidRPr="004041C1" w14:paraId="06944BB1" w14:textId="77777777" w:rsidTr="002877AE">
        <w:trPr>
          <w:trHeight w:val="665"/>
        </w:trPr>
        <w:tc>
          <w:tcPr>
            <w:tcW w:w="5214" w:type="dxa"/>
            <w:shd w:val="clear" w:color="auto" w:fill="D9E2F3" w:themeFill="accent1" w:themeFillTint="33"/>
          </w:tcPr>
          <w:p w14:paraId="7CEEC471" w14:textId="77777777" w:rsidR="00351D48" w:rsidRPr="004041C1" w:rsidRDefault="00351D48" w:rsidP="00EC7C0D">
            <w:pPr>
              <w:rPr>
                <w:rFonts w:cstheme="minorHAnsi"/>
                <w:color w:val="000000"/>
                <w:sz w:val="20"/>
                <w:szCs w:val="20"/>
              </w:rPr>
            </w:pPr>
            <w:r w:rsidRPr="004041C1">
              <w:rPr>
                <w:rFonts w:cstheme="minorHAnsi"/>
                <w:iCs/>
                <w:sz w:val="20"/>
                <w:szCs w:val="20"/>
              </w:rPr>
              <w:t>Процент</w:t>
            </w:r>
            <w:r w:rsidRPr="004041C1">
              <w:rPr>
                <w:rFonts w:cstheme="minorHAnsi"/>
                <w:iCs/>
                <w:sz w:val="20"/>
                <w:szCs w:val="20"/>
                <w:lang w:val="mk-MK"/>
              </w:rPr>
              <w:t xml:space="preserve"> на</w:t>
            </w:r>
            <w:r w:rsidRPr="004041C1">
              <w:rPr>
                <w:rFonts w:cstheme="minorHAnsi"/>
                <w:iCs/>
                <w:sz w:val="20"/>
                <w:szCs w:val="20"/>
              </w:rPr>
              <w:t xml:space="preserve"> усвоени жалби на одлуки за избор </w:t>
            </w:r>
            <w:r w:rsidRPr="004041C1">
              <w:rPr>
                <w:rFonts w:cstheme="minorHAnsi"/>
                <w:iCs/>
                <w:sz w:val="20"/>
                <w:szCs w:val="20"/>
                <w:lang w:val="mk-MK"/>
              </w:rPr>
              <w:t>на најуспешен кандидат во постапките за вработување на јавен оглас во институциите на јавниот сектор</w:t>
            </w:r>
          </w:p>
        </w:tc>
        <w:tc>
          <w:tcPr>
            <w:tcW w:w="1370" w:type="dxa"/>
            <w:shd w:val="clear" w:color="auto" w:fill="D9E2F3" w:themeFill="accent1" w:themeFillTint="33"/>
            <w:vAlign w:val="center"/>
          </w:tcPr>
          <w:p w14:paraId="6EF31A56" w14:textId="77777777" w:rsidR="00351D48" w:rsidRPr="004041C1" w:rsidRDefault="00351D48" w:rsidP="00EC7C0D">
            <w:pPr>
              <w:jc w:val="center"/>
              <w:rPr>
                <w:rFonts w:cstheme="minorHAnsi"/>
                <w:color w:val="000000"/>
                <w:sz w:val="20"/>
                <w:szCs w:val="20"/>
                <w:lang w:val="en-US"/>
              </w:rPr>
            </w:pPr>
            <w:r w:rsidRPr="004041C1">
              <w:rPr>
                <w:rFonts w:cstheme="minorHAnsi"/>
                <w:color w:val="000000"/>
                <w:sz w:val="20"/>
                <w:szCs w:val="20"/>
                <w:lang w:val="en-US"/>
              </w:rPr>
              <w:t>1%</w:t>
            </w:r>
          </w:p>
        </w:tc>
        <w:tc>
          <w:tcPr>
            <w:tcW w:w="1383" w:type="dxa"/>
            <w:shd w:val="clear" w:color="auto" w:fill="D9E2F3" w:themeFill="accent1" w:themeFillTint="33"/>
            <w:vAlign w:val="center"/>
          </w:tcPr>
          <w:p w14:paraId="7F4635AC" w14:textId="77777777" w:rsidR="00351D48" w:rsidRPr="004041C1" w:rsidRDefault="00351D48" w:rsidP="00EC7C0D">
            <w:pPr>
              <w:jc w:val="center"/>
              <w:rPr>
                <w:rFonts w:cstheme="minorHAnsi"/>
                <w:color w:val="000000"/>
                <w:sz w:val="20"/>
                <w:szCs w:val="20"/>
                <w:lang w:val="en-US"/>
              </w:rPr>
            </w:pPr>
            <w:r w:rsidRPr="004041C1">
              <w:rPr>
                <w:rFonts w:cstheme="minorHAnsi"/>
                <w:color w:val="000000"/>
                <w:sz w:val="20"/>
                <w:szCs w:val="20"/>
                <w:lang w:val="en-US"/>
              </w:rPr>
              <w:t>0,5%</w:t>
            </w:r>
          </w:p>
        </w:tc>
        <w:tc>
          <w:tcPr>
            <w:tcW w:w="1383" w:type="dxa"/>
            <w:shd w:val="clear" w:color="auto" w:fill="D9E2F3" w:themeFill="accent1" w:themeFillTint="33"/>
            <w:vAlign w:val="center"/>
          </w:tcPr>
          <w:p w14:paraId="4385FEFF" w14:textId="77777777" w:rsidR="00351D48" w:rsidRPr="004041C1" w:rsidRDefault="00351D48" w:rsidP="00EC7C0D">
            <w:pPr>
              <w:jc w:val="center"/>
              <w:rPr>
                <w:rFonts w:cstheme="minorHAnsi"/>
                <w:sz w:val="20"/>
                <w:szCs w:val="20"/>
                <w:lang w:val="en-US"/>
              </w:rPr>
            </w:pPr>
            <w:r w:rsidRPr="004041C1">
              <w:rPr>
                <w:rFonts w:cstheme="minorHAnsi"/>
                <w:sz w:val="20"/>
                <w:szCs w:val="20"/>
                <w:lang w:val="en-US"/>
              </w:rPr>
              <w:t>0%</w:t>
            </w:r>
          </w:p>
        </w:tc>
      </w:tr>
      <w:tr w:rsidR="00351D48" w:rsidRPr="004041C1" w14:paraId="7E431EC9" w14:textId="77777777" w:rsidTr="002877AE">
        <w:trPr>
          <w:trHeight w:val="485"/>
        </w:trPr>
        <w:tc>
          <w:tcPr>
            <w:tcW w:w="9350" w:type="dxa"/>
            <w:gridSpan w:val="4"/>
            <w:shd w:val="clear" w:color="auto" w:fill="D9E2F3" w:themeFill="accent1" w:themeFillTint="33"/>
          </w:tcPr>
          <w:p w14:paraId="638EF468" w14:textId="369E8468" w:rsidR="00351D48" w:rsidRPr="00B951DF" w:rsidRDefault="00351D48" w:rsidP="00EC7C0D">
            <w:pPr>
              <w:rPr>
                <w:rFonts w:cstheme="minorHAnsi"/>
                <w:b/>
              </w:rPr>
            </w:pPr>
            <w:r w:rsidRPr="004041C1">
              <w:rPr>
                <w:rFonts w:cstheme="minorHAnsi"/>
                <w:b/>
              </w:rPr>
              <w:t>М</w:t>
            </w:r>
            <w:r>
              <w:rPr>
                <w:rFonts w:cstheme="minorHAnsi"/>
                <w:b/>
                <w:lang w:val="mk-MK"/>
              </w:rPr>
              <w:t>ерка</w:t>
            </w:r>
            <w:r w:rsidRPr="004041C1">
              <w:rPr>
                <w:rFonts w:cstheme="minorHAnsi"/>
                <w:b/>
              </w:rPr>
              <w:t xml:space="preserve"> 2.1.1. Поврзување на Стратешкото планирање со Управувањето со човечки ресурси </w:t>
            </w:r>
          </w:p>
        </w:tc>
      </w:tr>
      <w:tr w:rsidR="00351D48" w:rsidRPr="004041C1" w14:paraId="443904C9" w14:textId="77777777" w:rsidTr="002877AE">
        <w:tc>
          <w:tcPr>
            <w:tcW w:w="5214" w:type="dxa"/>
            <w:vMerge w:val="restart"/>
            <w:shd w:val="clear" w:color="auto" w:fill="D9E2F3" w:themeFill="accent1" w:themeFillTint="33"/>
            <w:vAlign w:val="center"/>
          </w:tcPr>
          <w:p w14:paraId="7000F02A" w14:textId="77777777" w:rsidR="00351D48" w:rsidRPr="004041C1" w:rsidRDefault="00351D48" w:rsidP="00EC7C0D">
            <w:pPr>
              <w:jc w:val="center"/>
              <w:rPr>
                <w:rFonts w:cstheme="minorHAnsi"/>
                <w:b/>
                <w:sz w:val="20"/>
                <w:szCs w:val="20"/>
              </w:rPr>
            </w:pPr>
            <w:r w:rsidRPr="004041C1">
              <w:rPr>
                <w:rFonts w:cstheme="minorHAnsi"/>
                <w:b/>
                <w:bCs/>
                <w:color w:val="000000"/>
                <w:sz w:val="20"/>
                <w:szCs w:val="20"/>
                <w:lang w:val="mk-MK"/>
              </w:rPr>
              <w:t>Показатели на резултат:</w:t>
            </w:r>
          </w:p>
        </w:tc>
        <w:tc>
          <w:tcPr>
            <w:tcW w:w="1370" w:type="dxa"/>
            <w:tcBorders>
              <w:bottom w:val="nil"/>
              <w:right w:val="nil"/>
            </w:tcBorders>
            <w:shd w:val="clear" w:color="auto" w:fill="D9E2F3" w:themeFill="accent1" w:themeFillTint="33"/>
          </w:tcPr>
          <w:p w14:paraId="6F0A71DE" w14:textId="77777777" w:rsidR="00351D48" w:rsidRPr="004041C1" w:rsidRDefault="00351D48" w:rsidP="00EC7C0D">
            <w:pPr>
              <w:jc w:val="center"/>
              <w:rPr>
                <w:rFonts w:cstheme="minorHAnsi"/>
                <w:color w:val="000000"/>
                <w:sz w:val="20"/>
                <w:szCs w:val="20"/>
                <w:lang w:val="mk-MK"/>
              </w:rPr>
            </w:pPr>
            <w:r w:rsidRPr="004041C1">
              <w:rPr>
                <w:rFonts w:cstheme="minorHAnsi"/>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7EBF402A" w14:textId="77777777" w:rsidR="00351D48" w:rsidRPr="004041C1" w:rsidRDefault="00351D48" w:rsidP="00EC7C0D">
            <w:pPr>
              <w:jc w:val="center"/>
              <w:rPr>
                <w:rFonts w:cstheme="minorHAnsi"/>
                <w:color w:val="000000"/>
                <w:sz w:val="20"/>
                <w:szCs w:val="20"/>
                <w:lang w:val="mk-MK"/>
              </w:rPr>
            </w:pPr>
            <w:r w:rsidRPr="004041C1">
              <w:rPr>
                <w:rFonts w:cstheme="minorHAnsi"/>
                <w:b/>
                <w:bCs/>
                <w:sz w:val="20"/>
                <w:szCs w:val="20"/>
                <w:lang w:val="mk-MK"/>
              </w:rPr>
              <w:t>Преодна вредност</w:t>
            </w:r>
          </w:p>
        </w:tc>
        <w:tc>
          <w:tcPr>
            <w:tcW w:w="1383" w:type="dxa"/>
            <w:tcBorders>
              <w:left w:val="nil"/>
              <w:bottom w:val="nil"/>
            </w:tcBorders>
            <w:shd w:val="clear" w:color="auto" w:fill="D9E2F3" w:themeFill="accent1" w:themeFillTint="33"/>
          </w:tcPr>
          <w:p w14:paraId="0A0D8877" w14:textId="77777777" w:rsidR="00351D48" w:rsidRPr="004041C1" w:rsidRDefault="00351D48" w:rsidP="00EC7C0D">
            <w:pPr>
              <w:jc w:val="center"/>
              <w:rPr>
                <w:rFonts w:cstheme="minorHAnsi"/>
                <w:sz w:val="20"/>
                <w:szCs w:val="20"/>
                <w:highlight w:val="yellow"/>
                <w:lang w:val="mk-MK"/>
              </w:rPr>
            </w:pPr>
            <w:r w:rsidRPr="004041C1">
              <w:rPr>
                <w:rFonts w:cstheme="minorHAnsi"/>
                <w:b/>
                <w:bCs/>
                <w:sz w:val="20"/>
                <w:szCs w:val="20"/>
                <w:lang w:val="mk-MK"/>
              </w:rPr>
              <w:t>Крајна вредност</w:t>
            </w:r>
          </w:p>
        </w:tc>
      </w:tr>
      <w:tr w:rsidR="00351D48" w:rsidRPr="004041C1" w14:paraId="31EBDA80" w14:textId="77777777" w:rsidTr="002877AE">
        <w:tc>
          <w:tcPr>
            <w:tcW w:w="5214" w:type="dxa"/>
            <w:vMerge/>
            <w:shd w:val="clear" w:color="auto" w:fill="D9E2F3" w:themeFill="accent1" w:themeFillTint="33"/>
          </w:tcPr>
          <w:p w14:paraId="5A797EC4" w14:textId="77777777" w:rsidR="00351D48" w:rsidRPr="004041C1" w:rsidRDefault="00351D48" w:rsidP="00EC7C0D">
            <w:pPr>
              <w:rPr>
                <w:rFonts w:cstheme="minorHAnsi"/>
                <w:b/>
                <w:sz w:val="20"/>
                <w:szCs w:val="20"/>
              </w:rPr>
            </w:pPr>
          </w:p>
        </w:tc>
        <w:tc>
          <w:tcPr>
            <w:tcW w:w="1370" w:type="dxa"/>
            <w:tcBorders>
              <w:top w:val="nil"/>
              <w:right w:val="nil"/>
            </w:tcBorders>
            <w:shd w:val="clear" w:color="auto" w:fill="D9E2F3" w:themeFill="accent1" w:themeFillTint="33"/>
          </w:tcPr>
          <w:p w14:paraId="020106B0" w14:textId="77777777" w:rsidR="00351D48" w:rsidRPr="004041C1" w:rsidRDefault="00351D48" w:rsidP="00EC7C0D">
            <w:pPr>
              <w:jc w:val="center"/>
              <w:rPr>
                <w:rFonts w:cstheme="minorHAnsi"/>
                <w:color w:val="000000"/>
                <w:sz w:val="20"/>
                <w:szCs w:val="20"/>
                <w:lang w:val="mk-MK"/>
              </w:rPr>
            </w:pPr>
            <w:r w:rsidRPr="004041C1">
              <w:rPr>
                <w:rFonts w:cstheme="minorHAnsi"/>
                <w:b/>
                <w:bCs/>
                <w:color w:val="000000"/>
                <w:sz w:val="20"/>
                <w:szCs w:val="20"/>
                <w:lang w:val="mk-MK"/>
              </w:rPr>
              <w:t>2023</w:t>
            </w:r>
          </w:p>
        </w:tc>
        <w:tc>
          <w:tcPr>
            <w:tcW w:w="1383" w:type="dxa"/>
            <w:tcBorders>
              <w:top w:val="nil"/>
              <w:left w:val="nil"/>
              <w:right w:val="nil"/>
            </w:tcBorders>
            <w:shd w:val="clear" w:color="auto" w:fill="D9E2F3" w:themeFill="accent1" w:themeFillTint="33"/>
          </w:tcPr>
          <w:p w14:paraId="7C6A4D79" w14:textId="77777777" w:rsidR="00351D48" w:rsidRPr="004041C1" w:rsidRDefault="00351D48" w:rsidP="00EC7C0D">
            <w:pPr>
              <w:jc w:val="center"/>
              <w:rPr>
                <w:rFonts w:cstheme="minorHAnsi"/>
                <w:color w:val="000000"/>
                <w:sz w:val="20"/>
                <w:szCs w:val="20"/>
                <w:lang w:val="mk-MK"/>
              </w:rPr>
            </w:pPr>
            <w:r w:rsidRPr="004041C1">
              <w:rPr>
                <w:rFonts w:cstheme="minorHAnsi"/>
                <w:b/>
                <w:bCs/>
                <w:color w:val="000000"/>
                <w:sz w:val="20"/>
                <w:szCs w:val="20"/>
                <w:lang w:val="mk-MK"/>
              </w:rPr>
              <w:t>2026</w:t>
            </w:r>
          </w:p>
        </w:tc>
        <w:tc>
          <w:tcPr>
            <w:tcW w:w="1383" w:type="dxa"/>
            <w:tcBorders>
              <w:top w:val="nil"/>
              <w:left w:val="nil"/>
            </w:tcBorders>
            <w:shd w:val="clear" w:color="auto" w:fill="D9E2F3" w:themeFill="accent1" w:themeFillTint="33"/>
          </w:tcPr>
          <w:p w14:paraId="152B1C5D" w14:textId="77777777" w:rsidR="00351D48" w:rsidRPr="004041C1" w:rsidRDefault="00351D48" w:rsidP="00EC7C0D">
            <w:pPr>
              <w:jc w:val="center"/>
              <w:rPr>
                <w:rFonts w:cstheme="minorHAnsi"/>
                <w:sz w:val="20"/>
                <w:szCs w:val="20"/>
                <w:lang w:val="mk-MK"/>
              </w:rPr>
            </w:pPr>
            <w:r w:rsidRPr="004041C1">
              <w:rPr>
                <w:rFonts w:cstheme="minorHAnsi"/>
                <w:b/>
                <w:bCs/>
                <w:sz w:val="20"/>
                <w:szCs w:val="20"/>
                <w:lang w:val="mk-MK"/>
              </w:rPr>
              <w:t>2030</w:t>
            </w:r>
          </w:p>
        </w:tc>
      </w:tr>
      <w:tr w:rsidR="00351D48" w:rsidRPr="004041C1" w14:paraId="0F553E14" w14:textId="77777777" w:rsidTr="002877AE">
        <w:tc>
          <w:tcPr>
            <w:tcW w:w="5214" w:type="dxa"/>
            <w:shd w:val="clear" w:color="auto" w:fill="D9E2F3" w:themeFill="accent1" w:themeFillTint="33"/>
          </w:tcPr>
          <w:p w14:paraId="402A3B9D" w14:textId="77777777" w:rsidR="00351D48" w:rsidRPr="004041C1" w:rsidRDefault="00351D48" w:rsidP="00EC7C0D">
            <w:pPr>
              <w:rPr>
                <w:rFonts w:cstheme="minorHAnsi"/>
                <w:bCs/>
                <w:sz w:val="20"/>
                <w:szCs w:val="20"/>
              </w:rPr>
            </w:pPr>
            <w:r w:rsidRPr="004041C1">
              <w:rPr>
                <w:rFonts w:cstheme="minorHAnsi"/>
                <w:bCs/>
                <w:sz w:val="20"/>
                <w:szCs w:val="20"/>
              </w:rPr>
              <w:t>Процент на донесени Планови за вработување согласно стратешките приоритети на институцијата</w:t>
            </w:r>
          </w:p>
        </w:tc>
        <w:tc>
          <w:tcPr>
            <w:tcW w:w="1370" w:type="dxa"/>
            <w:shd w:val="clear" w:color="auto" w:fill="D9E2F3" w:themeFill="accent1" w:themeFillTint="33"/>
            <w:vAlign w:val="center"/>
          </w:tcPr>
          <w:p w14:paraId="2F3DCB15" w14:textId="77777777" w:rsidR="00351D48" w:rsidRPr="004041C1" w:rsidRDefault="00351D48" w:rsidP="00EC7C0D">
            <w:pPr>
              <w:jc w:val="center"/>
              <w:rPr>
                <w:rFonts w:cstheme="minorHAnsi"/>
                <w:color w:val="000000"/>
                <w:sz w:val="20"/>
                <w:szCs w:val="20"/>
                <w:lang w:val="mk-MK"/>
              </w:rPr>
            </w:pPr>
            <w:r w:rsidRPr="004041C1">
              <w:rPr>
                <w:rFonts w:cstheme="minorHAnsi"/>
                <w:color w:val="000000"/>
                <w:sz w:val="20"/>
                <w:szCs w:val="20"/>
                <w:lang w:val="mk-MK"/>
              </w:rPr>
              <w:t>0</w:t>
            </w:r>
          </w:p>
        </w:tc>
        <w:tc>
          <w:tcPr>
            <w:tcW w:w="1383" w:type="dxa"/>
            <w:shd w:val="clear" w:color="auto" w:fill="D9E2F3" w:themeFill="accent1" w:themeFillTint="33"/>
            <w:vAlign w:val="center"/>
          </w:tcPr>
          <w:p w14:paraId="70A49E52" w14:textId="77777777" w:rsidR="00351D48" w:rsidRPr="004041C1" w:rsidRDefault="00351D48" w:rsidP="00EC7C0D">
            <w:pPr>
              <w:jc w:val="center"/>
              <w:rPr>
                <w:rFonts w:cstheme="minorHAnsi"/>
                <w:color w:val="000000"/>
                <w:sz w:val="20"/>
                <w:szCs w:val="20"/>
                <w:lang w:val="mk-MK"/>
              </w:rPr>
            </w:pPr>
            <w:r w:rsidRPr="004041C1">
              <w:rPr>
                <w:rFonts w:cstheme="minorHAnsi"/>
                <w:color w:val="000000"/>
                <w:sz w:val="20"/>
                <w:szCs w:val="20"/>
                <w:lang w:val="mk-MK"/>
              </w:rPr>
              <w:t>75%</w:t>
            </w:r>
          </w:p>
        </w:tc>
        <w:tc>
          <w:tcPr>
            <w:tcW w:w="1383" w:type="dxa"/>
            <w:shd w:val="clear" w:color="auto" w:fill="D9E2F3" w:themeFill="accent1" w:themeFillTint="33"/>
            <w:vAlign w:val="center"/>
          </w:tcPr>
          <w:p w14:paraId="765AAABE" w14:textId="77777777" w:rsidR="00351D48" w:rsidRPr="004041C1" w:rsidRDefault="00351D48" w:rsidP="00EC7C0D">
            <w:pPr>
              <w:jc w:val="center"/>
              <w:rPr>
                <w:rFonts w:cstheme="minorHAnsi"/>
                <w:sz w:val="20"/>
                <w:szCs w:val="20"/>
                <w:lang w:val="mk-MK"/>
              </w:rPr>
            </w:pPr>
            <w:r w:rsidRPr="004041C1">
              <w:rPr>
                <w:rFonts w:cstheme="minorHAnsi"/>
                <w:sz w:val="20"/>
                <w:szCs w:val="20"/>
                <w:lang w:val="mk-MK"/>
              </w:rPr>
              <w:t>100%</w:t>
            </w:r>
          </w:p>
        </w:tc>
      </w:tr>
      <w:tr w:rsidR="00351D48" w:rsidRPr="004041C1" w14:paraId="68000762" w14:textId="77777777" w:rsidTr="002877AE">
        <w:trPr>
          <w:trHeight w:val="845"/>
        </w:trPr>
        <w:tc>
          <w:tcPr>
            <w:tcW w:w="5214" w:type="dxa"/>
            <w:shd w:val="clear" w:color="auto" w:fill="D9E2F3" w:themeFill="accent1" w:themeFillTint="33"/>
          </w:tcPr>
          <w:p w14:paraId="543B2CE7" w14:textId="562D442D" w:rsidR="00351D48" w:rsidRPr="00D3445B" w:rsidRDefault="00351D48" w:rsidP="00EC7C0D">
            <w:pPr>
              <w:rPr>
                <w:rFonts w:cstheme="minorHAnsi"/>
                <w:bCs/>
                <w:sz w:val="20"/>
                <w:szCs w:val="20"/>
                <w:lang w:val="mk-MK"/>
              </w:rPr>
            </w:pPr>
            <w:r w:rsidRPr="004041C1">
              <w:rPr>
                <w:rFonts w:cstheme="minorHAnsi"/>
                <w:bCs/>
                <w:sz w:val="20"/>
                <w:szCs w:val="20"/>
              </w:rPr>
              <w:t>Процент на усогласени акти за систематизација со утврдени “</w:t>
            </w:r>
            <w:r w:rsidR="00D510F1" w:rsidRPr="004041C1">
              <w:rPr>
                <w:rFonts w:cstheme="minorHAnsi"/>
                <w:bCs/>
                <w:sz w:val="20"/>
                <w:szCs w:val="20"/>
              </w:rPr>
              <w:t>СМАРТ</w:t>
            </w:r>
            <w:r w:rsidRPr="004041C1">
              <w:rPr>
                <w:rFonts w:cstheme="minorHAnsi"/>
                <w:bCs/>
                <w:sz w:val="20"/>
                <w:szCs w:val="20"/>
              </w:rPr>
              <w:t>“ описи на работни места во однос на вкупниот број на донесени акти за систематизација</w:t>
            </w:r>
            <w:r w:rsidR="00D510F1">
              <w:rPr>
                <w:rFonts w:cstheme="minorHAnsi"/>
                <w:bCs/>
                <w:sz w:val="20"/>
                <w:szCs w:val="20"/>
                <w:lang w:val="mk-MK"/>
              </w:rPr>
              <w:t xml:space="preserve"> на работни места</w:t>
            </w:r>
          </w:p>
        </w:tc>
        <w:tc>
          <w:tcPr>
            <w:tcW w:w="1370" w:type="dxa"/>
            <w:shd w:val="clear" w:color="auto" w:fill="D9E2F3" w:themeFill="accent1" w:themeFillTint="33"/>
            <w:vAlign w:val="center"/>
          </w:tcPr>
          <w:p w14:paraId="7D367720" w14:textId="77777777" w:rsidR="00351D48" w:rsidRPr="004041C1" w:rsidRDefault="00351D48" w:rsidP="00EC7C0D">
            <w:pPr>
              <w:jc w:val="center"/>
              <w:rPr>
                <w:rFonts w:cstheme="minorHAnsi"/>
                <w:bCs/>
                <w:color w:val="000000"/>
                <w:sz w:val="20"/>
                <w:szCs w:val="20"/>
                <w:lang w:val="mk-MK"/>
              </w:rPr>
            </w:pPr>
            <w:r w:rsidRPr="004041C1">
              <w:rPr>
                <w:rFonts w:cstheme="minorHAnsi"/>
                <w:bCs/>
                <w:color w:val="000000"/>
                <w:sz w:val="20"/>
                <w:szCs w:val="20"/>
                <w:lang w:val="mk-MK"/>
              </w:rPr>
              <w:t>0</w:t>
            </w:r>
          </w:p>
        </w:tc>
        <w:tc>
          <w:tcPr>
            <w:tcW w:w="1383" w:type="dxa"/>
            <w:shd w:val="clear" w:color="auto" w:fill="D9E2F3" w:themeFill="accent1" w:themeFillTint="33"/>
            <w:vAlign w:val="center"/>
          </w:tcPr>
          <w:p w14:paraId="2D850555" w14:textId="77777777" w:rsidR="00351D48" w:rsidRPr="004041C1" w:rsidRDefault="00351D48" w:rsidP="00EC7C0D">
            <w:pPr>
              <w:jc w:val="center"/>
              <w:rPr>
                <w:rFonts w:cstheme="minorHAnsi"/>
                <w:bCs/>
                <w:color w:val="000000"/>
                <w:sz w:val="20"/>
                <w:szCs w:val="20"/>
                <w:lang w:val="mk-MK"/>
              </w:rPr>
            </w:pPr>
            <w:r w:rsidRPr="004041C1">
              <w:rPr>
                <w:rFonts w:cstheme="minorHAnsi"/>
                <w:bCs/>
                <w:color w:val="000000"/>
                <w:sz w:val="20"/>
                <w:szCs w:val="20"/>
                <w:lang w:val="mk-MK"/>
              </w:rPr>
              <w:t>20%</w:t>
            </w:r>
          </w:p>
        </w:tc>
        <w:tc>
          <w:tcPr>
            <w:tcW w:w="1383" w:type="dxa"/>
            <w:shd w:val="clear" w:color="auto" w:fill="D9E2F3" w:themeFill="accent1" w:themeFillTint="33"/>
            <w:vAlign w:val="center"/>
          </w:tcPr>
          <w:p w14:paraId="632A4759" w14:textId="77777777" w:rsidR="00351D48" w:rsidRPr="004041C1" w:rsidRDefault="00351D48" w:rsidP="00EC7C0D">
            <w:pPr>
              <w:jc w:val="center"/>
              <w:rPr>
                <w:rFonts w:cstheme="minorHAnsi"/>
                <w:bCs/>
                <w:sz w:val="20"/>
                <w:szCs w:val="20"/>
                <w:lang w:val="mk-MK"/>
              </w:rPr>
            </w:pPr>
            <w:r w:rsidRPr="004041C1">
              <w:rPr>
                <w:rFonts w:cstheme="minorHAnsi"/>
                <w:bCs/>
                <w:sz w:val="20"/>
                <w:szCs w:val="20"/>
                <w:lang w:val="mk-MK"/>
              </w:rPr>
              <w:t>50%</w:t>
            </w:r>
          </w:p>
        </w:tc>
      </w:tr>
      <w:tr w:rsidR="00351D48" w:rsidRPr="0033370A" w14:paraId="72E9AA99" w14:textId="77777777" w:rsidTr="002877AE">
        <w:tc>
          <w:tcPr>
            <w:tcW w:w="9350" w:type="dxa"/>
            <w:gridSpan w:val="4"/>
            <w:shd w:val="clear" w:color="auto" w:fill="D9E2F3" w:themeFill="accent1" w:themeFillTint="33"/>
          </w:tcPr>
          <w:p w14:paraId="64282393" w14:textId="77777777" w:rsidR="00351D48" w:rsidRPr="0033370A" w:rsidRDefault="00351D48" w:rsidP="00EC7C0D">
            <w:pPr>
              <w:rPr>
                <w:highlight w:val="yellow"/>
                <w:lang w:val="mk-MK"/>
              </w:rPr>
            </w:pPr>
            <w:r w:rsidRPr="0033370A">
              <w:rPr>
                <w:rFonts w:cstheme="minorHAnsi"/>
                <w:b/>
              </w:rPr>
              <w:t>М</w:t>
            </w:r>
            <w:r w:rsidRPr="0033370A">
              <w:rPr>
                <w:rFonts w:cstheme="minorHAnsi"/>
                <w:b/>
                <w:lang w:val="mk-MK"/>
              </w:rPr>
              <w:t xml:space="preserve">ерка </w:t>
            </w:r>
            <w:r>
              <w:rPr>
                <w:rFonts w:cstheme="minorHAnsi"/>
                <w:b/>
                <w:lang w:val="mk-MK"/>
              </w:rPr>
              <w:t>2</w:t>
            </w:r>
            <w:r w:rsidRPr="0033370A">
              <w:rPr>
                <w:rFonts w:cstheme="minorHAnsi"/>
                <w:b/>
              </w:rPr>
              <w:t>.</w:t>
            </w:r>
            <w:r w:rsidRPr="0033370A">
              <w:rPr>
                <w:rFonts w:cstheme="minorHAnsi"/>
                <w:b/>
                <w:lang w:val="mk-MK"/>
              </w:rPr>
              <w:t>1.</w:t>
            </w:r>
            <w:r w:rsidRPr="0033370A">
              <w:rPr>
                <w:rFonts w:cstheme="minorHAnsi"/>
                <w:b/>
              </w:rPr>
              <w:t xml:space="preserve">2. </w:t>
            </w:r>
            <w:r w:rsidRPr="004041C1">
              <w:rPr>
                <w:rFonts w:cstheme="minorHAnsi"/>
                <w:b/>
                <w:bCs/>
              </w:rPr>
              <w:t>Јакнење на улогата на Интервјуто базирано на компетенции во постапките за вработување на јавната администрација</w:t>
            </w:r>
          </w:p>
        </w:tc>
      </w:tr>
      <w:tr w:rsidR="00351D48" w:rsidRPr="004041C1" w14:paraId="50B9C6AF" w14:textId="77777777" w:rsidTr="002877AE">
        <w:tc>
          <w:tcPr>
            <w:tcW w:w="5214" w:type="dxa"/>
            <w:vMerge w:val="restart"/>
            <w:shd w:val="clear" w:color="auto" w:fill="D9E2F3" w:themeFill="accent1" w:themeFillTint="33"/>
            <w:vAlign w:val="center"/>
          </w:tcPr>
          <w:p w14:paraId="09429484" w14:textId="77777777" w:rsidR="00351D48" w:rsidRPr="004041C1" w:rsidRDefault="00351D48" w:rsidP="00EC7C0D">
            <w:pPr>
              <w:jc w:val="center"/>
              <w:rPr>
                <w:rFonts w:cstheme="minorHAnsi"/>
                <w:sz w:val="20"/>
                <w:szCs w:val="20"/>
              </w:rPr>
            </w:pPr>
            <w:r w:rsidRPr="004041C1">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5A4832D7" w14:textId="77777777" w:rsidR="00351D48" w:rsidRPr="004041C1" w:rsidRDefault="00351D48" w:rsidP="00EC7C0D">
            <w:pPr>
              <w:jc w:val="center"/>
              <w:rPr>
                <w:rFonts w:ascii="Calibri" w:hAnsi="Calibri" w:cs="Calibri"/>
                <w:color w:val="000000"/>
                <w:sz w:val="20"/>
                <w:szCs w:val="20"/>
                <w:lang w:val="mk-MK"/>
              </w:rPr>
            </w:pPr>
            <w:r w:rsidRPr="004041C1">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1ED3465D" w14:textId="77777777" w:rsidR="00351D48" w:rsidRPr="004041C1" w:rsidRDefault="00351D48" w:rsidP="00EC7C0D">
            <w:pPr>
              <w:jc w:val="center"/>
              <w:rPr>
                <w:rFonts w:ascii="Calibri" w:hAnsi="Calibri" w:cs="Calibri"/>
                <w:color w:val="000000"/>
                <w:sz w:val="20"/>
                <w:szCs w:val="20"/>
                <w:lang w:val="mk-MK"/>
              </w:rPr>
            </w:pPr>
            <w:r w:rsidRPr="004041C1">
              <w:rPr>
                <w:b/>
                <w:bCs/>
                <w:sz w:val="20"/>
                <w:szCs w:val="20"/>
                <w:lang w:val="mk-MK"/>
              </w:rPr>
              <w:t>Преодна вредност</w:t>
            </w:r>
          </w:p>
        </w:tc>
        <w:tc>
          <w:tcPr>
            <w:tcW w:w="1383" w:type="dxa"/>
            <w:tcBorders>
              <w:left w:val="nil"/>
              <w:bottom w:val="nil"/>
            </w:tcBorders>
            <w:shd w:val="clear" w:color="auto" w:fill="D9E2F3" w:themeFill="accent1" w:themeFillTint="33"/>
          </w:tcPr>
          <w:p w14:paraId="2A3F129C" w14:textId="77777777" w:rsidR="00351D48" w:rsidRPr="004041C1" w:rsidRDefault="00351D48" w:rsidP="00EC7C0D">
            <w:pPr>
              <w:jc w:val="center"/>
              <w:rPr>
                <w:sz w:val="20"/>
                <w:szCs w:val="20"/>
                <w:highlight w:val="yellow"/>
                <w:lang w:val="mk-MK"/>
              </w:rPr>
            </w:pPr>
            <w:r w:rsidRPr="004041C1">
              <w:rPr>
                <w:b/>
                <w:bCs/>
                <w:sz w:val="20"/>
                <w:szCs w:val="20"/>
                <w:lang w:val="mk-MK"/>
              </w:rPr>
              <w:t>Крајна вредност</w:t>
            </w:r>
          </w:p>
        </w:tc>
      </w:tr>
      <w:tr w:rsidR="00351D48" w:rsidRPr="004041C1" w14:paraId="10B8C6E3" w14:textId="77777777" w:rsidTr="002877AE">
        <w:tc>
          <w:tcPr>
            <w:tcW w:w="5214" w:type="dxa"/>
            <w:vMerge/>
            <w:shd w:val="clear" w:color="auto" w:fill="D9E2F3" w:themeFill="accent1" w:themeFillTint="33"/>
          </w:tcPr>
          <w:p w14:paraId="02080384" w14:textId="77777777" w:rsidR="00351D48" w:rsidRPr="004041C1"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087B8D90" w14:textId="77777777" w:rsidR="00351D48" w:rsidRPr="004041C1" w:rsidRDefault="00351D48" w:rsidP="00EC7C0D">
            <w:pPr>
              <w:jc w:val="center"/>
              <w:rPr>
                <w:rFonts w:ascii="Calibri" w:hAnsi="Calibri" w:cs="Calibri"/>
                <w:color w:val="000000"/>
                <w:sz w:val="20"/>
                <w:szCs w:val="20"/>
                <w:lang w:val="mk-MK"/>
              </w:rPr>
            </w:pPr>
            <w:r w:rsidRPr="004041C1">
              <w:rPr>
                <w:rFonts w:ascii="Calibri" w:hAnsi="Calibri" w:cs="Calibri"/>
                <w:b/>
                <w:bCs/>
                <w:color w:val="000000"/>
                <w:sz w:val="20"/>
                <w:szCs w:val="20"/>
                <w:lang w:val="mk-MK"/>
              </w:rPr>
              <w:t>2023</w:t>
            </w:r>
          </w:p>
        </w:tc>
        <w:tc>
          <w:tcPr>
            <w:tcW w:w="1383" w:type="dxa"/>
            <w:tcBorders>
              <w:top w:val="nil"/>
              <w:left w:val="nil"/>
              <w:right w:val="nil"/>
            </w:tcBorders>
            <w:shd w:val="clear" w:color="auto" w:fill="D9E2F3" w:themeFill="accent1" w:themeFillTint="33"/>
          </w:tcPr>
          <w:p w14:paraId="06F2800C" w14:textId="77777777" w:rsidR="00351D48" w:rsidRPr="004041C1" w:rsidRDefault="00351D48" w:rsidP="00EC7C0D">
            <w:pPr>
              <w:jc w:val="center"/>
              <w:rPr>
                <w:rFonts w:ascii="Calibri" w:hAnsi="Calibri" w:cs="Calibri"/>
                <w:color w:val="000000"/>
                <w:sz w:val="20"/>
                <w:szCs w:val="20"/>
                <w:lang w:val="mk-MK"/>
              </w:rPr>
            </w:pPr>
            <w:r w:rsidRPr="004041C1">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2026EF58" w14:textId="77777777" w:rsidR="00351D48" w:rsidRPr="004041C1" w:rsidRDefault="00351D48" w:rsidP="00EC7C0D">
            <w:pPr>
              <w:jc w:val="center"/>
              <w:rPr>
                <w:sz w:val="20"/>
                <w:szCs w:val="20"/>
                <w:lang w:val="mk-MK"/>
              </w:rPr>
            </w:pPr>
            <w:r w:rsidRPr="004041C1">
              <w:rPr>
                <w:b/>
                <w:bCs/>
                <w:sz w:val="20"/>
                <w:szCs w:val="20"/>
                <w:lang w:val="mk-MK"/>
              </w:rPr>
              <w:t>2030</w:t>
            </w:r>
          </w:p>
        </w:tc>
      </w:tr>
      <w:tr w:rsidR="00351D48" w:rsidRPr="004041C1" w14:paraId="3D4A4511" w14:textId="77777777" w:rsidTr="002877AE">
        <w:trPr>
          <w:trHeight w:val="602"/>
        </w:trPr>
        <w:tc>
          <w:tcPr>
            <w:tcW w:w="5214" w:type="dxa"/>
            <w:shd w:val="clear" w:color="auto" w:fill="D9E2F3" w:themeFill="accent1" w:themeFillTint="33"/>
          </w:tcPr>
          <w:p w14:paraId="1BB29CBA" w14:textId="77777777" w:rsidR="00351D48" w:rsidRPr="004041C1" w:rsidRDefault="00351D48" w:rsidP="00EC7C0D">
            <w:pPr>
              <w:rPr>
                <w:rFonts w:cstheme="minorHAnsi"/>
                <w:bCs/>
                <w:sz w:val="20"/>
                <w:szCs w:val="20"/>
              </w:rPr>
            </w:pPr>
            <w:r w:rsidRPr="004041C1">
              <w:rPr>
                <w:rFonts w:cstheme="minorHAnsi"/>
                <w:bCs/>
                <w:sz w:val="20"/>
                <w:szCs w:val="20"/>
                <w:lang w:val="mk-MK"/>
              </w:rPr>
              <w:lastRenderedPageBreak/>
              <w:t>Процент</w:t>
            </w:r>
            <w:r w:rsidRPr="004041C1">
              <w:rPr>
                <w:rFonts w:cstheme="minorHAnsi"/>
                <w:bCs/>
                <w:sz w:val="20"/>
                <w:szCs w:val="20"/>
              </w:rPr>
              <w:t xml:space="preserve"> на објавени </w:t>
            </w:r>
            <w:r w:rsidRPr="004041C1">
              <w:rPr>
                <w:rFonts w:cstheme="minorHAnsi"/>
                <w:bCs/>
                <w:sz w:val="20"/>
                <w:szCs w:val="20"/>
                <w:lang w:val="mk-MK"/>
              </w:rPr>
              <w:t>Одлуки за избор на најуспешен кандидат</w:t>
            </w:r>
            <w:r w:rsidRPr="004041C1">
              <w:rPr>
                <w:rFonts w:cstheme="minorHAnsi"/>
                <w:bCs/>
                <w:sz w:val="20"/>
                <w:szCs w:val="20"/>
              </w:rPr>
              <w:t xml:space="preserve"> со образложение</w:t>
            </w:r>
            <w:r w:rsidRPr="004041C1">
              <w:rPr>
                <w:rFonts w:cstheme="minorHAnsi"/>
                <w:bCs/>
                <w:sz w:val="20"/>
                <w:szCs w:val="20"/>
                <w:lang w:val="mk-MK"/>
              </w:rPr>
              <w:t xml:space="preserve"> базирано на докази</w:t>
            </w:r>
            <w:r w:rsidRPr="004041C1">
              <w:rPr>
                <w:rFonts w:cstheme="minorHAnsi"/>
                <w:bCs/>
                <w:sz w:val="20"/>
                <w:szCs w:val="20"/>
              </w:rPr>
              <w:t xml:space="preserve"> за </w:t>
            </w:r>
            <w:r w:rsidRPr="004041C1">
              <w:rPr>
                <w:rFonts w:cstheme="minorHAnsi"/>
                <w:bCs/>
                <w:sz w:val="20"/>
                <w:szCs w:val="20"/>
                <w:lang w:val="mk-MK"/>
              </w:rPr>
              <w:t>секоја донесена одлука поединечно</w:t>
            </w:r>
          </w:p>
        </w:tc>
        <w:tc>
          <w:tcPr>
            <w:tcW w:w="1370" w:type="dxa"/>
            <w:shd w:val="clear" w:color="auto" w:fill="D9E2F3" w:themeFill="accent1" w:themeFillTint="33"/>
            <w:vAlign w:val="center"/>
          </w:tcPr>
          <w:p w14:paraId="2E335022" w14:textId="77777777" w:rsidR="00351D48" w:rsidRPr="004041C1" w:rsidRDefault="00351D48" w:rsidP="00EC7C0D">
            <w:pPr>
              <w:jc w:val="center"/>
              <w:rPr>
                <w:rFonts w:cstheme="minorHAnsi"/>
                <w:bCs/>
                <w:color w:val="000000"/>
                <w:sz w:val="20"/>
                <w:szCs w:val="20"/>
                <w:lang w:val="mk-MK"/>
              </w:rPr>
            </w:pPr>
            <w:r w:rsidRPr="004041C1">
              <w:rPr>
                <w:rFonts w:cstheme="minorHAnsi"/>
                <w:bCs/>
                <w:color w:val="000000"/>
                <w:sz w:val="20"/>
                <w:szCs w:val="20"/>
                <w:lang w:val="mk-MK"/>
              </w:rPr>
              <w:t>0</w:t>
            </w:r>
          </w:p>
        </w:tc>
        <w:tc>
          <w:tcPr>
            <w:tcW w:w="1383" w:type="dxa"/>
            <w:shd w:val="clear" w:color="auto" w:fill="D9E2F3" w:themeFill="accent1" w:themeFillTint="33"/>
            <w:vAlign w:val="center"/>
          </w:tcPr>
          <w:p w14:paraId="0195E38D" w14:textId="77777777" w:rsidR="00351D48" w:rsidRPr="004041C1" w:rsidRDefault="00351D48" w:rsidP="00EC7C0D">
            <w:pPr>
              <w:jc w:val="center"/>
              <w:rPr>
                <w:rFonts w:cstheme="minorHAnsi"/>
                <w:bCs/>
                <w:color w:val="000000"/>
                <w:sz w:val="20"/>
                <w:szCs w:val="20"/>
                <w:lang w:val="mk-MK"/>
              </w:rPr>
            </w:pPr>
            <w:r w:rsidRPr="004041C1">
              <w:rPr>
                <w:rFonts w:cstheme="minorHAnsi"/>
                <w:bCs/>
                <w:color w:val="000000"/>
                <w:sz w:val="20"/>
                <w:szCs w:val="20"/>
                <w:lang w:val="mk-MK"/>
              </w:rPr>
              <w:t>30%</w:t>
            </w:r>
          </w:p>
        </w:tc>
        <w:tc>
          <w:tcPr>
            <w:tcW w:w="1383" w:type="dxa"/>
            <w:shd w:val="clear" w:color="auto" w:fill="D9E2F3" w:themeFill="accent1" w:themeFillTint="33"/>
            <w:vAlign w:val="center"/>
          </w:tcPr>
          <w:p w14:paraId="6E47385D" w14:textId="77777777" w:rsidR="00351D48" w:rsidRPr="004041C1" w:rsidRDefault="00351D48" w:rsidP="00EC7C0D">
            <w:pPr>
              <w:jc w:val="center"/>
              <w:rPr>
                <w:rFonts w:cstheme="minorHAnsi"/>
                <w:bCs/>
                <w:sz w:val="20"/>
                <w:szCs w:val="20"/>
                <w:lang w:val="mk-MK"/>
              </w:rPr>
            </w:pPr>
            <w:r w:rsidRPr="004041C1">
              <w:rPr>
                <w:rFonts w:cstheme="minorHAnsi"/>
                <w:bCs/>
                <w:sz w:val="20"/>
                <w:szCs w:val="20"/>
                <w:lang w:val="mk-MK"/>
              </w:rPr>
              <w:t>75%</w:t>
            </w:r>
          </w:p>
        </w:tc>
      </w:tr>
      <w:tr w:rsidR="00351D48" w:rsidRPr="004041C1" w14:paraId="4821C3B4" w14:textId="77777777" w:rsidTr="002877AE">
        <w:trPr>
          <w:trHeight w:val="602"/>
        </w:trPr>
        <w:tc>
          <w:tcPr>
            <w:tcW w:w="5214" w:type="dxa"/>
            <w:shd w:val="clear" w:color="auto" w:fill="D9E2F3" w:themeFill="accent1" w:themeFillTint="33"/>
          </w:tcPr>
          <w:p w14:paraId="6548772A" w14:textId="77777777" w:rsidR="00351D48" w:rsidRPr="004041C1" w:rsidRDefault="00351D48" w:rsidP="00EC7C0D">
            <w:pPr>
              <w:rPr>
                <w:rFonts w:cstheme="minorHAnsi"/>
                <w:bCs/>
                <w:sz w:val="20"/>
                <w:szCs w:val="20"/>
                <w:lang w:val="mk-MK"/>
              </w:rPr>
            </w:pPr>
            <w:r w:rsidRPr="004041C1">
              <w:rPr>
                <w:rFonts w:cstheme="minorHAnsi"/>
                <w:bCs/>
                <w:sz w:val="20"/>
                <w:szCs w:val="20"/>
                <w:lang w:val="mk-MK"/>
              </w:rPr>
              <w:t>Процент</w:t>
            </w:r>
            <w:r w:rsidRPr="004041C1">
              <w:rPr>
                <w:rFonts w:cstheme="minorHAnsi"/>
                <w:bCs/>
                <w:sz w:val="20"/>
                <w:szCs w:val="20"/>
              </w:rPr>
              <w:t xml:space="preserve"> на жалби поднесени од кандидати на донесени одлуки за избор</w:t>
            </w:r>
          </w:p>
        </w:tc>
        <w:tc>
          <w:tcPr>
            <w:tcW w:w="1370" w:type="dxa"/>
            <w:shd w:val="clear" w:color="auto" w:fill="D9E2F3" w:themeFill="accent1" w:themeFillTint="33"/>
            <w:vAlign w:val="center"/>
          </w:tcPr>
          <w:p w14:paraId="281065DE" w14:textId="74A8EB97" w:rsidR="00351D48" w:rsidRPr="000C62C4" w:rsidRDefault="000C62C4" w:rsidP="00EC7C0D">
            <w:pPr>
              <w:jc w:val="center"/>
              <w:rPr>
                <w:rFonts w:cstheme="minorHAnsi"/>
                <w:bCs/>
                <w:color w:val="000000"/>
                <w:sz w:val="20"/>
                <w:szCs w:val="20"/>
                <w:lang w:val="mk-MK"/>
              </w:rPr>
            </w:pPr>
            <w:r w:rsidRPr="000C62C4">
              <w:rPr>
                <w:rFonts w:cstheme="minorHAnsi"/>
                <w:bCs/>
                <w:color w:val="000000"/>
                <w:sz w:val="20"/>
                <w:szCs w:val="20"/>
                <w:lang w:val="mk-MK"/>
              </w:rPr>
              <w:t>0,66%</w:t>
            </w:r>
          </w:p>
        </w:tc>
        <w:tc>
          <w:tcPr>
            <w:tcW w:w="1383" w:type="dxa"/>
            <w:shd w:val="clear" w:color="auto" w:fill="D9E2F3" w:themeFill="accent1" w:themeFillTint="33"/>
            <w:vAlign w:val="center"/>
          </w:tcPr>
          <w:p w14:paraId="1820C6CC" w14:textId="1615DA2A" w:rsidR="00351D48" w:rsidRPr="000C62C4" w:rsidRDefault="000C62C4" w:rsidP="00EC7C0D">
            <w:pPr>
              <w:jc w:val="center"/>
              <w:rPr>
                <w:rFonts w:cstheme="minorHAnsi"/>
                <w:bCs/>
                <w:color w:val="000000"/>
                <w:sz w:val="20"/>
                <w:szCs w:val="20"/>
                <w:lang w:val="mk-MK"/>
              </w:rPr>
            </w:pPr>
            <w:r w:rsidRPr="000C62C4">
              <w:rPr>
                <w:rFonts w:cstheme="minorHAnsi"/>
                <w:bCs/>
                <w:color w:val="000000"/>
                <w:sz w:val="20"/>
                <w:szCs w:val="20"/>
                <w:lang w:val="mk-MK"/>
              </w:rPr>
              <w:t>0,5%</w:t>
            </w:r>
          </w:p>
        </w:tc>
        <w:tc>
          <w:tcPr>
            <w:tcW w:w="1383" w:type="dxa"/>
            <w:shd w:val="clear" w:color="auto" w:fill="D9E2F3" w:themeFill="accent1" w:themeFillTint="33"/>
            <w:vAlign w:val="center"/>
          </w:tcPr>
          <w:p w14:paraId="3C774F16" w14:textId="03136464" w:rsidR="00351D48" w:rsidRPr="000C62C4" w:rsidRDefault="000C62C4" w:rsidP="00EC7C0D">
            <w:pPr>
              <w:jc w:val="center"/>
              <w:rPr>
                <w:rFonts w:cstheme="minorHAnsi"/>
                <w:bCs/>
                <w:sz w:val="20"/>
                <w:szCs w:val="20"/>
                <w:lang w:val="mk-MK"/>
              </w:rPr>
            </w:pPr>
            <w:r w:rsidRPr="000C62C4">
              <w:rPr>
                <w:rFonts w:cstheme="minorHAnsi"/>
                <w:bCs/>
                <w:sz w:val="20"/>
                <w:szCs w:val="20"/>
                <w:lang w:val="mk-MK"/>
              </w:rPr>
              <w:t>0,1%</w:t>
            </w:r>
          </w:p>
        </w:tc>
      </w:tr>
      <w:tr w:rsidR="00351D48" w:rsidRPr="0033370A" w14:paraId="6BD767F1" w14:textId="77777777" w:rsidTr="002877AE">
        <w:tc>
          <w:tcPr>
            <w:tcW w:w="9350" w:type="dxa"/>
            <w:gridSpan w:val="4"/>
            <w:shd w:val="clear" w:color="auto" w:fill="D9E2F3" w:themeFill="accent1" w:themeFillTint="33"/>
            <w:vAlign w:val="center"/>
          </w:tcPr>
          <w:p w14:paraId="525D9985" w14:textId="77777777" w:rsidR="00351D48" w:rsidRPr="0033370A" w:rsidRDefault="00351D48" w:rsidP="00EC7C0D">
            <w:pPr>
              <w:rPr>
                <w:b/>
                <w:bCs/>
                <w:highlight w:val="yellow"/>
                <w:lang w:val="mk-MK"/>
              </w:rPr>
            </w:pPr>
            <w:r w:rsidRPr="0033370A">
              <w:rPr>
                <w:rFonts w:cstheme="minorHAnsi"/>
                <w:b/>
              </w:rPr>
              <w:t>М</w:t>
            </w:r>
            <w:r w:rsidRPr="0033370A">
              <w:rPr>
                <w:rFonts w:cstheme="minorHAnsi"/>
                <w:b/>
                <w:lang w:val="mk-MK"/>
              </w:rPr>
              <w:t>ерка</w:t>
            </w:r>
            <w:r w:rsidRPr="0033370A">
              <w:rPr>
                <w:rFonts w:cstheme="minorHAnsi"/>
                <w:b/>
              </w:rPr>
              <w:t xml:space="preserve"> </w:t>
            </w:r>
            <w:r>
              <w:rPr>
                <w:rFonts w:cstheme="minorHAnsi"/>
                <w:b/>
                <w:lang w:val="mk-MK"/>
              </w:rPr>
              <w:t>2</w:t>
            </w:r>
            <w:r w:rsidRPr="0033370A">
              <w:rPr>
                <w:rFonts w:cstheme="minorHAnsi"/>
                <w:b/>
              </w:rPr>
              <w:t>.</w:t>
            </w:r>
            <w:r w:rsidRPr="0033370A">
              <w:rPr>
                <w:rFonts w:cstheme="minorHAnsi"/>
                <w:b/>
                <w:lang w:val="mk-MK"/>
              </w:rPr>
              <w:t>1.</w:t>
            </w:r>
            <w:r w:rsidRPr="0033370A">
              <w:rPr>
                <w:rFonts w:cstheme="minorHAnsi"/>
                <w:b/>
              </w:rPr>
              <w:t xml:space="preserve">3 </w:t>
            </w:r>
            <w:r w:rsidRPr="004041C1">
              <w:rPr>
                <w:rFonts w:cstheme="minorHAnsi"/>
                <w:b/>
                <w:bCs/>
              </w:rPr>
              <w:t>Периодична проверка на компетенциите на веќе вработениот кадар</w:t>
            </w:r>
          </w:p>
        </w:tc>
      </w:tr>
      <w:tr w:rsidR="00351D48" w:rsidRPr="004041C1" w14:paraId="1574D5F9" w14:textId="77777777" w:rsidTr="002877AE">
        <w:tc>
          <w:tcPr>
            <w:tcW w:w="5214" w:type="dxa"/>
            <w:vMerge w:val="restart"/>
            <w:shd w:val="clear" w:color="auto" w:fill="D9E2F3" w:themeFill="accent1" w:themeFillTint="33"/>
            <w:vAlign w:val="center"/>
          </w:tcPr>
          <w:p w14:paraId="41BB8695" w14:textId="77777777" w:rsidR="00351D48" w:rsidRPr="004041C1" w:rsidRDefault="00351D48" w:rsidP="00EC7C0D">
            <w:pPr>
              <w:jc w:val="center"/>
              <w:rPr>
                <w:rFonts w:cstheme="minorHAnsi"/>
                <w:bCs/>
                <w:sz w:val="20"/>
                <w:szCs w:val="20"/>
              </w:rPr>
            </w:pPr>
            <w:r w:rsidRPr="004041C1">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5226C9AF" w14:textId="77777777" w:rsidR="00351D48" w:rsidRPr="004041C1" w:rsidRDefault="00351D48" w:rsidP="00EC7C0D">
            <w:pPr>
              <w:jc w:val="center"/>
              <w:rPr>
                <w:rFonts w:ascii="Calibri" w:hAnsi="Calibri" w:cs="Calibri"/>
                <w:color w:val="000000"/>
                <w:sz w:val="20"/>
                <w:szCs w:val="20"/>
                <w:lang w:val="mk-MK"/>
              </w:rPr>
            </w:pPr>
            <w:r w:rsidRPr="004041C1">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35142A52" w14:textId="77777777" w:rsidR="00351D48" w:rsidRPr="004041C1" w:rsidRDefault="00351D48" w:rsidP="00EC7C0D">
            <w:pPr>
              <w:jc w:val="center"/>
              <w:rPr>
                <w:rFonts w:ascii="Calibri" w:hAnsi="Calibri" w:cs="Calibri"/>
                <w:color w:val="000000"/>
                <w:sz w:val="20"/>
                <w:szCs w:val="20"/>
                <w:lang w:val="mk-MK"/>
              </w:rPr>
            </w:pPr>
            <w:r w:rsidRPr="004041C1">
              <w:rPr>
                <w:b/>
                <w:bCs/>
                <w:sz w:val="20"/>
                <w:szCs w:val="20"/>
                <w:lang w:val="mk-MK"/>
              </w:rPr>
              <w:t>Преодна вредност</w:t>
            </w:r>
          </w:p>
        </w:tc>
        <w:tc>
          <w:tcPr>
            <w:tcW w:w="1383" w:type="dxa"/>
            <w:tcBorders>
              <w:left w:val="nil"/>
              <w:bottom w:val="nil"/>
            </w:tcBorders>
            <w:shd w:val="clear" w:color="auto" w:fill="D9E2F3" w:themeFill="accent1" w:themeFillTint="33"/>
          </w:tcPr>
          <w:p w14:paraId="61A86D45" w14:textId="77777777" w:rsidR="00351D48" w:rsidRPr="004041C1" w:rsidRDefault="00351D48" w:rsidP="00EC7C0D">
            <w:pPr>
              <w:jc w:val="center"/>
              <w:rPr>
                <w:b/>
                <w:bCs/>
                <w:sz w:val="20"/>
                <w:szCs w:val="20"/>
                <w:highlight w:val="yellow"/>
                <w:lang w:val="mk-MK"/>
              </w:rPr>
            </w:pPr>
            <w:r w:rsidRPr="004041C1">
              <w:rPr>
                <w:b/>
                <w:bCs/>
                <w:sz w:val="20"/>
                <w:szCs w:val="20"/>
                <w:lang w:val="mk-MK"/>
              </w:rPr>
              <w:t>Крајна вредност</w:t>
            </w:r>
          </w:p>
        </w:tc>
      </w:tr>
      <w:tr w:rsidR="00351D48" w:rsidRPr="004041C1" w14:paraId="2AC43498" w14:textId="77777777" w:rsidTr="002877AE">
        <w:tc>
          <w:tcPr>
            <w:tcW w:w="5214" w:type="dxa"/>
            <w:vMerge/>
            <w:shd w:val="clear" w:color="auto" w:fill="D9E2F3" w:themeFill="accent1" w:themeFillTint="33"/>
          </w:tcPr>
          <w:p w14:paraId="3E416622" w14:textId="77777777" w:rsidR="00351D48" w:rsidRPr="004041C1" w:rsidRDefault="00351D48" w:rsidP="00EC7C0D">
            <w:pPr>
              <w:rPr>
                <w:rFonts w:cstheme="minorHAnsi"/>
                <w:bCs/>
                <w:sz w:val="20"/>
                <w:szCs w:val="20"/>
              </w:rPr>
            </w:pPr>
          </w:p>
        </w:tc>
        <w:tc>
          <w:tcPr>
            <w:tcW w:w="1370" w:type="dxa"/>
            <w:tcBorders>
              <w:top w:val="nil"/>
              <w:right w:val="nil"/>
            </w:tcBorders>
            <w:shd w:val="clear" w:color="auto" w:fill="D9E2F3" w:themeFill="accent1" w:themeFillTint="33"/>
          </w:tcPr>
          <w:p w14:paraId="6DF7F46D" w14:textId="77777777" w:rsidR="00351D48" w:rsidRPr="004041C1" w:rsidRDefault="00351D48" w:rsidP="00EC7C0D">
            <w:pPr>
              <w:jc w:val="center"/>
              <w:rPr>
                <w:rFonts w:ascii="Calibri" w:hAnsi="Calibri" w:cs="Calibri"/>
                <w:color w:val="000000"/>
                <w:sz w:val="20"/>
                <w:szCs w:val="20"/>
                <w:lang w:val="mk-MK"/>
              </w:rPr>
            </w:pPr>
            <w:r w:rsidRPr="004041C1">
              <w:rPr>
                <w:rFonts w:ascii="Calibri" w:hAnsi="Calibri" w:cs="Calibri"/>
                <w:b/>
                <w:bCs/>
                <w:color w:val="000000"/>
                <w:sz w:val="20"/>
                <w:szCs w:val="20"/>
                <w:lang w:val="mk-MK"/>
              </w:rPr>
              <w:t>202</w:t>
            </w:r>
            <w:r>
              <w:rPr>
                <w:rFonts w:ascii="Calibri" w:hAnsi="Calibri" w:cs="Calibri"/>
                <w:b/>
                <w:bCs/>
                <w:color w:val="000000"/>
                <w:sz w:val="20"/>
                <w:szCs w:val="20"/>
                <w:lang w:val="mk-MK"/>
              </w:rPr>
              <w:t>3</w:t>
            </w:r>
          </w:p>
        </w:tc>
        <w:tc>
          <w:tcPr>
            <w:tcW w:w="1383" w:type="dxa"/>
            <w:tcBorders>
              <w:top w:val="nil"/>
              <w:left w:val="nil"/>
              <w:right w:val="nil"/>
            </w:tcBorders>
            <w:shd w:val="clear" w:color="auto" w:fill="D9E2F3" w:themeFill="accent1" w:themeFillTint="33"/>
          </w:tcPr>
          <w:p w14:paraId="5C68DDC6" w14:textId="77777777" w:rsidR="00351D48" w:rsidRPr="004041C1" w:rsidRDefault="00351D48" w:rsidP="00EC7C0D">
            <w:pPr>
              <w:jc w:val="center"/>
              <w:rPr>
                <w:rFonts w:ascii="Calibri" w:hAnsi="Calibri" w:cs="Calibri"/>
                <w:color w:val="000000"/>
                <w:sz w:val="20"/>
                <w:szCs w:val="20"/>
                <w:lang w:val="mk-MK"/>
              </w:rPr>
            </w:pPr>
            <w:r w:rsidRPr="004041C1">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3E10EF96" w14:textId="77777777" w:rsidR="00351D48" w:rsidRPr="004041C1" w:rsidRDefault="00351D48" w:rsidP="00EC7C0D">
            <w:pPr>
              <w:jc w:val="center"/>
              <w:rPr>
                <w:b/>
                <w:bCs/>
                <w:sz w:val="20"/>
                <w:szCs w:val="20"/>
                <w:lang w:val="mk-MK"/>
              </w:rPr>
            </w:pPr>
            <w:r w:rsidRPr="004041C1">
              <w:rPr>
                <w:b/>
                <w:bCs/>
                <w:sz w:val="20"/>
                <w:szCs w:val="20"/>
                <w:lang w:val="mk-MK"/>
              </w:rPr>
              <w:t>2030</w:t>
            </w:r>
          </w:p>
        </w:tc>
      </w:tr>
      <w:tr w:rsidR="00351D48" w:rsidRPr="004041C1" w14:paraId="6153ED01" w14:textId="77777777" w:rsidTr="002877AE">
        <w:trPr>
          <w:trHeight w:val="413"/>
        </w:trPr>
        <w:tc>
          <w:tcPr>
            <w:tcW w:w="5214" w:type="dxa"/>
            <w:shd w:val="clear" w:color="auto" w:fill="D9E2F3" w:themeFill="accent1" w:themeFillTint="33"/>
          </w:tcPr>
          <w:p w14:paraId="442282A9" w14:textId="77777777" w:rsidR="00351D48" w:rsidRPr="005F1C45" w:rsidRDefault="00351D48" w:rsidP="00EC7C0D">
            <w:pPr>
              <w:rPr>
                <w:rFonts w:cstheme="minorHAnsi"/>
                <w:bCs/>
                <w:sz w:val="20"/>
                <w:szCs w:val="20"/>
              </w:rPr>
            </w:pPr>
            <w:r w:rsidRPr="005F1C45">
              <w:rPr>
                <w:rFonts w:cstheme="minorHAnsi"/>
                <w:bCs/>
                <w:sz w:val="20"/>
                <w:szCs w:val="20"/>
                <w:lang w:val="mk-MK"/>
              </w:rPr>
              <w:t>Процент</w:t>
            </w:r>
            <w:r w:rsidRPr="005F1C45">
              <w:rPr>
                <w:rFonts w:cstheme="minorHAnsi"/>
                <w:bCs/>
                <w:sz w:val="20"/>
                <w:szCs w:val="20"/>
              </w:rPr>
              <w:t xml:space="preserve"> на институции кои спровеле проверка на компетенции</w:t>
            </w:r>
          </w:p>
        </w:tc>
        <w:tc>
          <w:tcPr>
            <w:tcW w:w="1370" w:type="dxa"/>
            <w:shd w:val="clear" w:color="auto" w:fill="D9E2F3" w:themeFill="accent1" w:themeFillTint="33"/>
            <w:vAlign w:val="center"/>
          </w:tcPr>
          <w:p w14:paraId="7AFB6642" w14:textId="77777777" w:rsidR="00351D48" w:rsidRPr="004041C1"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0%</w:t>
            </w:r>
          </w:p>
        </w:tc>
        <w:tc>
          <w:tcPr>
            <w:tcW w:w="1383" w:type="dxa"/>
            <w:shd w:val="clear" w:color="auto" w:fill="D9E2F3" w:themeFill="accent1" w:themeFillTint="33"/>
            <w:vAlign w:val="center"/>
          </w:tcPr>
          <w:p w14:paraId="198EDC27" w14:textId="77777777" w:rsidR="00351D48" w:rsidRPr="004041C1"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5%</w:t>
            </w:r>
          </w:p>
        </w:tc>
        <w:tc>
          <w:tcPr>
            <w:tcW w:w="1383" w:type="dxa"/>
            <w:shd w:val="clear" w:color="auto" w:fill="D9E2F3" w:themeFill="accent1" w:themeFillTint="33"/>
            <w:vAlign w:val="center"/>
          </w:tcPr>
          <w:p w14:paraId="18A0867B" w14:textId="77777777" w:rsidR="00351D48" w:rsidRPr="004041C1" w:rsidRDefault="00351D48" w:rsidP="00EC7C0D">
            <w:pPr>
              <w:jc w:val="center"/>
              <w:rPr>
                <w:sz w:val="20"/>
                <w:szCs w:val="20"/>
                <w:lang w:val="mk-MK"/>
              </w:rPr>
            </w:pPr>
            <w:r>
              <w:rPr>
                <w:sz w:val="20"/>
                <w:szCs w:val="20"/>
                <w:lang w:val="mk-MK"/>
              </w:rPr>
              <w:t>35%</w:t>
            </w:r>
          </w:p>
        </w:tc>
      </w:tr>
      <w:tr w:rsidR="00351D48" w14:paraId="280739B9" w14:textId="77777777" w:rsidTr="002877AE">
        <w:trPr>
          <w:trHeight w:val="413"/>
        </w:trPr>
        <w:tc>
          <w:tcPr>
            <w:tcW w:w="5214" w:type="dxa"/>
            <w:shd w:val="clear" w:color="auto" w:fill="D9E2F3" w:themeFill="accent1" w:themeFillTint="33"/>
          </w:tcPr>
          <w:p w14:paraId="6BB834C6" w14:textId="77777777" w:rsidR="00351D48" w:rsidRPr="005F1C45" w:rsidRDefault="00351D48" w:rsidP="00EC7C0D">
            <w:pPr>
              <w:rPr>
                <w:rFonts w:cstheme="minorHAnsi"/>
                <w:bCs/>
                <w:sz w:val="20"/>
                <w:szCs w:val="20"/>
                <w:lang w:val="mk-MK"/>
              </w:rPr>
            </w:pPr>
            <w:r w:rsidRPr="005F1C45">
              <w:rPr>
                <w:rFonts w:cstheme="minorHAnsi"/>
                <w:bCs/>
                <w:sz w:val="20"/>
                <w:szCs w:val="20"/>
                <w:lang w:val="mk-MK"/>
              </w:rPr>
              <w:t>Процент на вработени кои поминале успешно на проверката</w:t>
            </w:r>
          </w:p>
        </w:tc>
        <w:tc>
          <w:tcPr>
            <w:tcW w:w="1370" w:type="dxa"/>
            <w:shd w:val="clear" w:color="auto" w:fill="D9E2F3" w:themeFill="accent1" w:themeFillTint="33"/>
            <w:vAlign w:val="center"/>
          </w:tcPr>
          <w:p w14:paraId="14CD81F9" w14:textId="77777777" w:rsidR="00351D48"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0%</w:t>
            </w:r>
          </w:p>
        </w:tc>
        <w:tc>
          <w:tcPr>
            <w:tcW w:w="1383" w:type="dxa"/>
            <w:shd w:val="clear" w:color="auto" w:fill="D9E2F3" w:themeFill="accent1" w:themeFillTint="33"/>
            <w:vAlign w:val="center"/>
          </w:tcPr>
          <w:p w14:paraId="2AFFF29E" w14:textId="77777777" w:rsidR="00351D48"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75%</w:t>
            </w:r>
          </w:p>
        </w:tc>
        <w:tc>
          <w:tcPr>
            <w:tcW w:w="1383" w:type="dxa"/>
            <w:shd w:val="clear" w:color="auto" w:fill="D9E2F3" w:themeFill="accent1" w:themeFillTint="33"/>
            <w:vAlign w:val="center"/>
          </w:tcPr>
          <w:p w14:paraId="380B63FA" w14:textId="77777777" w:rsidR="00351D48" w:rsidRDefault="00351D48" w:rsidP="00EC7C0D">
            <w:pPr>
              <w:jc w:val="center"/>
              <w:rPr>
                <w:sz w:val="20"/>
                <w:szCs w:val="20"/>
                <w:lang w:val="mk-MK"/>
              </w:rPr>
            </w:pPr>
            <w:r>
              <w:rPr>
                <w:sz w:val="20"/>
                <w:szCs w:val="20"/>
                <w:lang w:val="mk-MK"/>
              </w:rPr>
              <w:t>100%</w:t>
            </w:r>
          </w:p>
        </w:tc>
      </w:tr>
      <w:tr w:rsidR="00351D48" w:rsidRPr="000D20B1" w14:paraId="4861A5E7" w14:textId="77777777" w:rsidTr="002877AE">
        <w:tc>
          <w:tcPr>
            <w:tcW w:w="9350" w:type="dxa"/>
            <w:gridSpan w:val="4"/>
            <w:shd w:val="clear" w:color="auto" w:fill="D9E2F3" w:themeFill="accent1" w:themeFillTint="33"/>
            <w:vAlign w:val="center"/>
          </w:tcPr>
          <w:p w14:paraId="383E481F" w14:textId="77777777" w:rsidR="00351D48" w:rsidRPr="000D20B1" w:rsidRDefault="00351D48" w:rsidP="00EC7C0D">
            <w:pPr>
              <w:rPr>
                <w:b/>
                <w:bCs/>
                <w:highlight w:val="yellow"/>
                <w:lang w:val="mk-MK"/>
              </w:rPr>
            </w:pPr>
            <w:r w:rsidRPr="000D20B1">
              <w:rPr>
                <w:rFonts w:cstheme="minorHAnsi"/>
                <w:b/>
              </w:rPr>
              <w:t>М</w:t>
            </w:r>
            <w:r w:rsidRPr="000D20B1">
              <w:rPr>
                <w:rFonts w:cstheme="minorHAnsi"/>
                <w:b/>
                <w:lang w:val="mk-MK"/>
              </w:rPr>
              <w:t>ерка</w:t>
            </w:r>
            <w:r w:rsidRPr="000D20B1">
              <w:rPr>
                <w:rFonts w:cstheme="minorHAnsi"/>
                <w:b/>
              </w:rPr>
              <w:t xml:space="preserve"> </w:t>
            </w:r>
            <w:r>
              <w:rPr>
                <w:rFonts w:cstheme="minorHAnsi"/>
                <w:b/>
                <w:lang w:val="mk-MK"/>
              </w:rPr>
              <w:t>2</w:t>
            </w:r>
            <w:r w:rsidRPr="000D20B1">
              <w:rPr>
                <w:rFonts w:cstheme="minorHAnsi"/>
                <w:b/>
              </w:rPr>
              <w:t>.</w:t>
            </w:r>
            <w:r w:rsidRPr="000D20B1">
              <w:rPr>
                <w:rFonts w:cstheme="minorHAnsi"/>
                <w:b/>
                <w:lang w:val="mk-MK"/>
              </w:rPr>
              <w:t>1.</w:t>
            </w:r>
            <w:r w:rsidRPr="000D20B1">
              <w:rPr>
                <w:rFonts w:cstheme="minorHAnsi"/>
                <w:b/>
              </w:rPr>
              <w:t xml:space="preserve">4. </w:t>
            </w:r>
            <w:r w:rsidRPr="005F1C45">
              <w:rPr>
                <w:rFonts w:cstheme="minorHAnsi"/>
                <w:b/>
                <w:bCs/>
              </w:rPr>
              <w:t>Унификација на организационата поставеност на административната служба во општините и во институциите од областа на дејностите од јавен интерес: образование, здравство, култура, социјална и детска заштита, комуналните и други дејности од јавен интерес</w:t>
            </w:r>
          </w:p>
        </w:tc>
      </w:tr>
      <w:tr w:rsidR="00351D48" w:rsidRPr="005F1C45" w14:paraId="3DC29193" w14:textId="77777777" w:rsidTr="002877AE">
        <w:tc>
          <w:tcPr>
            <w:tcW w:w="5214" w:type="dxa"/>
            <w:vMerge w:val="restart"/>
            <w:shd w:val="clear" w:color="auto" w:fill="D9E2F3" w:themeFill="accent1" w:themeFillTint="33"/>
            <w:vAlign w:val="center"/>
          </w:tcPr>
          <w:p w14:paraId="6526642F" w14:textId="77777777" w:rsidR="00351D48" w:rsidRPr="005F1C45" w:rsidRDefault="00351D48" w:rsidP="00EC7C0D">
            <w:pPr>
              <w:jc w:val="center"/>
              <w:rPr>
                <w:rFonts w:cstheme="minorHAnsi"/>
                <w:bCs/>
                <w:sz w:val="20"/>
                <w:szCs w:val="20"/>
              </w:rPr>
            </w:pPr>
            <w:r w:rsidRPr="005F1C45">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0CDE540A" w14:textId="77777777" w:rsidR="00351D48" w:rsidRPr="005F1C45" w:rsidRDefault="00351D48" w:rsidP="00EC7C0D">
            <w:pPr>
              <w:jc w:val="center"/>
              <w:rPr>
                <w:rFonts w:ascii="Calibri" w:hAnsi="Calibri" w:cs="Calibri"/>
                <w:color w:val="000000"/>
                <w:sz w:val="20"/>
                <w:szCs w:val="20"/>
                <w:lang w:val="mk-MK"/>
              </w:rPr>
            </w:pPr>
            <w:r w:rsidRPr="005F1C45">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484ACBDD" w14:textId="77777777" w:rsidR="00351D48" w:rsidRPr="005F1C45" w:rsidRDefault="00351D48" w:rsidP="00EC7C0D">
            <w:pPr>
              <w:jc w:val="center"/>
              <w:rPr>
                <w:rFonts w:ascii="Calibri" w:hAnsi="Calibri" w:cs="Calibri"/>
                <w:color w:val="000000"/>
                <w:sz w:val="20"/>
                <w:szCs w:val="20"/>
                <w:lang w:val="mk-MK"/>
              </w:rPr>
            </w:pPr>
            <w:r w:rsidRPr="005F1C45">
              <w:rPr>
                <w:b/>
                <w:bCs/>
                <w:sz w:val="20"/>
                <w:szCs w:val="20"/>
                <w:lang w:val="mk-MK"/>
              </w:rPr>
              <w:t>Преодна вредност</w:t>
            </w:r>
          </w:p>
        </w:tc>
        <w:tc>
          <w:tcPr>
            <w:tcW w:w="1383" w:type="dxa"/>
            <w:tcBorders>
              <w:left w:val="nil"/>
              <w:bottom w:val="nil"/>
            </w:tcBorders>
            <w:shd w:val="clear" w:color="auto" w:fill="D9E2F3" w:themeFill="accent1" w:themeFillTint="33"/>
          </w:tcPr>
          <w:p w14:paraId="787BBB04" w14:textId="77777777" w:rsidR="00351D48" w:rsidRPr="005F1C45" w:rsidRDefault="00351D48" w:rsidP="00EC7C0D">
            <w:pPr>
              <w:jc w:val="center"/>
              <w:rPr>
                <w:b/>
                <w:bCs/>
                <w:sz w:val="20"/>
                <w:szCs w:val="20"/>
                <w:highlight w:val="yellow"/>
                <w:lang w:val="mk-MK"/>
              </w:rPr>
            </w:pPr>
            <w:r w:rsidRPr="005F1C45">
              <w:rPr>
                <w:b/>
                <w:bCs/>
                <w:sz w:val="20"/>
                <w:szCs w:val="20"/>
                <w:lang w:val="mk-MK"/>
              </w:rPr>
              <w:t>Крајна вредност</w:t>
            </w:r>
          </w:p>
        </w:tc>
      </w:tr>
      <w:tr w:rsidR="00351D48" w:rsidRPr="005F1C45" w14:paraId="025A54DF" w14:textId="77777777" w:rsidTr="002877AE">
        <w:tc>
          <w:tcPr>
            <w:tcW w:w="5214" w:type="dxa"/>
            <w:vMerge/>
            <w:shd w:val="clear" w:color="auto" w:fill="D9E2F3" w:themeFill="accent1" w:themeFillTint="33"/>
          </w:tcPr>
          <w:p w14:paraId="6C577776" w14:textId="77777777" w:rsidR="00351D48" w:rsidRPr="005F1C45" w:rsidRDefault="00351D48" w:rsidP="00EC7C0D">
            <w:pPr>
              <w:rPr>
                <w:rFonts w:cstheme="minorHAnsi"/>
                <w:bCs/>
                <w:sz w:val="20"/>
                <w:szCs w:val="20"/>
              </w:rPr>
            </w:pPr>
          </w:p>
        </w:tc>
        <w:tc>
          <w:tcPr>
            <w:tcW w:w="1370" w:type="dxa"/>
            <w:tcBorders>
              <w:top w:val="nil"/>
              <w:right w:val="nil"/>
            </w:tcBorders>
            <w:shd w:val="clear" w:color="auto" w:fill="D9E2F3" w:themeFill="accent1" w:themeFillTint="33"/>
          </w:tcPr>
          <w:p w14:paraId="728ED982" w14:textId="77777777" w:rsidR="00351D48" w:rsidRPr="005F1C45" w:rsidRDefault="00351D48" w:rsidP="00EC7C0D">
            <w:pPr>
              <w:jc w:val="center"/>
              <w:rPr>
                <w:rFonts w:ascii="Calibri" w:hAnsi="Calibri" w:cs="Calibri"/>
                <w:color w:val="000000"/>
                <w:sz w:val="20"/>
                <w:szCs w:val="20"/>
                <w:lang w:val="mk-MK"/>
              </w:rPr>
            </w:pPr>
            <w:r w:rsidRPr="005F1C45">
              <w:rPr>
                <w:rFonts w:ascii="Calibri" w:hAnsi="Calibri" w:cs="Calibri"/>
                <w:b/>
                <w:bCs/>
                <w:color w:val="000000"/>
                <w:sz w:val="20"/>
                <w:szCs w:val="20"/>
                <w:lang w:val="mk-MK"/>
              </w:rPr>
              <w:t>202</w:t>
            </w:r>
            <w:r>
              <w:rPr>
                <w:rFonts w:ascii="Calibri" w:hAnsi="Calibri" w:cs="Calibri"/>
                <w:b/>
                <w:bCs/>
                <w:color w:val="000000"/>
                <w:sz w:val="20"/>
                <w:szCs w:val="20"/>
                <w:lang w:val="mk-MK"/>
              </w:rPr>
              <w:t>3</w:t>
            </w:r>
          </w:p>
        </w:tc>
        <w:tc>
          <w:tcPr>
            <w:tcW w:w="1383" w:type="dxa"/>
            <w:tcBorders>
              <w:top w:val="nil"/>
              <w:left w:val="nil"/>
              <w:right w:val="nil"/>
            </w:tcBorders>
            <w:shd w:val="clear" w:color="auto" w:fill="D9E2F3" w:themeFill="accent1" w:themeFillTint="33"/>
          </w:tcPr>
          <w:p w14:paraId="6D3B42F0" w14:textId="77777777" w:rsidR="00351D48" w:rsidRPr="005F1C45" w:rsidRDefault="00351D48" w:rsidP="00EC7C0D">
            <w:pPr>
              <w:jc w:val="center"/>
              <w:rPr>
                <w:rFonts w:ascii="Calibri" w:hAnsi="Calibri" w:cs="Calibri"/>
                <w:color w:val="000000"/>
                <w:sz w:val="20"/>
                <w:szCs w:val="20"/>
                <w:lang w:val="mk-MK"/>
              </w:rPr>
            </w:pPr>
            <w:r w:rsidRPr="005F1C45">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1583F4FD" w14:textId="77777777" w:rsidR="00351D48" w:rsidRPr="005F1C45" w:rsidRDefault="00351D48" w:rsidP="00EC7C0D">
            <w:pPr>
              <w:jc w:val="center"/>
              <w:rPr>
                <w:b/>
                <w:bCs/>
                <w:sz w:val="20"/>
                <w:szCs w:val="20"/>
                <w:lang w:val="mk-MK"/>
              </w:rPr>
            </w:pPr>
            <w:r w:rsidRPr="005F1C45">
              <w:rPr>
                <w:b/>
                <w:bCs/>
                <w:sz w:val="20"/>
                <w:szCs w:val="20"/>
                <w:lang w:val="mk-MK"/>
              </w:rPr>
              <w:t>2030</w:t>
            </w:r>
          </w:p>
        </w:tc>
      </w:tr>
      <w:tr w:rsidR="00351D48" w:rsidRPr="00823E83" w14:paraId="2D8621C4" w14:textId="77777777" w:rsidTr="002877AE">
        <w:trPr>
          <w:trHeight w:val="890"/>
        </w:trPr>
        <w:tc>
          <w:tcPr>
            <w:tcW w:w="5214" w:type="dxa"/>
            <w:shd w:val="clear" w:color="auto" w:fill="D9E2F3" w:themeFill="accent1" w:themeFillTint="33"/>
          </w:tcPr>
          <w:p w14:paraId="5E76A303" w14:textId="77777777" w:rsidR="00351D48" w:rsidRPr="005F1C45" w:rsidRDefault="00351D48" w:rsidP="00EC7C0D">
            <w:pPr>
              <w:rPr>
                <w:rFonts w:cstheme="minorHAnsi"/>
                <w:bCs/>
                <w:sz w:val="20"/>
                <w:szCs w:val="20"/>
              </w:rPr>
            </w:pPr>
            <w:r w:rsidRPr="005F1C45">
              <w:rPr>
                <w:rFonts w:cstheme="minorHAnsi"/>
                <w:bCs/>
                <w:sz w:val="20"/>
                <w:szCs w:val="20"/>
              </w:rPr>
              <w:t>Број на области во кои се утврдени насоки за организаци</w:t>
            </w:r>
            <w:r w:rsidRPr="005F1C45">
              <w:rPr>
                <w:rFonts w:cstheme="minorHAnsi"/>
                <w:bCs/>
                <w:sz w:val="20"/>
                <w:szCs w:val="20"/>
                <w:lang w:val="mk-MK"/>
              </w:rPr>
              <w:t>ската поставеност</w:t>
            </w:r>
            <w:r w:rsidRPr="005F1C45">
              <w:rPr>
                <w:rFonts w:cstheme="minorHAnsi"/>
                <w:bCs/>
                <w:sz w:val="20"/>
                <w:szCs w:val="20"/>
              </w:rPr>
              <w:t xml:space="preserve"> и бројот на вработени во административните служби</w:t>
            </w:r>
          </w:p>
        </w:tc>
        <w:tc>
          <w:tcPr>
            <w:tcW w:w="1370" w:type="dxa"/>
            <w:shd w:val="clear" w:color="auto" w:fill="D9E2F3" w:themeFill="accent1" w:themeFillTint="33"/>
            <w:vAlign w:val="center"/>
          </w:tcPr>
          <w:p w14:paraId="0858862F" w14:textId="77777777" w:rsidR="00351D48" w:rsidRPr="00823E83"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0</w:t>
            </w:r>
          </w:p>
        </w:tc>
        <w:tc>
          <w:tcPr>
            <w:tcW w:w="1383" w:type="dxa"/>
            <w:shd w:val="clear" w:color="auto" w:fill="D9E2F3" w:themeFill="accent1" w:themeFillTint="33"/>
            <w:vAlign w:val="center"/>
          </w:tcPr>
          <w:p w14:paraId="47206642" w14:textId="77777777" w:rsidR="00351D48" w:rsidRPr="00823E83"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1 област</w:t>
            </w:r>
          </w:p>
        </w:tc>
        <w:tc>
          <w:tcPr>
            <w:tcW w:w="1383" w:type="dxa"/>
            <w:shd w:val="clear" w:color="auto" w:fill="D9E2F3" w:themeFill="accent1" w:themeFillTint="33"/>
            <w:vAlign w:val="center"/>
          </w:tcPr>
          <w:p w14:paraId="40FFB9C2" w14:textId="77777777" w:rsidR="00351D48" w:rsidRPr="00823E83" w:rsidRDefault="00351D48" w:rsidP="00EC7C0D">
            <w:pPr>
              <w:jc w:val="center"/>
              <w:rPr>
                <w:sz w:val="20"/>
                <w:szCs w:val="20"/>
                <w:lang w:val="mk-MK"/>
              </w:rPr>
            </w:pPr>
            <w:r>
              <w:rPr>
                <w:sz w:val="20"/>
                <w:szCs w:val="20"/>
                <w:lang w:val="mk-MK"/>
              </w:rPr>
              <w:t>Сите 7 области</w:t>
            </w:r>
          </w:p>
        </w:tc>
      </w:tr>
    </w:tbl>
    <w:p w14:paraId="59370200" w14:textId="77777777" w:rsidR="00106B99" w:rsidRDefault="00106B99" w:rsidP="00106B99">
      <w:pPr>
        <w:spacing w:after="0" w:line="240" w:lineRule="auto"/>
        <w:rPr>
          <w:rFonts w:cstheme="minorHAnsi"/>
          <w:b/>
          <w:iCs/>
          <w:u w:val="single"/>
          <w:lang w:val="mk-MK"/>
        </w:rPr>
      </w:pPr>
    </w:p>
    <w:p w14:paraId="6D2C1CCB" w14:textId="77777777" w:rsidR="00351D48" w:rsidRDefault="00351D48" w:rsidP="00106B99">
      <w:pPr>
        <w:spacing w:after="0" w:line="240" w:lineRule="auto"/>
        <w:rPr>
          <w:rFonts w:cstheme="minorHAnsi"/>
          <w:b/>
          <w:iCs/>
          <w:u w:val="single"/>
          <w:lang w:val="mk-MK"/>
        </w:rPr>
      </w:pPr>
    </w:p>
    <w:p w14:paraId="34BD02C0" w14:textId="140D4EBA" w:rsidR="00106B99" w:rsidRPr="00106B99" w:rsidRDefault="00106B99" w:rsidP="00106B99">
      <w:pPr>
        <w:spacing w:after="0" w:line="240" w:lineRule="auto"/>
        <w:rPr>
          <w:rFonts w:eastAsia="Calibri"/>
          <w:b/>
          <w:u w:val="single"/>
          <w:lang w:val="mk-MK"/>
        </w:rPr>
      </w:pPr>
      <w:r w:rsidRPr="00106B99">
        <w:rPr>
          <w:rFonts w:cstheme="minorHAnsi"/>
          <w:b/>
          <w:iCs/>
          <w:u w:val="single"/>
          <w:lang w:val="mk-MK"/>
        </w:rPr>
        <w:t xml:space="preserve">Посебна цел </w:t>
      </w:r>
      <w:r w:rsidR="00B951DF">
        <w:rPr>
          <w:rFonts w:cstheme="minorHAnsi"/>
          <w:b/>
          <w:iCs/>
          <w:u w:val="single"/>
          <w:lang w:val="mk-MK"/>
        </w:rPr>
        <w:t>2.</w:t>
      </w:r>
      <w:r w:rsidRPr="00106B99">
        <w:rPr>
          <w:rFonts w:cstheme="minorHAnsi"/>
          <w:b/>
          <w:iCs/>
          <w:u w:val="single"/>
          <w:lang w:val="mk-MK"/>
        </w:rPr>
        <w:t xml:space="preserve">2: </w:t>
      </w:r>
      <w:r w:rsidRPr="00106B99">
        <w:rPr>
          <w:rFonts w:eastAsia="Calibri"/>
          <w:b/>
          <w:u w:val="single"/>
          <w:lang w:val="mk-MK"/>
        </w:rPr>
        <w:t>Професионална  јавна администрација (развој на професија - административен службеник)</w:t>
      </w:r>
    </w:p>
    <w:p w14:paraId="0141E80B" w14:textId="77777777" w:rsidR="00106B99" w:rsidRDefault="00106B99" w:rsidP="00106B99">
      <w:pPr>
        <w:jc w:val="both"/>
        <w:rPr>
          <w:rFonts w:cstheme="minorHAnsi"/>
          <w:lang w:val="mk-MK"/>
        </w:rPr>
      </w:pPr>
    </w:p>
    <w:p w14:paraId="521F4D4D" w14:textId="2E54AB71" w:rsidR="00106B99" w:rsidRPr="007B413E" w:rsidRDefault="00106B99" w:rsidP="00106B99">
      <w:pPr>
        <w:jc w:val="both"/>
        <w:rPr>
          <w:rFonts w:cstheme="minorHAnsi"/>
          <w:color w:val="FF0000"/>
          <w:lang w:val="mk-MK"/>
        </w:rPr>
      </w:pPr>
      <w:r w:rsidRPr="007B413E">
        <w:rPr>
          <w:rFonts w:cstheme="minorHAnsi"/>
          <w:lang w:val="mk-MK"/>
        </w:rPr>
        <w:t>Целта предвидува професионален раст и развој на секој вработен во јавната администрација, изградба на кадар со интегритет, со високи морални вредности,  знаења во струката, професионален однос кон работата и извршувањето на работните задачи.</w:t>
      </w:r>
    </w:p>
    <w:p w14:paraId="15E55CBD" w14:textId="77777777" w:rsidR="00106B99" w:rsidRPr="007B413E" w:rsidRDefault="00106B99" w:rsidP="00106B99">
      <w:pPr>
        <w:jc w:val="both"/>
        <w:rPr>
          <w:rFonts w:cstheme="minorHAnsi"/>
          <w:lang w:val="mk-MK"/>
        </w:rPr>
      </w:pPr>
      <w:r w:rsidRPr="007B413E">
        <w:rPr>
          <w:rFonts w:cstheme="minorHAnsi"/>
          <w:lang w:val="mk-MK"/>
        </w:rPr>
        <w:t xml:space="preserve">Во рамките на оваа посебна цел, предвидени се  повеќе мерки кои треба да обезбедат професионален однос кон работата на секој службеник со што се обезбедува јакнење на личниот и институционалниот интегритет, одговорност во работењето и зголемување на довербата на јавноста во институциите: </w:t>
      </w:r>
    </w:p>
    <w:p w14:paraId="1B23895E" w14:textId="451B9B33" w:rsidR="00106B99" w:rsidRPr="00CB4830"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2.</w:t>
      </w:r>
      <w:r w:rsidRPr="007B413E">
        <w:rPr>
          <w:rFonts w:cstheme="minorHAnsi"/>
          <w:b/>
          <w:lang w:val="mk-MK"/>
        </w:rPr>
        <w:t>1</w:t>
      </w:r>
      <w:r>
        <w:rPr>
          <w:rFonts w:cstheme="minorHAnsi"/>
          <w:b/>
          <w:lang w:val="mk-MK"/>
        </w:rPr>
        <w:t>.</w:t>
      </w:r>
      <w:r w:rsidRPr="007B413E">
        <w:rPr>
          <w:rFonts w:cstheme="minorHAnsi"/>
          <w:b/>
          <w:lang w:val="mk-MK"/>
        </w:rPr>
        <w:t>:</w:t>
      </w:r>
      <w:r w:rsidRPr="007B413E">
        <w:rPr>
          <w:rFonts w:cstheme="minorHAnsi"/>
          <w:lang w:val="mk-MK"/>
        </w:rPr>
        <w:t xml:space="preserve"> </w:t>
      </w:r>
      <w:r w:rsidRPr="00FA2775">
        <w:rPr>
          <w:rFonts w:eastAsia="Calibri"/>
          <w:b/>
          <w:lang w:val="mk-MK"/>
        </w:rPr>
        <w:t xml:space="preserve">Професионализација на високите раководни позиции во јавната администрација </w:t>
      </w:r>
    </w:p>
    <w:p w14:paraId="3D59924C" w14:textId="77777777" w:rsidR="00106B99" w:rsidRPr="007B413E" w:rsidRDefault="00106B99" w:rsidP="00106B99">
      <w:pPr>
        <w:jc w:val="both"/>
        <w:rPr>
          <w:rFonts w:cstheme="minorHAnsi"/>
          <w:lang w:val="mk-MK"/>
        </w:rPr>
      </w:pPr>
      <w:r>
        <w:rPr>
          <w:rFonts w:cstheme="minorHAnsi"/>
          <w:lang w:val="mk-MK"/>
        </w:rPr>
        <w:t>П</w:t>
      </w:r>
      <w:r w:rsidRPr="007B413E">
        <w:rPr>
          <w:rFonts w:cstheme="minorHAnsi"/>
          <w:lang w:val="mk-MK"/>
        </w:rPr>
        <w:t>рофесионализацијата на јавната администрација</w:t>
      </w:r>
      <w:r>
        <w:rPr>
          <w:rFonts w:cstheme="minorHAnsi"/>
          <w:lang w:val="mk-MK"/>
        </w:rPr>
        <w:t xml:space="preserve"> ќе започне токму од високата раководна служба</w:t>
      </w:r>
      <w:r w:rsidRPr="007B413E">
        <w:rPr>
          <w:rFonts w:cstheme="minorHAnsi"/>
          <w:lang w:val="mk-MK"/>
        </w:rPr>
        <w:t>, која ќе ги опфати сите службеници на високите</w:t>
      </w:r>
      <w:r w:rsidRPr="007B413E">
        <w:rPr>
          <w:rFonts w:cstheme="minorHAnsi"/>
        </w:rPr>
        <w:t xml:space="preserve"> </w:t>
      </w:r>
      <w:r w:rsidRPr="007B413E">
        <w:rPr>
          <w:rFonts w:cstheme="minorHAnsi"/>
          <w:lang w:val="mk-MK"/>
        </w:rPr>
        <w:t>раководни позиции во јавната администрација (</w:t>
      </w:r>
      <w:r w:rsidRPr="007B413E">
        <w:rPr>
          <w:rFonts w:cstheme="minorHAnsi"/>
        </w:rPr>
        <w:t>senior civil service)</w:t>
      </w:r>
      <w:r w:rsidRPr="007B413E">
        <w:rPr>
          <w:rFonts w:cstheme="minorHAnsi"/>
          <w:lang w:val="mk-MK"/>
        </w:rPr>
        <w:t xml:space="preserve"> што ќе претставува поттик и модел за професионализација на сите останат</w:t>
      </w:r>
      <w:r>
        <w:rPr>
          <w:rFonts w:cstheme="minorHAnsi"/>
          <w:lang w:val="mk-MK"/>
        </w:rPr>
        <w:t>и</w:t>
      </w:r>
      <w:r w:rsidRPr="007B413E">
        <w:rPr>
          <w:rFonts w:cstheme="minorHAnsi"/>
          <w:lang w:val="mk-MK"/>
        </w:rPr>
        <w:t xml:space="preserve"> вработени во јавната администрација.</w:t>
      </w:r>
    </w:p>
    <w:p w14:paraId="304E3B76" w14:textId="77777777" w:rsidR="00106B99" w:rsidRPr="007B413E" w:rsidRDefault="00106B99" w:rsidP="00106B99">
      <w:pPr>
        <w:jc w:val="both"/>
        <w:rPr>
          <w:rFonts w:cstheme="minorHAnsi"/>
          <w:lang w:val="mk-MK"/>
        </w:rPr>
      </w:pPr>
      <w:r w:rsidRPr="007B413E">
        <w:rPr>
          <w:rFonts w:cstheme="minorHAnsi"/>
          <w:lang w:val="mk-MK"/>
        </w:rPr>
        <w:t xml:space="preserve">За реализација на мерката </w:t>
      </w:r>
      <w:r>
        <w:rPr>
          <w:rFonts w:cstheme="minorHAnsi"/>
          <w:lang w:val="mk-MK"/>
        </w:rPr>
        <w:t xml:space="preserve">ќе се </w:t>
      </w:r>
      <w:r w:rsidRPr="007B413E">
        <w:rPr>
          <w:rFonts w:cstheme="minorHAnsi"/>
          <w:lang w:val="mk-MK"/>
        </w:rPr>
        <w:t>донес</w:t>
      </w:r>
      <w:r>
        <w:rPr>
          <w:rFonts w:cstheme="minorHAnsi"/>
          <w:lang w:val="mk-MK"/>
        </w:rPr>
        <w:t>е</w:t>
      </w:r>
      <w:r w:rsidRPr="007B413E">
        <w:rPr>
          <w:rFonts w:cstheme="minorHAnsi"/>
          <w:lang w:val="mk-MK"/>
        </w:rPr>
        <w:t xml:space="preserve"> Закон за висока раководна служба, со кој ќе се воспостави унифициран систем на објективни критериуми за избор на високи раководители во институциите преку транспарентни постапки базирани на јавни огласи, ќе се забрани именување на „вршители </w:t>
      </w:r>
      <w:r w:rsidRPr="007B413E">
        <w:rPr>
          <w:rFonts w:cstheme="minorHAnsi"/>
          <w:lang w:val="mk-MK"/>
        </w:rPr>
        <w:lastRenderedPageBreak/>
        <w:t>на должност“</w:t>
      </w:r>
      <w:r>
        <w:rPr>
          <w:rFonts w:cstheme="minorHAnsi"/>
          <w:lang w:val="mk-MK"/>
        </w:rPr>
        <w:t xml:space="preserve"> со неограничен мандат </w:t>
      </w:r>
      <w:r w:rsidRPr="007B413E">
        <w:rPr>
          <w:rFonts w:cstheme="minorHAnsi"/>
          <w:lang w:val="mk-MK"/>
        </w:rPr>
        <w:t>и без исполнети законски критериуми и ќе се обезбеди континуитет, професионалност и одговорност во раководењето со јавната служба.</w:t>
      </w:r>
    </w:p>
    <w:p w14:paraId="444BED24" w14:textId="44CCA749" w:rsidR="00106B99" w:rsidRPr="00CB4830"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sidRPr="007B413E">
        <w:rPr>
          <w:rFonts w:cstheme="minorHAnsi"/>
          <w:b/>
          <w:lang w:val="mk-MK"/>
        </w:rPr>
        <w:t>2</w:t>
      </w:r>
      <w:r>
        <w:rPr>
          <w:rFonts w:cstheme="minorHAnsi"/>
          <w:b/>
          <w:lang w:val="mk-MK"/>
        </w:rPr>
        <w:t>.2.</w:t>
      </w:r>
      <w:r w:rsidRPr="007B413E">
        <w:rPr>
          <w:rFonts w:cstheme="minorHAnsi"/>
          <w:b/>
          <w:lang w:val="mk-MK"/>
        </w:rPr>
        <w:t>:</w:t>
      </w:r>
      <w:r>
        <w:rPr>
          <w:rFonts w:cstheme="minorHAnsi"/>
          <w:b/>
          <w:bCs/>
          <w:lang w:val="mk-MK"/>
        </w:rPr>
        <w:t xml:space="preserve"> </w:t>
      </w:r>
      <w:r w:rsidRPr="009104D5">
        <w:rPr>
          <w:b/>
          <w:lang w:val="mk-MK"/>
        </w:rPr>
        <w:t>Унапредување на стандардизацијата</w:t>
      </w:r>
      <w:r w:rsidRPr="00D63BEE">
        <w:rPr>
          <w:rFonts w:cstheme="minorHAnsi"/>
          <w:b/>
          <w:bCs/>
          <w:lang w:val="mk-MK"/>
        </w:rPr>
        <w:t xml:space="preserve"> на организационите единици за управување со човечките ресурси</w:t>
      </w:r>
      <w:r w:rsidRPr="007B413E">
        <w:rPr>
          <w:rFonts w:cstheme="minorHAnsi"/>
          <w:lang w:val="mk-MK"/>
        </w:rPr>
        <w:t xml:space="preserve"> </w:t>
      </w:r>
      <w:r w:rsidRPr="00FA2775">
        <w:rPr>
          <w:b/>
          <w:lang w:val="mk-MK"/>
        </w:rPr>
        <w:t>и редефинирање на нивната организационата поставеност</w:t>
      </w:r>
    </w:p>
    <w:p w14:paraId="2FD55EA9" w14:textId="77777777" w:rsidR="00106B99" w:rsidRPr="007B413E" w:rsidRDefault="00106B99" w:rsidP="00106B99">
      <w:pPr>
        <w:jc w:val="both"/>
        <w:rPr>
          <w:rFonts w:cstheme="minorHAnsi"/>
          <w:lang w:val="mk-MK"/>
        </w:rPr>
      </w:pPr>
      <w:r>
        <w:rPr>
          <w:rFonts w:cstheme="minorHAnsi"/>
          <w:lang w:val="mk-MK"/>
        </w:rPr>
        <w:t xml:space="preserve">Преку оваа мерка ќе се постигне професионализација и јакнење на капацитетите на организационите единици за УЧР </w:t>
      </w:r>
      <w:r w:rsidRPr="007B413E">
        <w:rPr>
          <w:rFonts w:cstheme="minorHAnsi"/>
          <w:lang w:val="mk-MK"/>
        </w:rPr>
        <w:t>во сите институции</w:t>
      </w:r>
      <w:r>
        <w:rPr>
          <w:rFonts w:cstheme="minorHAnsi"/>
          <w:lang w:val="mk-MK"/>
        </w:rPr>
        <w:t xml:space="preserve"> за да се унапреди н</w:t>
      </w:r>
      <w:r w:rsidRPr="007B413E">
        <w:rPr>
          <w:rFonts w:cstheme="minorHAnsi"/>
          <w:lang w:val="mk-MK"/>
        </w:rPr>
        <w:t>ивното значење и улогата во раководењето, организацијата и спроведувањето на сите процеси врзани за управувањето со вработените во јавната администрација.</w:t>
      </w:r>
    </w:p>
    <w:p w14:paraId="279D5868" w14:textId="037BAAA7" w:rsidR="00106B99" w:rsidRPr="007B413E" w:rsidRDefault="00106B99" w:rsidP="00106B99">
      <w:pPr>
        <w:jc w:val="both"/>
        <w:rPr>
          <w:rFonts w:cstheme="minorHAnsi"/>
          <w:lang w:val="mk-MK"/>
        </w:rPr>
      </w:pPr>
      <w:r w:rsidRPr="007B413E">
        <w:rPr>
          <w:rFonts w:cstheme="minorHAnsi"/>
          <w:lang w:val="mk-MK"/>
        </w:rPr>
        <w:t>Ова подразбира преземање на активности за реорганизација и преструктурирање на поставеноста на организационите облици (сектори и одделенија) за човечки ресурси и нивна поделба на: одделенија кои ќе извршуваат класични оперативно технички активности како пријава/одјава на вработени, изготвување  на решенија за годишни одмори, боледувања, издавање на потврди за работен стаж и слично и одделенија кои ќе ги креираат политиките и ќе ги спроведуваат процесите во сферата на управување со човечките ресурси во институцијата</w:t>
      </w:r>
      <w:r>
        <w:rPr>
          <w:rFonts w:cstheme="minorHAnsi"/>
          <w:lang w:val="mk-MK"/>
        </w:rPr>
        <w:t xml:space="preserve"> чии капацитети треба да бидат зајакнати</w:t>
      </w:r>
      <w:r w:rsidRPr="007B413E">
        <w:rPr>
          <w:rFonts w:cstheme="minorHAnsi"/>
          <w:lang w:val="mk-MK"/>
        </w:rPr>
        <w:t>.</w:t>
      </w:r>
    </w:p>
    <w:p w14:paraId="5A554D8B" w14:textId="05367A45" w:rsidR="00106B99" w:rsidRPr="00CB4830"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2.</w:t>
      </w:r>
      <w:r w:rsidRPr="007B413E">
        <w:rPr>
          <w:rFonts w:cstheme="minorHAnsi"/>
          <w:b/>
          <w:lang w:val="mk-MK"/>
        </w:rPr>
        <w:t>3</w:t>
      </w:r>
      <w:r>
        <w:rPr>
          <w:rFonts w:cstheme="minorHAnsi"/>
          <w:b/>
          <w:lang w:val="mk-MK"/>
        </w:rPr>
        <w:t>.</w:t>
      </w:r>
      <w:r w:rsidRPr="007B413E">
        <w:rPr>
          <w:rFonts w:cstheme="minorHAnsi"/>
          <w:b/>
          <w:lang w:val="mk-MK"/>
        </w:rPr>
        <w:t>:</w:t>
      </w:r>
      <w:r w:rsidRPr="007B413E">
        <w:rPr>
          <w:rFonts w:cstheme="minorHAnsi"/>
          <w:lang w:val="mk-MK"/>
        </w:rPr>
        <w:t xml:space="preserve"> </w:t>
      </w:r>
      <w:r w:rsidRPr="00FA2775">
        <w:rPr>
          <w:b/>
          <w:lang w:val="mk-MK"/>
        </w:rPr>
        <w:t>Унапредување во јавната администрација базирано на “мерит“ и “</w:t>
      </w:r>
      <w:r w:rsidR="00D510F1" w:rsidRPr="00FA2775">
        <w:rPr>
          <w:b/>
          <w:lang w:val="mk-MK"/>
        </w:rPr>
        <w:t>С</w:t>
      </w:r>
      <w:r w:rsidR="00D510F1">
        <w:rPr>
          <w:b/>
          <w:lang w:val="mk-MK"/>
        </w:rPr>
        <w:t>март</w:t>
      </w:r>
      <w:r w:rsidRPr="00FA2775">
        <w:rPr>
          <w:b/>
          <w:lang w:val="mk-MK"/>
        </w:rPr>
        <w:t>“ описи</w:t>
      </w:r>
    </w:p>
    <w:p w14:paraId="158CBD71" w14:textId="77777777" w:rsidR="00106B99" w:rsidRPr="007B413E" w:rsidRDefault="00106B99" w:rsidP="00106B99">
      <w:pPr>
        <w:jc w:val="both"/>
        <w:rPr>
          <w:rFonts w:cstheme="minorHAnsi"/>
          <w:lang w:val="mk-MK"/>
        </w:rPr>
      </w:pPr>
      <w:r>
        <w:rPr>
          <w:rFonts w:cstheme="minorHAnsi"/>
          <w:lang w:val="mk-MK"/>
        </w:rPr>
        <w:t>Унапредувањето во службата ќе се базира врз</w:t>
      </w:r>
      <w:r w:rsidRPr="007B413E">
        <w:rPr>
          <w:rFonts w:cstheme="minorHAnsi"/>
          <w:lang w:val="mk-MK"/>
        </w:rPr>
        <w:t xml:space="preserve"> реално оценување на перформансите на секој службеник со што  ќе се спречи политичко влијание и секаков вид субјективизам врз понатамошното градење на кадри во јавната служба.</w:t>
      </w:r>
      <w:r>
        <w:rPr>
          <w:rFonts w:cstheme="minorHAnsi"/>
          <w:lang w:val="mk-MK"/>
        </w:rPr>
        <w:t xml:space="preserve"> Истовремено, мерката  треба да спречи секаков вид на надворешни влијанија  и притисоци во процесот на пополнување на раководните службенички звања.</w:t>
      </w:r>
    </w:p>
    <w:p w14:paraId="534C59C3" w14:textId="77777777" w:rsidR="00106B99" w:rsidRPr="007B413E" w:rsidRDefault="00106B99" w:rsidP="00106B99">
      <w:pPr>
        <w:jc w:val="both"/>
        <w:rPr>
          <w:rFonts w:cstheme="minorHAnsi"/>
          <w:lang w:val="mk-MK"/>
        </w:rPr>
      </w:pPr>
      <w:r>
        <w:rPr>
          <w:rFonts w:cstheme="minorHAnsi"/>
          <w:lang w:val="mk-MK"/>
        </w:rPr>
        <w:t>Таа</w:t>
      </w:r>
      <w:r w:rsidRPr="007B413E">
        <w:rPr>
          <w:rFonts w:cstheme="minorHAnsi"/>
          <w:lang w:val="mk-MK"/>
        </w:rPr>
        <w:t xml:space="preserve"> предвидува повеќе активности како вертикално пополнување на работните места на раководните административни службеници со кадар “од внатре“ преку унапредување на постојните вработени. Основни критериуми за процесот на напредување ќе бидат успешноста во работењето, компетенциите, резултатите од редовното  оценување, како и од спроведените периодични проверки. </w:t>
      </w:r>
    </w:p>
    <w:p w14:paraId="331C7325" w14:textId="4EB4CB72" w:rsidR="00106B99" w:rsidRPr="009104D5" w:rsidRDefault="00106B99" w:rsidP="00106B99">
      <w:pPr>
        <w:jc w:val="both"/>
        <w:rPr>
          <w:rFonts w:cstheme="minorHAnsi"/>
          <w:b/>
          <w:bCs/>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2.</w:t>
      </w:r>
      <w:r w:rsidRPr="007B413E">
        <w:rPr>
          <w:rFonts w:cstheme="minorHAnsi"/>
          <w:b/>
          <w:lang w:val="mk-MK"/>
        </w:rPr>
        <w:t>4</w:t>
      </w:r>
      <w:r>
        <w:rPr>
          <w:rFonts w:cstheme="minorHAnsi"/>
          <w:b/>
          <w:lang w:val="mk-MK"/>
        </w:rPr>
        <w:t>.</w:t>
      </w:r>
      <w:r w:rsidRPr="007B413E">
        <w:rPr>
          <w:rFonts w:cstheme="minorHAnsi"/>
          <w:b/>
          <w:lang w:val="mk-MK"/>
        </w:rPr>
        <w:t>:</w:t>
      </w:r>
      <w:r w:rsidRPr="007B413E">
        <w:rPr>
          <w:rFonts w:cstheme="minorHAnsi"/>
          <w:lang w:val="mk-MK"/>
        </w:rPr>
        <w:t xml:space="preserve"> </w:t>
      </w:r>
      <w:r w:rsidRPr="00FA2775">
        <w:rPr>
          <w:b/>
          <w:lang w:val="mk-MK"/>
        </w:rPr>
        <w:t xml:space="preserve">Јакнење на </w:t>
      </w:r>
      <w:r w:rsidRPr="009104D5">
        <w:rPr>
          <w:b/>
          <w:lang w:val="mk-MK"/>
        </w:rPr>
        <w:t>капацитетите за развивање и примена на професионални компетенции во системот на јавна администрација</w:t>
      </w:r>
    </w:p>
    <w:p w14:paraId="657A1C18" w14:textId="77777777" w:rsidR="00106B99" w:rsidRPr="007B413E" w:rsidRDefault="00106B99" w:rsidP="00106B99">
      <w:pPr>
        <w:jc w:val="both"/>
        <w:rPr>
          <w:rFonts w:cstheme="minorHAnsi"/>
          <w:lang w:val="mk-MK"/>
        </w:rPr>
      </w:pPr>
      <w:r>
        <w:rPr>
          <w:rFonts w:cstheme="minorHAnsi"/>
          <w:lang w:val="mk-MK"/>
        </w:rPr>
        <w:t xml:space="preserve">Овој сет на компетенции веќе е </w:t>
      </w:r>
      <w:r w:rsidRPr="007B413E">
        <w:rPr>
          <w:rFonts w:cstheme="minorHAnsi"/>
          <w:lang w:val="mk-MK"/>
        </w:rPr>
        <w:t>развиен кај пет професии</w:t>
      </w:r>
      <w:r>
        <w:rPr>
          <w:rFonts w:cstheme="minorHAnsi"/>
          <w:lang w:val="mk-MK"/>
        </w:rPr>
        <w:t xml:space="preserve"> и ќе продолжи да се развива и кај останатите, </w:t>
      </w:r>
      <w:r w:rsidRPr="007B413E">
        <w:rPr>
          <w:rFonts w:cstheme="minorHAnsi"/>
          <w:lang w:val="mk-MK"/>
        </w:rPr>
        <w:t>што несомнено ќе придонесе кон натамошна професионализација  на јавната администрација.</w:t>
      </w:r>
    </w:p>
    <w:p w14:paraId="1894B3C4" w14:textId="244AE25F" w:rsidR="00106B99"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2.</w:t>
      </w:r>
      <w:r w:rsidRPr="007B413E">
        <w:rPr>
          <w:rFonts w:cstheme="minorHAnsi"/>
          <w:b/>
          <w:lang w:val="mk-MK"/>
        </w:rPr>
        <w:t>5</w:t>
      </w:r>
      <w:r>
        <w:rPr>
          <w:rFonts w:cstheme="minorHAnsi"/>
          <w:b/>
          <w:lang w:val="mk-MK"/>
        </w:rPr>
        <w:t>.</w:t>
      </w:r>
      <w:r w:rsidRPr="007B413E">
        <w:rPr>
          <w:rFonts w:cstheme="minorHAnsi"/>
          <w:b/>
          <w:lang w:val="mk-MK"/>
        </w:rPr>
        <w:t>:</w:t>
      </w:r>
      <w:r w:rsidRPr="00CB4830">
        <w:rPr>
          <w:b/>
          <w:sz w:val="16"/>
          <w:szCs w:val="16"/>
          <w:lang w:val="mk-MK"/>
        </w:rPr>
        <w:t xml:space="preserve"> </w:t>
      </w:r>
      <w:r w:rsidRPr="00FA2775">
        <w:rPr>
          <w:b/>
          <w:lang w:val="mk-MK"/>
        </w:rPr>
        <w:t>Развој на политика за задржување на стручни и компетентни кадри во јавната администрација</w:t>
      </w:r>
      <w:r w:rsidRPr="002E6A35">
        <w:rPr>
          <w:rFonts w:cstheme="minorHAnsi"/>
          <w:b/>
          <w:lang w:val="mk-MK"/>
        </w:rPr>
        <w:t xml:space="preserve"> </w:t>
      </w:r>
    </w:p>
    <w:p w14:paraId="1BC12106" w14:textId="77777777" w:rsidR="00106B99" w:rsidRPr="007B413E" w:rsidRDefault="00106B99" w:rsidP="00106B99">
      <w:pPr>
        <w:jc w:val="both"/>
        <w:rPr>
          <w:rFonts w:cstheme="minorHAnsi"/>
          <w:lang w:val="mk-MK"/>
        </w:rPr>
      </w:pPr>
      <w:r>
        <w:rPr>
          <w:rFonts w:cstheme="minorHAnsi"/>
          <w:lang w:val="mk-MK"/>
        </w:rPr>
        <w:t>П</w:t>
      </w:r>
      <w:r w:rsidRPr="007B413E">
        <w:rPr>
          <w:rFonts w:cstheme="minorHAnsi"/>
          <w:lang w:val="mk-MK"/>
        </w:rPr>
        <w:t>рофесионализацијата како процес подразбира професионален раст и развој на секој вработен во јавната служба, па оттаму и потребата од навремено преземање на низа активности за задржување на квалитетни</w:t>
      </w:r>
      <w:r>
        <w:rPr>
          <w:rFonts w:cstheme="minorHAnsi"/>
          <w:lang w:val="mk-MK"/>
        </w:rPr>
        <w:t>те</w:t>
      </w:r>
      <w:r w:rsidRPr="007B413E">
        <w:rPr>
          <w:rFonts w:cstheme="minorHAnsi"/>
          <w:lang w:val="mk-MK"/>
        </w:rPr>
        <w:t xml:space="preserve"> кадри, како: поттикнување </w:t>
      </w:r>
      <w:r>
        <w:rPr>
          <w:rFonts w:cstheme="minorHAnsi"/>
          <w:lang w:val="mk-MK"/>
        </w:rPr>
        <w:t>за</w:t>
      </w:r>
      <w:r w:rsidRPr="007B413E">
        <w:rPr>
          <w:rFonts w:cstheme="minorHAnsi"/>
          <w:lang w:val="mk-MK"/>
        </w:rPr>
        <w:t xml:space="preserve"> примена на институтот мобилност и преминување на квалитетниот и стручен, веќе обучен кадар, од една во друга институција на јавниот сектор,; развивање на алатки и инструменти за мотивација на ваквиот кадар, нивно ангажирање како обучувачи за областите за кои се специјализирани и слично.</w:t>
      </w:r>
      <w:r w:rsidRPr="007B413E">
        <w:rPr>
          <w:rFonts w:cstheme="minorHAnsi"/>
          <w:b/>
          <w:lang w:val="mk-MK"/>
        </w:rPr>
        <w:t xml:space="preserve"> </w:t>
      </w:r>
      <w:r w:rsidRPr="007B413E">
        <w:rPr>
          <w:rFonts w:cstheme="minorHAnsi"/>
          <w:bCs/>
          <w:lang w:val="mk-MK"/>
        </w:rPr>
        <w:t xml:space="preserve">Во насока на креирање политики за </w:t>
      </w:r>
      <w:r w:rsidRPr="007B413E">
        <w:rPr>
          <w:rFonts w:cstheme="minorHAnsi"/>
          <w:bCs/>
          <w:lang w:val="mk-MK"/>
        </w:rPr>
        <w:lastRenderedPageBreak/>
        <w:t xml:space="preserve">привлекување на млади и перспективни кадри во јавната служба </w:t>
      </w:r>
      <w:r>
        <w:rPr>
          <w:rFonts w:cstheme="minorHAnsi"/>
          <w:bCs/>
          <w:lang w:val="mk-MK"/>
        </w:rPr>
        <w:t>потребна е по</w:t>
      </w:r>
      <w:r w:rsidRPr="007B413E">
        <w:rPr>
          <w:rFonts w:cstheme="minorHAnsi"/>
          <w:bCs/>
          <w:lang w:val="mk-MK"/>
        </w:rPr>
        <w:t>инте</w:t>
      </w:r>
      <w:r w:rsidRPr="007B413E">
        <w:rPr>
          <w:rFonts w:cstheme="minorHAnsi"/>
          <w:lang w:val="mk-MK"/>
        </w:rPr>
        <w:t xml:space="preserve">нзивна соработка со универзитетите и отворање на вратите на институциите за спроведување на практична настава </w:t>
      </w:r>
      <w:r>
        <w:rPr>
          <w:rFonts w:cstheme="minorHAnsi"/>
          <w:lang w:val="mk-MK"/>
        </w:rPr>
        <w:t xml:space="preserve">и волонтирање </w:t>
      </w:r>
      <w:r w:rsidRPr="007B413E">
        <w:rPr>
          <w:rFonts w:cstheme="minorHAnsi"/>
          <w:lang w:val="mk-MK"/>
        </w:rPr>
        <w:t xml:space="preserve">на студентите од различни студиски програми и степени на студии. </w:t>
      </w:r>
    </w:p>
    <w:p w14:paraId="5B1CAD35" w14:textId="5904019E" w:rsidR="00106B99" w:rsidRDefault="00106B99" w:rsidP="00106B99">
      <w:pPr>
        <w:jc w:val="both"/>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2.</w:t>
      </w:r>
      <w:r w:rsidRPr="007B413E">
        <w:rPr>
          <w:rFonts w:cstheme="minorHAnsi"/>
          <w:b/>
          <w:lang w:val="mk-MK"/>
        </w:rPr>
        <w:t>6</w:t>
      </w:r>
      <w:r>
        <w:rPr>
          <w:rFonts w:cstheme="minorHAnsi"/>
          <w:b/>
          <w:lang w:val="mk-MK"/>
        </w:rPr>
        <w:t>.</w:t>
      </w:r>
      <w:r w:rsidRPr="007B413E">
        <w:rPr>
          <w:rFonts w:cstheme="minorHAnsi"/>
          <w:b/>
          <w:lang w:val="mk-MK"/>
        </w:rPr>
        <w:t>:</w:t>
      </w:r>
      <w:r>
        <w:rPr>
          <w:rFonts w:cstheme="minorHAnsi"/>
          <w:b/>
          <w:lang w:val="mk-MK"/>
        </w:rPr>
        <w:t xml:space="preserve"> </w:t>
      </w:r>
      <w:r>
        <w:rPr>
          <w:rFonts w:cstheme="minorHAnsi"/>
          <w:b/>
          <w:bCs/>
          <w:lang w:val="mk-MK"/>
        </w:rPr>
        <w:t>Јакнење</w:t>
      </w:r>
      <w:r w:rsidRPr="002E6A35">
        <w:rPr>
          <w:rFonts w:cstheme="minorHAnsi"/>
          <w:b/>
          <w:bCs/>
          <w:lang w:val="mk-MK"/>
        </w:rPr>
        <w:t xml:space="preserve"> на улогата на Мрежата за управување со човечките ресурси</w:t>
      </w:r>
      <w:r w:rsidRPr="007B413E">
        <w:rPr>
          <w:rFonts w:cstheme="minorHAnsi"/>
          <w:lang w:val="mk-MK"/>
        </w:rPr>
        <w:t xml:space="preserve"> </w:t>
      </w:r>
    </w:p>
    <w:p w14:paraId="762DB5C6" w14:textId="735DE985" w:rsidR="00106B99" w:rsidRDefault="00106B99" w:rsidP="00106B99">
      <w:pPr>
        <w:jc w:val="both"/>
        <w:rPr>
          <w:rFonts w:cstheme="minorHAnsi"/>
          <w:lang w:val="mk-MK"/>
        </w:rPr>
      </w:pPr>
      <w:r>
        <w:rPr>
          <w:rFonts w:cstheme="minorHAnsi"/>
          <w:lang w:val="mk-MK"/>
        </w:rPr>
        <w:t xml:space="preserve">Со оваа мерка </w:t>
      </w:r>
      <w:r w:rsidRPr="007B413E">
        <w:rPr>
          <w:rFonts w:cstheme="minorHAnsi"/>
          <w:lang w:val="mk-MK"/>
        </w:rPr>
        <w:t>ќе се обезбеди натамошно зајакнување на механизмите за координација на активностите и улогата на јавната администрација</w:t>
      </w:r>
      <w:r>
        <w:rPr>
          <w:rFonts w:cstheme="minorHAnsi"/>
          <w:lang w:val="mk-MK"/>
        </w:rPr>
        <w:t xml:space="preserve"> и </w:t>
      </w:r>
      <w:r w:rsidRPr="007B413E">
        <w:rPr>
          <w:rFonts w:cstheme="minorHAnsi"/>
          <w:lang w:val="mk-MK"/>
        </w:rPr>
        <w:t xml:space="preserve">ќе </w:t>
      </w:r>
      <w:r>
        <w:rPr>
          <w:rFonts w:cstheme="minorHAnsi"/>
          <w:lang w:val="mk-MK"/>
        </w:rPr>
        <w:t xml:space="preserve">се овозможи </w:t>
      </w:r>
      <w:r w:rsidRPr="007B413E">
        <w:rPr>
          <w:rFonts w:cstheme="minorHAnsi"/>
          <w:lang w:val="mk-MK"/>
        </w:rPr>
        <w:t>унапредување на алатките за управување со човечките ресурси</w:t>
      </w:r>
      <w:r>
        <w:rPr>
          <w:rFonts w:cstheme="minorHAnsi"/>
          <w:lang w:val="mk-MK"/>
        </w:rPr>
        <w:t>.</w:t>
      </w:r>
      <w:r w:rsidRPr="007B413E">
        <w:rPr>
          <w:rFonts w:cstheme="minorHAnsi"/>
          <w:lang w:val="mk-MK"/>
        </w:rPr>
        <w:t xml:space="preserve"> Јакнењето на капацитетите и искористеноста на</w:t>
      </w:r>
      <w:r w:rsidR="003C7510">
        <w:rPr>
          <w:rFonts w:cstheme="minorHAnsi"/>
          <w:lang w:val="mk-MK"/>
        </w:rPr>
        <w:t xml:space="preserve"> </w:t>
      </w:r>
      <w:r w:rsidRPr="007B413E">
        <w:rPr>
          <w:rFonts w:cstheme="minorHAnsi"/>
          <w:lang w:val="mk-MK"/>
        </w:rPr>
        <w:t xml:space="preserve">ИСУЧР е </w:t>
      </w:r>
      <w:r>
        <w:rPr>
          <w:rFonts w:cstheme="minorHAnsi"/>
          <w:lang w:val="mk-MK"/>
        </w:rPr>
        <w:t xml:space="preserve">исклучително важна </w:t>
      </w:r>
      <w:r w:rsidRPr="007B413E">
        <w:rPr>
          <w:rFonts w:cstheme="minorHAnsi"/>
          <w:lang w:val="mk-MK"/>
        </w:rPr>
        <w:t xml:space="preserve"> активност за реализација на оваа мерка.</w:t>
      </w:r>
    </w:p>
    <w:p w14:paraId="1F468484" w14:textId="77777777" w:rsidR="00351D48" w:rsidRPr="00C1585A" w:rsidRDefault="00351D48" w:rsidP="00351D48">
      <w:pPr>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tbl>
      <w:tblPr>
        <w:tblStyle w:val="TableGrid"/>
        <w:tblW w:w="0" w:type="auto"/>
        <w:tblLook w:val="04A0" w:firstRow="1" w:lastRow="0" w:firstColumn="1" w:lastColumn="0" w:noHBand="0" w:noVBand="1"/>
      </w:tblPr>
      <w:tblGrid>
        <w:gridCol w:w="3125"/>
        <w:gridCol w:w="2075"/>
        <w:gridCol w:w="2075"/>
        <w:gridCol w:w="2075"/>
      </w:tblGrid>
      <w:tr w:rsidR="00351D48" w:rsidRPr="00AD5EED" w14:paraId="63CACB13" w14:textId="77777777" w:rsidTr="002877AE">
        <w:tc>
          <w:tcPr>
            <w:tcW w:w="9350" w:type="dxa"/>
            <w:gridSpan w:val="4"/>
            <w:tcBorders>
              <w:top w:val="single" w:sz="12" w:space="0" w:color="auto"/>
            </w:tcBorders>
            <w:shd w:val="clear" w:color="auto" w:fill="D9E2F3" w:themeFill="accent1" w:themeFillTint="33"/>
          </w:tcPr>
          <w:p w14:paraId="64EC9987" w14:textId="77777777" w:rsidR="00351D48" w:rsidRPr="00AD5EED" w:rsidRDefault="00351D48" w:rsidP="00EC7C0D">
            <w:pPr>
              <w:jc w:val="both"/>
              <w:rPr>
                <w:rFonts w:cstheme="minorHAnsi"/>
                <w:b/>
                <w:bCs/>
                <w:highlight w:val="yellow"/>
                <w:lang w:val="mk-MK"/>
              </w:rPr>
            </w:pPr>
            <w:r w:rsidRPr="00AD5EED">
              <w:rPr>
                <w:rFonts w:cstheme="minorHAnsi"/>
                <w:b/>
                <w:bCs/>
              </w:rPr>
              <w:t xml:space="preserve">Посебна цел </w:t>
            </w:r>
            <w:r w:rsidRPr="00AD5EED">
              <w:rPr>
                <w:rFonts w:cstheme="minorHAnsi"/>
                <w:b/>
                <w:bCs/>
                <w:lang w:val="mk-MK"/>
              </w:rPr>
              <w:t>2.2</w:t>
            </w:r>
            <w:r w:rsidRPr="00AD5EED">
              <w:rPr>
                <w:rFonts w:cstheme="minorHAnsi"/>
                <w:b/>
                <w:bCs/>
              </w:rPr>
              <w:t xml:space="preserve">.: </w:t>
            </w:r>
            <w:r w:rsidRPr="00AD5EED">
              <w:rPr>
                <w:rFonts w:cstheme="minorHAnsi"/>
                <w:b/>
                <w:bCs/>
                <w:color w:val="000000" w:themeColor="text1"/>
              </w:rPr>
              <w:t>Професионална јавна администрација (развој на професија административен службеник)</w:t>
            </w:r>
          </w:p>
        </w:tc>
      </w:tr>
      <w:tr w:rsidR="00351D48" w:rsidRPr="00782799" w14:paraId="6BFD838E" w14:textId="77777777" w:rsidTr="002877AE">
        <w:tc>
          <w:tcPr>
            <w:tcW w:w="5214" w:type="dxa"/>
            <w:vMerge w:val="restart"/>
            <w:shd w:val="clear" w:color="auto" w:fill="D9E2F3" w:themeFill="accent1" w:themeFillTint="33"/>
            <w:vAlign w:val="center"/>
          </w:tcPr>
          <w:p w14:paraId="75DD7B7B" w14:textId="77777777" w:rsidR="00351D48" w:rsidRPr="00782799" w:rsidRDefault="00351D48" w:rsidP="00EC7C0D">
            <w:pPr>
              <w:jc w:val="center"/>
              <w:rPr>
                <w:rFonts w:ascii="Calibri" w:hAnsi="Calibri" w:cs="Calibri"/>
                <w:color w:val="000000"/>
                <w:sz w:val="20"/>
                <w:szCs w:val="20"/>
                <w:lang w:val="mk-MK"/>
              </w:rPr>
            </w:pPr>
          </w:p>
          <w:p w14:paraId="4CD706E2" w14:textId="77777777" w:rsidR="00351D48" w:rsidRPr="00782799" w:rsidRDefault="00351D48" w:rsidP="00EC7C0D">
            <w:pPr>
              <w:jc w:val="center"/>
              <w:rPr>
                <w:rFonts w:ascii="Calibri" w:hAnsi="Calibri" w:cs="Calibri"/>
                <w:b/>
                <w:bCs/>
                <w:color w:val="000000"/>
                <w:sz w:val="20"/>
                <w:szCs w:val="20"/>
                <w:lang w:val="mk-MK"/>
              </w:rPr>
            </w:pPr>
            <w:r w:rsidRPr="00782799">
              <w:rPr>
                <w:rFonts w:ascii="Calibri" w:hAnsi="Calibri" w:cs="Calibri"/>
                <w:b/>
                <w:bCs/>
                <w:color w:val="000000"/>
                <w:sz w:val="20"/>
                <w:szCs w:val="20"/>
                <w:lang w:val="mk-MK"/>
              </w:rPr>
              <w:t>Показател на исход:</w:t>
            </w:r>
          </w:p>
        </w:tc>
        <w:tc>
          <w:tcPr>
            <w:tcW w:w="1370" w:type="dxa"/>
            <w:tcBorders>
              <w:bottom w:val="nil"/>
              <w:right w:val="nil"/>
            </w:tcBorders>
            <w:shd w:val="clear" w:color="auto" w:fill="D9E2F3" w:themeFill="accent1" w:themeFillTint="33"/>
          </w:tcPr>
          <w:p w14:paraId="702FE6D6" w14:textId="77777777" w:rsidR="00351D48" w:rsidRPr="00782799" w:rsidRDefault="00351D48" w:rsidP="00EC7C0D">
            <w:pPr>
              <w:jc w:val="center"/>
              <w:rPr>
                <w:rFonts w:ascii="Calibri" w:hAnsi="Calibri" w:cs="Calibri"/>
                <w:color w:val="000000"/>
                <w:sz w:val="20"/>
                <w:szCs w:val="20"/>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78B79EAB" w14:textId="77777777" w:rsidR="00351D48" w:rsidRPr="00782799" w:rsidRDefault="00351D48" w:rsidP="00EC7C0D">
            <w:pPr>
              <w:jc w:val="center"/>
              <w:rPr>
                <w:rFonts w:ascii="Calibri" w:hAnsi="Calibri" w:cs="Calibri"/>
                <w:color w:val="000000"/>
                <w:sz w:val="20"/>
                <w:szCs w:val="20"/>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374EFAEF"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5DC04C13" w14:textId="77777777" w:rsidTr="002877AE">
        <w:tc>
          <w:tcPr>
            <w:tcW w:w="5214" w:type="dxa"/>
            <w:vMerge/>
            <w:shd w:val="clear" w:color="auto" w:fill="D9E2F3" w:themeFill="accent1" w:themeFillTint="33"/>
          </w:tcPr>
          <w:p w14:paraId="77ACCB87" w14:textId="77777777" w:rsidR="00351D48" w:rsidRPr="00782799" w:rsidRDefault="00351D48" w:rsidP="00EC7C0D">
            <w:pPr>
              <w:rPr>
                <w:rFonts w:ascii="Calibri" w:hAnsi="Calibri" w:cs="Calibri"/>
                <w:color w:val="000000"/>
                <w:sz w:val="20"/>
                <w:szCs w:val="20"/>
              </w:rPr>
            </w:pPr>
          </w:p>
        </w:tc>
        <w:tc>
          <w:tcPr>
            <w:tcW w:w="1370" w:type="dxa"/>
            <w:tcBorders>
              <w:top w:val="nil"/>
              <w:right w:val="nil"/>
            </w:tcBorders>
            <w:shd w:val="clear" w:color="auto" w:fill="D9E2F3" w:themeFill="accent1" w:themeFillTint="33"/>
          </w:tcPr>
          <w:p w14:paraId="3B08FE71" w14:textId="77777777" w:rsidR="00351D48" w:rsidRPr="00782799" w:rsidRDefault="00351D48" w:rsidP="00EC7C0D">
            <w:pPr>
              <w:jc w:val="center"/>
              <w:rPr>
                <w:rFonts w:ascii="Calibri" w:hAnsi="Calibri" w:cs="Calibri"/>
                <w:b/>
                <w:bCs/>
                <w:color w:val="000000"/>
                <w:sz w:val="20"/>
                <w:szCs w:val="20"/>
                <w:lang w:val="mk-MK"/>
              </w:rPr>
            </w:pPr>
          </w:p>
        </w:tc>
        <w:tc>
          <w:tcPr>
            <w:tcW w:w="1383" w:type="dxa"/>
            <w:tcBorders>
              <w:top w:val="nil"/>
              <w:left w:val="nil"/>
              <w:right w:val="nil"/>
            </w:tcBorders>
            <w:shd w:val="clear" w:color="auto" w:fill="D9E2F3" w:themeFill="accent1" w:themeFillTint="33"/>
          </w:tcPr>
          <w:p w14:paraId="63160D64" w14:textId="77777777" w:rsidR="00351D48" w:rsidRPr="00782799" w:rsidRDefault="00351D48" w:rsidP="00EC7C0D">
            <w:pPr>
              <w:jc w:val="center"/>
              <w:rPr>
                <w:rFonts w:ascii="Calibri" w:hAnsi="Calibri" w:cs="Calibri"/>
                <w:b/>
                <w:bCs/>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600C9516" w14:textId="77777777" w:rsidR="00351D48" w:rsidRPr="00782799" w:rsidRDefault="00351D48" w:rsidP="00EC7C0D">
            <w:pPr>
              <w:jc w:val="center"/>
              <w:rPr>
                <w:b/>
                <w:bCs/>
                <w:sz w:val="20"/>
                <w:szCs w:val="20"/>
                <w:lang w:val="mk-MK"/>
              </w:rPr>
            </w:pPr>
            <w:r w:rsidRPr="00782799">
              <w:rPr>
                <w:b/>
                <w:bCs/>
                <w:sz w:val="20"/>
                <w:szCs w:val="20"/>
                <w:lang w:val="mk-MK"/>
              </w:rPr>
              <w:t>2030</w:t>
            </w:r>
          </w:p>
        </w:tc>
      </w:tr>
      <w:tr w:rsidR="00351D48" w:rsidRPr="005F1C45" w14:paraId="621E3FA5" w14:textId="77777777" w:rsidTr="002877AE">
        <w:trPr>
          <w:trHeight w:val="1115"/>
        </w:trPr>
        <w:tc>
          <w:tcPr>
            <w:tcW w:w="5214" w:type="dxa"/>
            <w:shd w:val="clear" w:color="auto" w:fill="D9E2F3" w:themeFill="accent1" w:themeFillTint="33"/>
          </w:tcPr>
          <w:p w14:paraId="35336200" w14:textId="77777777" w:rsidR="00351D48" w:rsidRPr="005F1C45" w:rsidRDefault="00351D48" w:rsidP="00EC7C0D">
            <w:pPr>
              <w:rPr>
                <w:rFonts w:cstheme="minorHAnsi"/>
                <w:color w:val="000000"/>
                <w:sz w:val="20"/>
                <w:szCs w:val="20"/>
              </w:rPr>
            </w:pPr>
            <w:r w:rsidRPr="005F1C45">
              <w:rPr>
                <w:rFonts w:cstheme="minorHAnsi"/>
                <w:iCs/>
                <w:sz w:val="20"/>
                <w:szCs w:val="20"/>
                <w:lang w:val="mk-MK"/>
              </w:rPr>
              <w:t>Процент на усвоени жалби на одлуки за именување/назначување на функционери врз основа на спроведени постапки за селекција на ВРС</w:t>
            </w:r>
          </w:p>
        </w:tc>
        <w:tc>
          <w:tcPr>
            <w:tcW w:w="1370" w:type="dxa"/>
            <w:shd w:val="clear" w:color="auto" w:fill="D9E2F3" w:themeFill="accent1" w:themeFillTint="33"/>
            <w:vAlign w:val="center"/>
          </w:tcPr>
          <w:p w14:paraId="0F435F76"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Ќе се измери по првата година на примената на ЗВРС</w:t>
            </w:r>
          </w:p>
        </w:tc>
        <w:tc>
          <w:tcPr>
            <w:tcW w:w="1383" w:type="dxa"/>
            <w:shd w:val="clear" w:color="auto" w:fill="D9E2F3" w:themeFill="accent1" w:themeFillTint="33"/>
            <w:vAlign w:val="center"/>
          </w:tcPr>
          <w:p w14:paraId="26B1F3F5"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Намалување од 10% во однос на почетната вредност</w:t>
            </w:r>
          </w:p>
        </w:tc>
        <w:tc>
          <w:tcPr>
            <w:tcW w:w="1383" w:type="dxa"/>
            <w:shd w:val="clear" w:color="auto" w:fill="D9E2F3" w:themeFill="accent1" w:themeFillTint="33"/>
            <w:vAlign w:val="center"/>
          </w:tcPr>
          <w:p w14:paraId="13E8B96D" w14:textId="77777777" w:rsidR="00351D48" w:rsidRPr="00B5617C" w:rsidRDefault="00351D48" w:rsidP="00EC7C0D">
            <w:pPr>
              <w:jc w:val="center"/>
              <w:rPr>
                <w:sz w:val="20"/>
                <w:szCs w:val="20"/>
                <w:lang w:val="mk-MK"/>
              </w:rPr>
            </w:pPr>
            <w:r w:rsidRPr="00B5617C">
              <w:rPr>
                <w:sz w:val="20"/>
                <w:szCs w:val="20"/>
                <w:lang w:val="mk-MK"/>
              </w:rPr>
              <w:t>Намалување од 30% во однос на почетната вредност</w:t>
            </w:r>
          </w:p>
        </w:tc>
      </w:tr>
      <w:tr w:rsidR="00351D48" w:rsidRPr="005F1C45" w14:paraId="3E0FB53C" w14:textId="77777777" w:rsidTr="002877AE">
        <w:trPr>
          <w:trHeight w:val="1115"/>
        </w:trPr>
        <w:tc>
          <w:tcPr>
            <w:tcW w:w="5214" w:type="dxa"/>
            <w:shd w:val="clear" w:color="auto" w:fill="D9E2F3" w:themeFill="accent1" w:themeFillTint="33"/>
          </w:tcPr>
          <w:p w14:paraId="3D7C8DDC" w14:textId="77777777" w:rsidR="00351D48" w:rsidRPr="005F1C45" w:rsidRDefault="00351D48" w:rsidP="00EC7C0D">
            <w:pPr>
              <w:rPr>
                <w:rFonts w:cstheme="minorHAnsi"/>
                <w:bCs/>
                <w:iCs/>
                <w:sz w:val="20"/>
                <w:szCs w:val="20"/>
                <w:lang w:val="mk-MK"/>
              </w:rPr>
            </w:pPr>
            <w:r w:rsidRPr="005F1C45">
              <w:rPr>
                <w:rFonts w:eastAsia="Calibri" w:cstheme="minorHAnsi"/>
                <w:bCs/>
                <w:sz w:val="20"/>
                <w:szCs w:val="20"/>
                <w:lang w:val="mk-MK"/>
              </w:rPr>
              <w:t>Процент на усвоени жалби на одлуки за избор на најуспешен кандидат во постапките за унапредување по пат на интерен оглас</w:t>
            </w:r>
          </w:p>
        </w:tc>
        <w:tc>
          <w:tcPr>
            <w:tcW w:w="1370" w:type="dxa"/>
            <w:shd w:val="clear" w:color="auto" w:fill="D9E2F3" w:themeFill="accent1" w:themeFillTint="33"/>
            <w:vAlign w:val="center"/>
          </w:tcPr>
          <w:p w14:paraId="342EDE3B" w14:textId="739EF2D9" w:rsidR="00351D48" w:rsidRPr="0074050E" w:rsidRDefault="0074050E" w:rsidP="00EC7C0D">
            <w:pPr>
              <w:jc w:val="center"/>
              <w:rPr>
                <w:rFonts w:ascii="Calibri" w:hAnsi="Calibri" w:cs="Calibri"/>
                <w:color w:val="000000"/>
                <w:sz w:val="20"/>
                <w:szCs w:val="20"/>
                <w:lang w:val="mk-MK"/>
              </w:rPr>
            </w:pPr>
            <w:r w:rsidRPr="0074050E">
              <w:rPr>
                <w:rFonts w:cstheme="minorHAnsi"/>
                <w:sz w:val="20"/>
                <w:szCs w:val="20"/>
                <w:lang w:val="mk-MK"/>
              </w:rPr>
              <w:t>Ќе се измери на крај од 2025</w:t>
            </w:r>
          </w:p>
        </w:tc>
        <w:tc>
          <w:tcPr>
            <w:tcW w:w="1383" w:type="dxa"/>
            <w:shd w:val="clear" w:color="auto" w:fill="D9E2F3" w:themeFill="accent1" w:themeFillTint="33"/>
            <w:vAlign w:val="center"/>
          </w:tcPr>
          <w:p w14:paraId="05104C0A"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10%</w:t>
            </w:r>
          </w:p>
        </w:tc>
        <w:tc>
          <w:tcPr>
            <w:tcW w:w="1383" w:type="dxa"/>
            <w:shd w:val="clear" w:color="auto" w:fill="D9E2F3" w:themeFill="accent1" w:themeFillTint="33"/>
            <w:vAlign w:val="center"/>
          </w:tcPr>
          <w:p w14:paraId="5D41BD80" w14:textId="77777777" w:rsidR="00351D48" w:rsidRPr="00B5617C" w:rsidRDefault="00351D48" w:rsidP="00EC7C0D">
            <w:pPr>
              <w:jc w:val="center"/>
              <w:rPr>
                <w:sz w:val="20"/>
                <w:szCs w:val="20"/>
                <w:lang w:val="mk-MK"/>
              </w:rPr>
            </w:pPr>
            <w:r w:rsidRPr="00B5617C">
              <w:rPr>
                <w:sz w:val="20"/>
                <w:szCs w:val="20"/>
                <w:lang w:val="mk-MK"/>
              </w:rPr>
              <w:t>5%</w:t>
            </w:r>
          </w:p>
        </w:tc>
      </w:tr>
      <w:tr w:rsidR="00351D48" w:rsidRPr="00782799" w14:paraId="0F4A8780" w14:textId="77777777" w:rsidTr="002877AE">
        <w:tc>
          <w:tcPr>
            <w:tcW w:w="9350" w:type="dxa"/>
            <w:gridSpan w:val="4"/>
            <w:shd w:val="clear" w:color="auto" w:fill="D9E2F3" w:themeFill="accent1" w:themeFillTint="33"/>
          </w:tcPr>
          <w:p w14:paraId="7BA8A18D" w14:textId="77777777" w:rsidR="00351D48" w:rsidRPr="00782799" w:rsidRDefault="00351D48" w:rsidP="00EC7C0D">
            <w:pPr>
              <w:rPr>
                <w:rFonts w:cstheme="minorHAnsi"/>
                <w:b/>
                <w:highlight w:val="yellow"/>
                <w:lang w:val="mk-MK"/>
              </w:rPr>
            </w:pPr>
            <w:r w:rsidRPr="00782799">
              <w:rPr>
                <w:rFonts w:cstheme="minorHAnsi"/>
                <w:b/>
              </w:rPr>
              <w:t>М</w:t>
            </w:r>
            <w:r w:rsidRPr="00782799">
              <w:rPr>
                <w:rFonts w:cstheme="minorHAnsi"/>
                <w:b/>
                <w:lang w:val="mk-MK"/>
              </w:rPr>
              <w:t>ерка</w:t>
            </w:r>
            <w:r w:rsidRPr="00782799">
              <w:rPr>
                <w:rFonts w:cstheme="minorHAnsi"/>
                <w:b/>
              </w:rPr>
              <w:t xml:space="preserve"> </w:t>
            </w:r>
            <w:r w:rsidRPr="00782799">
              <w:rPr>
                <w:rFonts w:cstheme="minorHAnsi"/>
                <w:b/>
                <w:lang w:val="mk-MK"/>
              </w:rPr>
              <w:t>2.</w:t>
            </w:r>
            <w:r w:rsidRPr="00782799">
              <w:rPr>
                <w:rFonts w:cstheme="minorHAnsi"/>
                <w:b/>
              </w:rPr>
              <w:t xml:space="preserve">2.1 </w:t>
            </w:r>
            <w:r w:rsidRPr="00782799">
              <w:rPr>
                <w:rFonts w:eastAsia="Calibri" w:cstheme="minorHAnsi"/>
                <w:b/>
              </w:rPr>
              <w:t>Професионализација на високите раководни позиции во јавната администрација (senor civil service)</w:t>
            </w:r>
            <w:r w:rsidRPr="00782799">
              <w:rPr>
                <w:rFonts w:eastAsia="Calibri" w:cstheme="minorHAnsi"/>
                <w:b/>
                <w:lang w:val="mk-MK"/>
              </w:rPr>
              <w:t>, аспектирано со родовата сензитивност</w:t>
            </w:r>
          </w:p>
        </w:tc>
      </w:tr>
      <w:tr w:rsidR="00351D48" w:rsidRPr="00782799" w14:paraId="294669C9" w14:textId="77777777" w:rsidTr="002877AE">
        <w:tc>
          <w:tcPr>
            <w:tcW w:w="5214" w:type="dxa"/>
            <w:vMerge w:val="restart"/>
            <w:shd w:val="clear" w:color="auto" w:fill="D9E2F3" w:themeFill="accent1" w:themeFillTint="33"/>
            <w:vAlign w:val="center"/>
          </w:tcPr>
          <w:p w14:paraId="393CF4EB"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728CB6C8"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1B4D0793"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7528620C"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43299408" w14:textId="77777777" w:rsidTr="002877AE">
        <w:tc>
          <w:tcPr>
            <w:tcW w:w="5214" w:type="dxa"/>
            <w:vMerge/>
            <w:shd w:val="clear" w:color="auto" w:fill="D9E2F3" w:themeFill="accent1" w:themeFillTint="33"/>
          </w:tcPr>
          <w:p w14:paraId="0D550E94"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131CECFB" w14:textId="77777777" w:rsidR="00351D48" w:rsidRPr="00782799" w:rsidRDefault="00351D48" w:rsidP="00EC7C0D">
            <w:pPr>
              <w:jc w:val="center"/>
              <w:rPr>
                <w:rFonts w:ascii="Calibri" w:hAnsi="Calibri" w:cs="Calibri"/>
                <w:color w:val="000000"/>
                <w:sz w:val="20"/>
                <w:szCs w:val="20"/>
                <w:lang w:val="mk-MK"/>
              </w:rPr>
            </w:pPr>
          </w:p>
        </w:tc>
        <w:tc>
          <w:tcPr>
            <w:tcW w:w="1383" w:type="dxa"/>
            <w:tcBorders>
              <w:top w:val="nil"/>
              <w:left w:val="nil"/>
              <w:right w:val="nil"/>
            </w:tcBorders>
            <w:shd w:val="clear" w:color="auto" w:fill="D9E2F3" w:themeFill="accent1" w:themeFillTint="33"/>
          </w:tcPr>
          <w:p w14:paraId="57BC08E9"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63AEC788" w14:textId="77777777" w:rsidR="00351D48" w:rsidRPr="00782799" w:rsidRDefault="00351D48" w:rsidP="00EC7C0D">
            <w:pPr>
              <w:jc w:val="center"/>
              <w:rPr>
                <w:sz w:val="20"/>
                <w:szCs w:val="20"/>
                <w:lang w:val="mk-MK"/>
              </w:rPr>
            </w:pPr>
            <w:r w:rsidRPr="00782799">
              <w:rPr>
                <w:b/>
                <w:bCs/>
                <w:sz w:val="20"/>
                <w:szCs w:val="20"/>
                <w:lang w:val="mk-MK"/>
              </w:rPr>
              <w:t>2030</w:t>
            </w:r>
          </w:p>
        </w:tc>
      </w:tr>
      <w:tr w:rsidR="00351D48" w:rsidRPr="005F1C45" w14:paraId="50B5981D" w14:textId="77777777" w:rsidTr="002877AE">
        <w:trPr>
          <w:trHeight w:val="872"/>
        </w:trPr>
        <w:tc>
          <w:tcPr>
            <w:tcW w:w="5214" w:type="dxa"/>
            <w:shd w:val="clear" w:color="auto" w:fill="D9E2F3" w:themeFill="accent1" w:themeFillTint="33"/>
          </w:tcPr>
          <w:p w14:paraId="2D20D8C4" w14:textId="77777777" w:rsidR="00351D48" w:rsidRPr="00B5617C" w:rsidRDefault="00351D48" w:rsidP="00EC7C0D">
            <w:pPr>
              <w:rPr>
                <w:rFonts w:cstheme="minorHAnsi"/>
                <w:bCs/>
                <w:sz w:val="20"/>
                <w:szCs w:val="20"/>
              </w:rPr>
            </w:pPr>
            <w:r w:rsidRPr="00B5617C">
              <w:rPr>
                <w:rFonts w:eastAsia="Calibri" w:cstheme="minorHAnsi"/>
                <w:bCs/>
                <w:sz w:val="20"/>
                <w:szCs w:val="20"/>
                <w:lang w:val="mk-MK"/>
              </w:rPr>
              <w:t>Процент</w:t>
            </w:r>
            <w:r w:rsidRPr="00B5617C">
              <w:rPr>
                <w:rFonts w:eastAsia="Calibri" w:cstheme="minorHAnsi"/>
                <w:bCs/>
                <w:sz w:val="20"/>
                <w:szCs w:val="20"/>
              </w:rPr>
              <w:t xml:space="preserve"> на именувани/назначени функционери врз основа на спроведени постапки за селекција</w:t>
            </w:r>
          </w:p>
        </w:tc>
        <w:tc>
          <w:tcPr>
            <w:tcW w:w="1370" w:type="dxa"/>
            <w:shd w:val="clear" w:color="auto" w:fill="D9E2F3" w:themeFill="accent1" w:themeFillTint="33"/>
            <w:vAlign w:val="center"/>
          </w:tcPr>
          <w:p w14:paraId="60289338"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Ќе се измери по првата година на примената на ЗВРС</w:t>
            </w:r>
          </w:p>
        </w:tc>
        <w:tc>
          <w:tcPr>
            <w:tcW w:w="1383" w:type="dxa"/>
            <w:shd w:val="clear" w:color="auto" w:fill="D9E2F3" w:themeFill="accent1" w:themeFillTint="33"/>
            <w:vAlign w:val="center"/>
          </w:tcPr>
          <w:p w14:paraId="0FA4B825"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95%</w:t>
            </w:r>
          </w:p>
        </w:tc>
        <w:tc>
          <w:tcPr>
            <w:tcW w:w="1383" w:type="dxa"/>
            <w:shd w:val="clear" w:color="auto" w:fill="D9E2F3" w:themeFill="accent1" w:themeFillTint="33"/>
            <w:vAlign w:val="center"/>
          </w:tcPr>
          <w:p w14:paraId="3D390D07" w14:textId="77777777" w:rsidR="00351D48" w:rsidRPr="00B5617C" w:rsidRDefault="00351D48" w:rsidP="00EC7C0D">
            <w:pPr>
              <w:jc w:val="center"/>
              <w:rPr>
                <w:sz w:val="20"/>
                <w:szCs w:val="20"/>
                <w:lang w:val="mk-MK"/>
              </w:rPr>
            </w:pPr>
            <w:r w:rsidRPr="00B5617C">
              <w:rPr>
                <w:sz w:val="20"/>
                <w:szCs w:val="20"/>
                <w:lang w:val="mk-MK"/>
              </w:rPr>
              <w:t>100%</w:t>
            </w:r>
          </w:p>
        </w:tc>
      </w:tr>
      <w:tr w:rsidR="00351D48" w:rsidRPr="00782799" w14:paraId="3E6920CF" w14:textId="77777777" w:rsidTr="002877AE">
        <w:trPr>
          <w:trHeight w:val="620"/>
        </w:trPr>
        <w:tc>
          <w:tcPr>
            <w:tcW w:w="5214" w:type="dxa"/>
            <w:shd w:val="clear" w:color="auto" w:fill="D9E2F3" w:themeFill="accent1" w:themeFillTint="33"/>
          </w:tcPr>
          <w:p w14:paraId="619970D1" w14:textId="77777777" w:rsidR="00351D48" w:rsidRPr="00B5617C" w:rsidRDefault="00351D48" w:rsidP="00EC7C0D">
            <w:pPr>
              <w:rPr>
                <w:rFonts w:cstheme="minorHAnsi"/>
                <w:bCs/>
                <w:sz w:val="20"/>
                <w:szCs w:val="20"/>
              </w:rPr>
            </w:pPr>
            <w:r w:rsidRPr="00B5617C">
              <w:rPr>
                <w:rFonts w:cstheme="minorHAnsi"/>
                <w:bCs/>
                <w:sz w:val="20"/>
                <w:szCs w:val="20"/>
                <w:lang w:val="mk-MK"/>
              </w:rPr>
              <w:t>Процент на жени назначени на високи раководни позиции врз основа на спроведена постапка за селекција на ВРС</w:t>
            </w:r>
          </w:p>
        </w:tc>
        <w:tc>
          <w:tcPr>
            <w:tcW w:w="1370" w:type="dxa"/>
            <w:shd w:val="clear" w:color="auto" w:fill="D9E2F3" w:themeFill="accent1" w:themeFillTint="33"/>
            <w:vAlign w:val="center"/>
          </w:tcPr>
          <w:p w14:paraId="5689EB6C"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Ќе се измери по првата година на примената на ЗВРС</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1984DA" w14:textId="77777777" w:rsidR="00351D48" w:rsidRPr="00B5617C" w:rsidRDefault="00351D48" w:rsidP="00EC7C0D">
            <w:pPr>
              <w:jc w:val="center"/>
              <w:rPr>
                <w:rFonts w:cstheme="minorHAnsi"/>
                <w:color w:val="000000"/>
                <w:sz w:val="20"/>
                <w:szCs w:val="20"/>
                <w:lang w:val="mk-MK"/>
              </w:rPr>
            </w:pPr>
            <w:r w:rsidRPr="00B5617C">
              <w:rPr>
                <w:rFonts w:cstheme="minorHAnsi"/>
                <w:sz w:val="20"/>
                <w:szCs w:val="20"/>
                <w:lang w:val="mk-MK" w:eastAsia="mk-MK"/>
              </w:rPr>
              <w:t>20% зголемување во однос на измерената почетна вредност</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0A40E9" w14:textId="77777777" w:rsidR="00351D48" w:rsidRPr="00B5617C" w:rsidRDefault="00351D48" w:rsidP="00EC7C0D">
            <w:pPr>
              <w:jc w:val="center"/>
              <w:rPr>
                <w:rFonts w:cstheme="minorHAnsi"/>
                <w:b/>
                <w:bCs/>
                <w:sz w:val="20"/>
                <w:szCs w:val="20"/>
                <w:lang w:val="mk-MK"/>
              </w:rPr>
            </w:pPr>
            <w:r w:rsidRPr="00B5617C">
              <w:rPr>
                <w:rFonts w:cstheme="minorHAnsi"/>
                <w:sz w:val="20"/>
                <w:szCs w:val="20"/>
                <w:lang w:val="mk-MK" w:eastAsia="mk-MK"/>
              </w:rPr>
              <w:t>50% зголемување во однос на почетната вредност</w:t>
            </w:r>
          </w:p>
        </w:tc>
      </w:tr>
      <w:tr w:rsidR="00351D48" w:rsidRPr="00C5110C" w14:paraId="7714F8E7" w14:textId="77777777" w:rsidTr="002877AE">
        <w:tc>
          <w:tcPr>
            <w:tcW w:w="9350" w:type="dxa"/>
            <w:gridSpan w:val="4"/>
            <w:shd w:val="clear" w:color="auto" w:fill="D9E2F3" w:themeFill="accent1" w:themeFillTint="33"/>
          </w:tcPr>
          <w:p w14:paraId="621C69D5" w14:textId="77777777" w:rsidR="00351D48" w:rsidRPr="00C5110C" w:rsidRDefault="00351D48" w:rsidP="00EC7C0D">
            <w:pPr>
              <w:jc w:val="both"/>
              <w:rPr>
                <w:highlight w:val="yellow"/>
                <w:lang w:val="mk-MK"/>
              </w:rPr>
            </w:pPr>
            <w:r w:rsidRPr="00C5110C">
              <w:rPr>
                <w:rFonts w:cstheme="minorHAnsi"/>
                <w:b/>
              </w:rPr>
              <w:t>М</w:t>
            </w:r>
            <w:r>
              <w:rPr>
                <w:rFonts w:cstheme="minorHAnsi"/>
                <w:b/>
                <w:lang w:val="mk-MK"/>
              </w:rPr>
              <w:t>ерка</w:t>
            </w:r>
            <w:r w:rsidRPr="00C5110C">
              <w:rPr>
                <w:rFonts w:cstheme="minorHAnsi"/>
                <w:b/>
                <w:lang w:val="mk-MK"/>
              </w:rPr>
              <w:t xml:space="preserve"> </w:t>
            </w:r>
            <w:r>
              <w:rPr>
                <w:rFonts w:cstheme="minorHAnsi"/>
                <w:b/>
                <w:lang w:val="mk-MK"/>
              </w:rPr>
              <w:t>2</w:t>
            </w:r>
            <w:r w:rsidRPr="00C5110C">
              <w:rPr>
                <w:rFonts w:cstheme="minorHAnsi"/>
                <w:b/>
                <w:lang w:val="mk-MK"/>
              </w:rPr>
              <w:t>.</w:t>
            </w:r>
            <w:r w:rsidRPr="00C5110C">
              <w:rPr>
                <w:rFonts w:cstheme="minorHAnsi"/>
                <w:b/>
              </w:rPr>
              <w:t xml:space="preserve">2.2 </w:t>
            </w:r>
            <w:r w:rsidRPr="00782799">
              <w:rPr>
                <w:rFonts w:cstheme="minorHAnsi"/>
                <w:b/>
                <w:bCs/>
                <w:lang w:val="mk-MK"/>
              </w:rPr>
              <w:t>Унапредување на стандардизацијата на организационите единици за ЧР и редефинирање на нивната организациска поставеност</w:t>
            </w:r>
          </w:p>
        </w:tc>
      </w:tr>
      <w:tr w:rsidR="00351D48" w:rsidRPr="00782799" w14:paraId="44F42ECF" w14:textId="77777777" w:rsidTr="002877AE">
        <w:tc>
          <w:tcPr>
            <w:tcW w:w="5214" w:type="dxa"/>
            <w:vMerge w:val="restart"/>
            <w:shd w:val="clear" w:color="auto" w:fill="D9E2F3" w:themeFill="accent1" w:themeFillTint="33"/>
            <w:vAlign w:val="center"/>
          </w:tcPr>
          <w:p w14:paraId="7A9D9EAA"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0BDCDD91"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332CB641"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5558A664"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26E42188" w14:textId="77777777" w:rsidTr="002877AE">
        <w:tc>
          <w:tcPr>
            <w:tcW w:w="5214" w:type="dxa"/>
            <w:vMerge/>
            <w:shd w:val="clear" w:color="auto" w:fill="D9E2F3" w:themeFill="accent1" w:themeFillTint="33"/>
          </w:tcPr>
          <w:p w14:paraId="66B484ED"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365C6E1C"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2023</w:t>
            </w:r>
          </w:p>
        </w:tc>
        <w:tc>
          <w:tcPr>
            <w:tcW w:w="1383" w:type="dxa"/>
            <w:tcBorders>
              <w:top w:val="nil"/>
              <w:left w:val="nil"/>
              <w:right w:val="nil"/>
            </w:tcBorders>
            <w:shd w:val="clear" w:color="auto" w:fill="D9E2F3" w:themeFill="accent1" w:themeFillTint="33"/>
          </w:tcPr>
          <w:p w14:paraId="12F9053C"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764A9933" w14:textId="77777777" w:rsidR="00351D48" w:rsidRPr="00782799" w:rsidRDefault="00351D48" w:rsidP="00EC7C0D">
            <w:pPr>
              <w:jc w:val="center"/>
              <w:rPr>
                <w:sz w:val="20"/>
                <w:szCs w:val="20"/>
                <w:lang w:val="mk-MK"/>
              </w:rPr>
            </w:pPr>
            <w:r w:rsidRPr="00782799">
              <w:rPr>
                <w:b/>
                <w:bCs/>
                <w:sz w:val="20"/>
                <w:szCs w:val="20"/>
                <w:lang w:val="mk-MK"/>
              </w:rPr>
              <w:t>2030</w:t>
            </w:r>
          </w:p>
        </w:tc>
      </w:tr>
      <w:tr w:rsidR="00351D48" w:rsidRPr="00782799" w14:paraId="58213037" w14:textId="77777777" w:rsidTr="00092885">
        <w:trPr>
          <w:trHeight w:val="638"/>
        </w:trPr>
        <w:tc>
          <w:tcPr>
            <w:tcW w:w="5214" w:type="dxa"/>
            <w:shd w:val="clear" w:color="auto" w:fill="D9E2F3" w:themeFill="accent1" w:themeFillTint="33"/>
          </w:tcPr>
          <w:p w14:paraId="18E71661" w14:textId="77777777" w:rsidR="00351D48" w:rsidRPr="00782799" w:rsidRDefault="00351D48" w:rsidP="00EC7C0D">
            <w:pPr>
              <w:rPr>
                <w:rFonts w:cstheme="minorHAnsi"/>
                <w:bCs/>
                <w:sz w:val="20"/>
                <w:szCs w:val="20"/>
              </w:rPr>
            </w:pPr>
            <w:r w:rsidRPr="00782799">
              <w:rPr>
                <w:rFonts w:cstheme="minorHAnsi"/>
                <w:bCs/>
                <w:iCs/>
                <w:sz w:val="20"/>
                <w:szCs w:val="20"/>
                <w:lang w:val="mk-MK"/>
              </w:rPr>
              <w:t xml:space="preserve">Процент на институции кои ги усогласиле актите за внатрешна организација и систематизација на работните места во кои е воспоставен модел на </w:t>
            </w:r>
            <w:r w:rsidRPr="00782799">
              <w:rPr>
                <w:rFonts w:cstheme="minorHAnsi"/>
                <w:bCs/>
                <w:iCs/>
                <w:sz w:val="20"/>
                <w:szCs w:val="20"/>
                <w:lang w:val="mk-MK"/>
              </w:rPr>
              <w:lastRenderedPageBreak/>
              <w:t>организација на единиците на ЧР со стандардизирана организација и описи на работните места</w:t>
            </w:r>
          </w:p>
        </w:tc>
        <w:tc>
          <w:tcPr>
            <w:tcW w:w="1370" w:type="dxa"/>
            <w:shd w:val="clear" w:color="auto" w:fill="D9E2F3" w:themeFill="accent1" w:themeFillTint="33"/>
            <w:vAlign w:val="center"/>
          </w:tcPr>
          <w:p w14:paraId="74525503" w14:textId="77777777" w:rsidR="00351D48" w:rsidRPr="000D20B1"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lastRenderedPageBreak/>
              <w:t>0%</w:t>
            </w:r>
          </w:p>
        </w:tc>
        <w:tc>
          <w:tcPr>
            <w:tcW w:w="1383" w:type="dxa"/>
            <w:shd w:val="clear" w:color="auto" w:fill="D9E2F3" w:themeFill="accent1" w:themeFillTint="33"/>
            <w:vAlign w:val="center"/>
          </w:tcPr>
          <w:p w14:paraId="159442C3" w14:textId="77777777" w:rsidR="00351D48" w:rsidRPr="000D20B1" w:rsidRDefault="00351D48" w:rsidP="00EC7C0D">
            <w:pPr>
              <w:jc w:val="center"/>
              <w:rPr>
                <w:rFonts w:ascii="Calibri" w:hAnsi="Calibri" w:cs="Calibri"/>
                <w:color w:val="000000"/>
                <w:sz w:val="20"/>
                <w:szCs w:val="20"/>
                <w:lang w:val="mk-MK"/>
              </w:rPr>
            </w:pPr>
            <w:r>
              <w:rPr>
                <w:rFonts w:ascii="Calibri" w:hAnsi="Calibri" w:cs="Calibri"/>
                <w:color w:val="000000"/>
                <w:sz w:val="20"/>
                <w:szCs w:val="20"/>
                <w:lang w:val="mk-MK"/>
              </w:rPr>
              <w:t>65%</w:t>
            </w:r>
          </w:p>
        </w:tc>
        <w:tc>
          <w:tcPr>
            <w:tcW w:w="1383" w:type="dxa"/>
            <w:shd w:val="clear" w:color="auto" w:fill="D9E2F3" w:themeFill="accent1" w:themeFillTint="33"/>
            <w:vAlign w:val="center"/>
          </w:tcPr>
          <w:p w14:paraId="73D1F141" w14:textId="77777777" w:rsidR="00351D48" w:rsidRPr="00782799" w:rsidRDefault="00351D48" w:rsidP="00EC7C0D">
            <w:pPr>
              <w:jc w:val="center"/>
              <w:rPr>
                <w:sz w:val="20"/>
                <w:szCs w:val="20"/>
                <w:lang w:val="mk-MK"/>
              </w:rPr>
            </w:pPr>
            <w:r w:rsidRPr="00782799">
              <w:rPr>
                <w:sz w:val="20"/>
                <w:szCs w:val="20"/>
                <w:lang w:val="mk-MK"/>
              </w:rPr>
              <w:t>100%</w:t>
            </w:r>
          </w:p>
        </w:tc>
      </w:tr>
      <w:tr w:rsidR="00351D48" w:rsidRPr="00782799" w14:paraId="177EC0CA" w14:textId="77777777" w:rsidTr="00092885">
        <w:trPr>
          <w:trHeight w:val="332"/>
        </w:trPr>
        <w:tc>
          <w:tcPr>
            <w:tcW w:w="9350" w:type="dxa"/>
            <w:gridSpan w:val="4"/>
            <w:shd w:val="clear" w:color="auto" w:fill="D9E2F3" w:themeFill="accent1" w:themeFillTint="33"/>
          </w:tcPr>
          <w:p w14:paraId="0C439383" w14:textId="15FD5B92" w:rsidR="00351D48" w:rsidRPr="00782799" w:rsidRDefault="00351D48" w:rsidP="00EC7C0D">
            <w:pPr>
              <w:rPr>
                <w:b/>
                <w:bCs/>
                <w:sz w:val="20"/>
                <w:szCs w:val="20"/>
                <w:lang w:val="mk-MK"/>
              </w:rPr>
            </w:pPr>
            <w:r w:rsidRPr="00782799">
              <w:rPr>
                <w:rFonts w:cstheme="minorHAnsi"/>
                <w:b/>
                <w:bCs/>
                <w:lang w:val="mk-MK"/>
              </w:rPr>
              <w:lastRenderedPageBreak/>
              <w:t>Мерка 2.2.</w:t>
            </w:r>
            <w:r w:rsidRPr="00782799">
              <w:rPr>
                <w:rFonts w:cstheme="minorHAnsi"/>
                <w:b/>
                <w:bCs/>
              </w:rPr>
              <w:t>3. Унапредување во јавната администрација базирано на “мерит“</w:t>
            </w:r>
            <w:r w:rsidRPr="00782799">
              <w:rPr>
                <w:rFonts w:cstheme="minorHAnsi"/>
                <w:b/>
                <w:bCs/>
                <w:lang w:val="mk-MK"/>
              </w:rPr>
              <w:t xml:space="preserve"> </w:t>
            </w:r>
            <w:r w:rsidRPr="00782799">
              <w:rPr>
                <w:rFonts w:cstheme="minorHAnsi"/>
                <w:b/>
                <w:bCs/>
              </w:rPr>
              <w:t>и “</w:t>
            </w:r>
            <w:r w:rsidR="00D510F1">
              <w:rPr>
                <w:rFonts w:cstheme="minorHAnsi"/>
                <w:b/>
                <w:bCs/>
                <w:lang w:val="mk-MK"/>
              </w:rPr>
              <w:t>С</w:t>
            </w:r>
            <w:r w:rsidRPr="00782799">
              <w:rPr>
                <w:rFonts w:cstheme="minorHAnsi"/>
                <w:b/>
                <w:bCs/>
              </w:rPr>
              <w:t>март“ описи</w:t>
            </w:r>
          </w:p>
        </w:tc>
      </w:tr>
      <w:tr w:rsidR="00351D48" w:rsidRPr="00782799" w14:paraId="25850400" w14:textId="77777777" w:rsidTr="00092885">
        <w:tc>
          <w:tcPr>
            <w:tcW w:w="5214" w:type="dxa"/>
            <w:vMerge w:val="restart"/>
            <w:shd w:val="clear" w:color="auto" w:fill="D9E2F3" w:themeFill="accent1" w:themeFillTint="33"/>
            <w:vAlign w:val="center"/>
          </w:tcPr>
          <w:p w14:paraId="74B6C1B2"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2231D256"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6C5EECB4"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10ABAFD4"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41F347C5" w14:textId="77777777" w:rsidTr="00092885">
        <w:tc>
          <w:tcPr>
            <w:tcW w:w="5214" w:type="dxa"/>
            <w:vMerge/>
            <w:shd w:val="clear" w:color="auto" w:fill="D9E2F3" w:themeFill="accent1" w:themeFillTint="33"/>
          </w:tcPr>
          <w:p w14:paraId="7AF73F60"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7A473BBC"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2023</w:t>
            </w:r>
          </w:p>
        </w:tc>
        <w:tc>
          <w:tcPr>
            <w:tcW w:w="1383" w:type="dxa"/>
            <w:tcBorders>
              <w:top w:val="nil"/>
              <w:left w:val="nil"/>
              <w:right w:val="nil"/>
            </w:tcBorders>
            <w:shd w:val="clear" w:color="auto" w:fill="D9E2F3" w:themeFill="accent1" w:themeFillTint="33"/>
          </w:tcPr>
          <w:p w14:paraId="19CB90DD"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3181219D" w14:textId="77777777" w:rsidR="00351D48" w:rsidRPr="00782799" w:rsidRDefault="00351D48" w:rsidP="00EC7C0D">
            <w:pPr>
              <w:jc w:val="center"/>
              <w:rPr>
                <w:sz w:val="20"/>
                <w:szCs w:val="20"/>
                <w:lang w:val="mk-MK"/>
              </w:rPr>
            </w:pPr>
            <w:r w:rsidRPr="00782799">
              <w:rPr>
                <w:b/>
                <w:bCs/>
                <w:sz w:val="20"/>
                <w:szCs w:val="20"/>
                <w:lang w:val="mk-MK"/>
              </w:rPr>
              <w:t>2030</w:t>
            </w:r>
          </w:p>
        </w:tc>
      </w:tr>
      <w:tr w:rsidR="00351D48" w:rsidRPr="00782799" w14:paraId="650343FA" w14:textId="77777777" w:rsidTr="00092885">
        <w:trPr>
          <w:trHeight w:val="638"/>
        </w:trPr>
        <w:tc>
          <w:tcPr>
            <w:tcW w:w="5214" w:type="dxa"/>
            <w:shd w:val="clear" w:color="auto" w:fill="D9E2F3" w:themeFill="accent1" w:themeFillTint="33"/>
          </w:tcPr>
          <w:p w14:paraId="2D153233" w14:textId="51A749D3" w:rsidR="00351D48" w:rsidRPr="005D7B89" w:rsidRDefault="005D7B89" w:rsidP="00EC7C0D">
            <w:pPr>
              <w:rPr>
                <w:rFonts w:cstheme="minorHAnsi"/>
                <w:bCs/>
                <w:sz w:val="20"/>
                <w:szCs w:val="20"/>
                <w:lang w:val="mk-MK"/>
              </w:rPr>
            </w:pPr>
            <w:r>
              <w:rPr>
                <w:rFonts w:cstheme="minorHAnsi"/>
                <w:bCs/>
                <w:sz w:val="20"/>
                <w:szCs w:val="20"/>
                <w:lang w:val="mk-MK"/>
              </w:rPr>
              <w:t>Просечен број на пријавени кандидати на интерни огласи</w:t>
            </w:r>
            <w:r w:rsidR="0074050E" w:rsidRPr="00063D81">
              <w:rPr>
                <w:rFonts w:cstheme="minorHAnsi"/>
                <w:lang w:val="mk-MK"/>
              </w:rPr>
              <w:t xml:space="preserve"> </w:t>
            </w:r>
            <w:r w:rsidR="0074050E" w:rsidRPr="0074050E">
              <w:rPr>
                <w:rFonts w:cstheme="minorHAnsi"/>
                <w:sz w:val="20"/>
                <w:szCs w:val="20"/>
                <w:lang w:val="mk-MK"/>
              </w:rPr>
              <w:t>за унапредување</w:t>
            </w:r>
          </w:p>
        </w:tc>
        <w:tc>
          <w:tcPr>
            <w:tcW w:w="1370" w:type="dxa"/>
            <w:shd w:val="clear" w:color="auto" w:fill="D9E2F3" w:themeFill="accent1" w:themeFillTint="33"/>
            <w:vAlign w:val="center"/>
          </w:tcPr>
          <w:p w14:paraId="21339C01" w14:textId="18EBB38B" w:rsidR="00351D48" w:rsidRPr="000D20B1" w:rsidRDefault="00887C2C" w:rsidP="00EC7C0D">
            <w:pPr>
              <w:jc w:val="center"/>
              <w:rPr>
                <w:rFonts w:ascii="Calibri" w:hAnsi="Calibri" w:cs="Calibri"/>
                <w:color w:val="000000"/>
                <w:sz w:val="20"/>
                <w:szCs w:val="20"/>
                <w:lang w:val="mk-MK"/>
              </w:rPr>
            </w:pPr>
            <w:r>
              <w:rPr>
                <w:rFonts w:ascii="Calibri" w:hAnsi="Calibri" w:cs="Calibri"/>
                <w:color w:val="000000"/>
                <w:sz w:val="20"/>
                <w:szCs w:val="20"/>
                <w:lang w:val="mk-MK"/>
              </w:rPr>
              <w:t>Ќе се измери на кра</w:t>
            </w:r>
            <w:r w:rsidR="00351D48">
              <w:rPr>
                <w:rFonts w:ascii="Calibri" w:hAnsi="Calibri" w:cs="Calibri"/>
                <w:color w:val="000000"/>
                <w:sz w:val="20"/>
                <w:szCs w:val="20"/>
                <w:lang w:val="mk-MK"/>
              </w:rPr>
              <w:t>јот на 2023</w:t>
            </w:r>
          </w:p>
        </w:tc>
        <w:tc>
          <w:tcPr>
            <w:tcW w:w="1383" w:type="dxa"/>
            <w:shd w:val="clear" w:color="auto" w:fill="D9E2F3" w:themeFill="accent1" w:themeFillTint="33"/>
            <w:vAlign w:val="center"/>
          </w:tcPr>
          <w:p w14:paraId="53F4A528" w14:textId="08C20F05" w:rsidR="00351D48" w:rsidRPr="000D20B1" w:rsidRDefault="00537256" w:rsidP="00537256">
            <w:pPr>
              <w:jc w:val="center"/>
              <w:rPr>
                <w:rFonts w:ascii="Calibri" w:hAnsi="Calibri" w:cs="Calibri"/>
                <w:color w:val="000000"/>
                <w:sz w:val="20"/>
                <w:szCs w:val="20"/>
                <w:lang w:val="mk-MK"/>
              </w:rPr>
            </w:pPr>
            <w:r>
              <w:rPr>
                <w:rFonts w:ascii="Calibri" w:hAnsi="Calibri" w:cs="Calibri"/>
                <w:color w:val="000000"/>
                <w:sz w:val="20"/>
                <w:szCs w:val="20"/>
                <w:lang w:val="mk-MK"/>
              </w:rPr>
              <w:t>20% повеќ</w:t>
            </w:r>
            <w:r w:rsidR="00351D48">
              <w:rPr>
                <w:rFonts w:ascii="Calibri" w:hAnsi="Calibri" w:cs="Calibri"/>
                <w:color w:val="000000"/>
                <w:sz w:val="20"/>
                <w:szCs w:val="20"/>
                <w:lang w:val="mk-MK"/>
              </w:rPr>
              <w:t>е во однос на почетната вредност</w:t>
            </w:r>
          </w:p>
        </w:tc>
        <w:tc>
          <w:tcPr>
            <w:tcW w:w="1383" w:type="dxa"/>
            <w:shd w:val="clear" w:color="auto" w:fill="D9E2F3" w:themeFill="accent1" w:themeFillTint="33"/>
            <w:vAlign w:val="center"/>
          </w:tcPr>
          <w:p w14:paraId="6B70E4B7" w14:textId="1AE584C4" w:rsidR="00351D48" w:rsidRPr="00782799" w:rsidRDefault="00351D48" w:rsidP="00537256">
            <w:pPr>
              <w:jc w:val="center"/>
              <w:rPr>
                <w:sz w:val="20"/>
                <w:szCs w:val="20"/>
                <w:lang w:val="mk-MK"/>
              </w:rPr>
            </w:pPr>
            <w:r>
              <w:rPr>
                <w:sz w:val="20"/>
                <w:szCs w:val="20"/>
                <w:lang w:val="mk-MK"/>
              </w:rPr>
              <w:t xml:space="preserve">50% </w:t>
            </w:r>
            <w:r w:rsidR="00537256">
              <w:rPr>
                <w:sz w:val="20"/>
                <w:szCs w:val="20"/>
                <w:lang w:val="mk-MK"/>
              </w:rPr>
              <w:t>повеќе</w:t>
            </w:r>
            <w:r>
              <w:rPr>
                <w:sz w:val="20"/>
                <w:szCs w:val="20"/>
                <w:lang w:val="mk-MK"/>
              </w:rPr>
              <w:t xml:space="preserve"> во однос на почетната вредност</w:t>
            </w:r>
          </w:p>
        </w:tc>
      </w:tr>
      <w:tr w:rsidR="00351D48" w:rsidRPr="00374913" w14:paraId="2305B245" w14:textId="77777777" w:rsidTr="00092885">
        <w:trPr>
          <w:trHeight w:val="638"/>
        </w:trPr>
        <w:tc>
          <w:tcPr>
            <w:tcW w:w="5214" w:type="dxa"/>
            <w:shd w:val="clear" w:color="auto" w:fill="D9E2F3" w:themeFill="accent1" w:themeFillTint="33"/>
          </w:tcPr>
          <w:p w14:paraId="4953C5A1" w14:textId="77777777" w:rsidR="00351D48" w:rsidRPr="00B951DF" w:rsidRDefault="00351D48" w:rsidP="00EC7C0D">
            <w:pPr>
              <w:rPr>
                <w:rFonts w:cstheme="minorHAnsi"/>
                <w:bCs/>
                <w:sz w:val="20"/>
                <w:szCs w:val="20"/>
              </w:rPr>
            </w:pPr>
            <w:r w:rsidRPr="00B951DF">
              <w:rPr>
                <w:rFonts w:cstheme="minorHAnsi"/>
                <w:bCs/>
                <w:sz w:val="20"/>
                <w:szCs w:val="20"/>
                <w:lang w:val="mk-MK"/>
              </w:rPr>
              <w:t>Процент на соодветни кандидати (кандидати кои ги исполнуваат условите за унапредување) во постапките за унапредување</w:t>
            </w:r>
          </w:p>
        </w:tc>
        <w:tc>
          <w:tcPr>
            <w:tcW w:w="1370" w:type="dxa"/>
            <w:shd w:val="clear" w:color="auto" w:fill="D9E2F3" w:themeFill="accent1" w:themeFillTint="33"/>
            <w:vAlign w:val="center"/>
          </w:tcPr>
          <w:p w14:paraId="2DD19C56" w14:textId="25B4503C" w:rsidR="00351D48" w:rsidRPr="00B5617C" w:rsidRDefault="005D7B89" w:rsidP="00EC7C0D">
            <w:pPr>
              <w:jc w:val="center"/>
              <w:rPr>
                <w:rFonts w:ascii="Calibri" w:hAnsi="Calibri" w:cs="Calibri"/>
                <w:color w:val="000000"/>
                <w:sz w:val="20"/>
                <w:szCs w:val="20"/>
                <w:lang w:val="mk-MK"/>
              </w:rPr>
            </w:pPr>
            <w:r>
              <w:rPr>
                <w:rFonts w:ascii="Calibri" w:hAnsi="Calibri" w:cs="Calibri"/>
                <w:color w:val="000000"/>
                <w:sz w:val="20"/>
                <w:szCs w:val="20"/>
                <w:lang w:val="mk-MK"/>
              </w:rPr>
              <w:t>Ќе се измери на крајот на 2023</w:t>
            </w:r>
          </w:p>
        </w:tc>
        <w:tc>
          <w:tcPr>
            <w:tcW w:w="1383" w:type="dxa"/>
            <w:shd w:val="clear" w:color="auto" w:fill="D9E2F3" w:themeFill="accent1" w:themeFillTint="33"/>
            <w:vAlign w:val="center"/>
          </w:tcPr>
          <w:p w14:paraId="5D6769D4"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90%</w:t>
            </w:r>
          </w:p>
        </w:tc>
        <w:tc>
          <w:tcPr>
            <w:tcW w:w="1383" w:type="dxa"/>
            <w:shd w:val="clear" w:color="auto" w:fill="D9E2F3" w:themeFill="accent1" w:themeFillTint="33"/>
            <w:vAlign w:val="center"/>
          </w:tcPr>
          <w:p w14:paraId="6353DB01" w14:textId="77777777" w:rsidR="00351D48" w:rsidRPr="00B5617C" w:rsidRDefault="00351D48" w:rsidP="00EC7C0D">
            <w:pPr>
              <w:jc w:val="center"/>
              <w:rPr>
                <w:sz w:val="20"/>
                <w:szCs w:val="20"/>
                <w:lang w:val="mk-MK"/>
              </w:rPr>
            </w:pPr>
            <w:r w:rsidRPr="00B5617C">
              <w:rPr>
                <w:sz w:val="20"/>
                <w:szCs w:val="20"/>
                <w:lang w:val="mk-MK"/>
              </w:rPr>
              <w:t>100%</w:t>
            </w:r>
          </w:p>
        </w:tc>
      </w:tr>
      <w:tr w:rsidR="00351D48" w:rsidRPr="00C5110C" w14:paraId="6470F588" w14:textId="77777777" w:rsidTr="00092885">
        <w:tc>
          <w:tcPr>
            <w:tcW w:w="9350" w:type="dxa"/>
            <w:gridSpan w:val="4"/>
            <w:shd w:val="clear" w:color="auto" w:fill="D9E2F3" w:themeFill="accent1" w:themeFillTint="33"/>
          </w:tcPr>
          <w:p w14:paraId="2C94D30A" w14:textId="77777777" w:rsidR="00351D48" w:rsidRPr="00B5617C" w:rsidRDefault="00351D48" w:rsidP="00EC7C0D">
            <w:pPr>
              <w:jc w:val="both"/>
              <w:rPr>
                <w:lang w:val="mk-MK"/>
              </w:rPr>
            </w:pPr>
            <w:r w:rsidRPr="00B5617C">
              <w:rPr>
                <w:rFonts w:cstheme="minorHAnsi"/>
                <w:b/>
                <w:bCs/>
                <w:lang w:val="mk-MK"/>
              </w:rPr>
              <w:t>Мерка</w:t>
            </w:r>
            <w:r w:rsidRPr="00B5617C">
              <w:rPr>
                <w:rFonts w:ascii="StobiSerif Regular" w:hAnsi="StobiSerif Regular"/>
                <w:sz w:val="24"/>
                <w:szCs w:val="24"/>
              </w:rPr>
              <w:t xml:space="preserve"> </w:t>
            </w:r>
            <w:r w:rsidRPr="00B5617C">
              <w:rPr>
                <w:rFonts w:cstheme="minorHAnsi"/>
                <w:b/>
                <w:bCs/>
              </w:rPr>
              <w:t>2.2.4. Јакнење на капацитетите за развивање и примена на професионални компетенции во системот на јавна администрација</w:t>
            </w:r>
          </w:p>
        </w:tc>
      </w:tr>
      <w:tr w:rsidR="00351D48" w:rsidRPr="00782799" w14:paraId="1743D86E" w14:textId="77777777" w:rsidTr="00092885">
        <w:tc>
          <w:tcPr>
            <w:tcW w:w="5214" w:type="dxa"/>
            <w:vMerge w:val="restart"/>
            <w:shd w:val="clear" w:color="auto" w:fill="D9E2F3" w:themeFill="accent1" w:themeFillTint="33"/>
            <w:vAlign w:val="center"/>
          </w:tcPr>
          <w:p w14:paraId="5C884682"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7305DCD7" w14:textId="77777777" w:rsidR="00351D48" w:rsidRPr="00B5617C" w:rsidRDefault="00351D48" w:rsidP="00EC7C0D">
            <w:pPr>
              <w:jc w:val="center"/>
              <w:rPr>
                <w:rFonts w:ascii="Calibri" w:hAnsi="Calibri" w:cs="Calibri"/>
                <w:color w:val="000000"/>
                <w:sz w:val="20"/>
                <w:szCs w:val="20"/>
                <w:lang w:val="mk-MK"/>
              </w:rPr>
            </w:pPr>
            <w:r w:rsidRPr="00B5617C">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42F6085C" w14:textId="77777777" w:rsidR="00351D48" w:rsidRPr="00B5617C" w:rsidRDefault="00351D48" w:rsidP="00EC7C0D">
            <w:pPr>
              <w:jc w:val="center"/>
              <w:rPr>
                <w:rFonts w:ascii="Calibri" w:hAnsi="Calibri" w:cs="Calibri"/>
                <w:color w:val="000000"/>
                <w:sz w:val="20"/>
                <w:szCs w:val="20"/>
                <w:lang w:val="mk-MK"/>
              </w:rPr>
            </w:pPr>
            <w:r w:rsidRPr="00B5617C">
              <w:rPr>
                <w:b/>
                <w:bCs/>
                <w:sz w:val="20"/>
                <w:szCs w:val="20"/>
                <w:lang w:val="mk-MK"/>
              </w:rPr>
              <w:t>Преодна вредност</w:t>
            </w:r>
          </w:p>
        </w:tc>
        <w:tc>
          <w:tcPr>
            <w:tcW w:w="1383" w:type="dxa"/>
            <w:tcBorders>
              <w:left w:val="nil"/>
              <w:bottom w:val="nil"/>
            </w:tcBorders>
            <w:shd w:val="clear" w:color="auto" w:fill="D9E2F3" w:themeFill="accent1" w:themeFillTint="33"/>
          </w:tcPr>
          <w:p w14:paraId="73AB8CC2" w14:textId="77777777" w:rsidR="00351D48" w:rsidRPr="00B5617C" w:rsidRDefault="00351D48" w:rsidP="00EC7C0D">
            <w:pPr>
              <w:jc w:val="center"/>
              <w:rPr>
                <w:sz w:val="20"/>
                <w:szCs w:val="20"/>
                <w:lang w:val="mk-MK"/>
              </w:rPr>
            </w:pPr>
            <w:r w:rsidRPr="00B5617C">
              <w:rPr>
                <w:b/>
                <w:bCs/>
                <w:sz w:val="20"/>
                <w:szCs w:val="20"/>
                <w:lang w:val="mk-MK"/>
              </w:rPr>
              <w:t>Крајна вредност</w:t>
            </w:r>
          </w:p>
        </w:tc>
      </w:tr>
      <w:tr w:rsidR="00351D48" w:rsidRPr="00782799" w14:paraId="4169C39E" w14:textId="77777777" w:rsidTr="00092885">
        <w:tc>
          <w:tcPr>
            <w:tcW w:w="5214" w:type="dxa"/>
            <w:vMerge/>
            <w:shd w:val="clear" w:color="auto" w:fill="D9E2F3" w:themeFill="accent1" w:themeFillTint="33"/>
          </w:tcPr>
          <w:p w14:paraId="20D2A172"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4B884FB4"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b/>
                <w:bCs/>
                <w:color w:val="000000"/>
                <w:sz w:val="20"/>
                <w:szCs w:val="20"/>
                <w:lang w:val="mk-MK"/>
              </w:rPr>
              <w:t>2023</w:t>
            </w:r>
          </w:p>
        </w:tc>
        <w:tc>
          <w:tcPr>
            <w:tcW w:w="1383" w:type="dxa"/>
            <w:tcBorders>
              <w:top w:val="nil"/>
              <w:left w:val="nil"/>
              <w:right w:val="nil"/>
            </w:tcBorders>
            <w:shd w:val="clear" w:color="auto" w:fill="D9E2F3" w:themeFill="accent1" w:themeFillTint="33"/>
          </w:tcPr>
          <w:p w14:paraId="47669C8F"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4690F091" w14:textId="77777777" w:rsidR="00351D48" w:rsidRPr="00B5617C" w:rsidRDefault="00351D48" w:rsidP="00EC7C0D">
            <w:pPr>
              <w:jc w:val="center"/>
              <w:rPr>
                <w:sz w:val="20"/>
                <w:szCs w:val="20"/>
                <w:lang w:val="mk-MK"/>
              </w:rPr>
            </w:pPr>
            <w:r w:rsidRPr="00B5617C">
              <w:rPr>
                <w:b/>
                <w:bCs/>
                <w:sz w:val="20"/>
                <w:szCs w:val="20"/>
                <w:lang w:val="mk-MK"/>
              </w:rPr>
              <w:t>2030</w:t>
            </w:r>
          </w:p>
        </w:tc>
      </w:tr>
      <w:tr w:rsidR="00351D48" w:rsidRPr="00374913" w14:paraId="4984B055" w14:textId="77777777" w:rsidTr="00092885">
        <w:trPr>
          <w:trHeight w:val="638"/>
        </w:trPr>
        <w:tc>
          <w:tcPr>
            <w:tcW w:w="5214" w:type="dxa"/>
            <w:shd w:val="clear" w:color="auto" w:fill="D9E2F3" w:themeFill="accent1" w:themeFillTint="33"/>
          </w:tcPr>
          <w:p w14:paraId="11824F2E" w14:textId="02AE9E89" w:rsidR="00351D48" w:rsidRPr="008A23B5" w:rsidRDefault="00351D48" w:rsidP="00EC7C0D">
            <w:pPr>
              <w:rPr>
                <w:rFonts w:cstheme="minorHAnsi"/>
                <w:bCs/>
                <w:sz w:val="20"/>
                <w:szCs w:val="20"/>
              </w:rPr>
            </w:pPr>
            <w:r w:rsidRPr="008A23B5">
              <w:rPr>
                <w:rFonts w:cstheme="minorHAnsi"/>
                <w:bCs/>
                <w:sz w:val="20"/>
                <w:szCs w:val="20"/>
                <w:lang w:val="mk-MK"/>
              </w:rPr>
              <w:t xml:space="preserve">Процент на институции кои ги усогласиле актите за систематизација </w:t>
            </w:r>
            <w:r w:rsidR="00D510F1">
              <w:rPr>
                <w:rFonts w:cstheme="minorHAnsi"/>
                <w:bCs/>
                <w:sz w:val="20"/>
                <w:szCs w:val="20"/>
                <w:lang w:val="mk-MK"/>
              </w:rPr>
              <w:t xml:space="preserve">на работни места </w:t>
            </w:r>
            <w:r w:rsidRPr="008A23B5">
              <w:rPr>
                <w:rFonts w:cstheme="minorHAnsi"/>
                <w:bCs/>
                <w:sz w:val="20"/>
                <w:szCs w:val="20"/>
                <w:lang w:val="mk-MK"/>
              </w:rPr>
              <w:t>во кои се предвидени стандардизирани описи на работните места за хоризонталните функции во администрацијата со професионални компетенции</w:t>
            </w:r>
          </w:p>
        </w:tc>
        <w:tc>
          <w:tcPr>
            <w:tcW w:w="1370" w:type="dxa"/>
            <w:shd w:val="clear" w:color="auto" w:fill="D9E2F3" w:themeFill="accent1" w:themeFillTint="33"/>
            <w:vAlign w:val="center"/>
          </w:tcPr>
          <w:p w14:paraId="4F2455D3" w14:textId="77777777"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0%</w:t>
            </w:r>
          </w:p>
        </w:tc>
        <w:tc>
          <w:tcPr>
            <w:tcW w:w="1383" w:type="dxa"/>
            <w:shd w:val="clear" w:color="auto" w:fill="D9E2F3" w:themeFill="accent1" w:themeFillTint="33"/>
            <w:vAlign w:val="center"/>
          </w:tcPr>
          <w:p w14:paraId="3FFD6FBF" w14:textId="36C7D651" w:rsidR="00351D48" w:rsidRPr="00B5617C" w:rsidRDefault="00272902" w:rsidP="00EC7C0D">
            <w:pPr>
              <w:jc w:val="center"/>
              <w:rPr>
                <w:rFonts w:ascii="Calibri" w:hAnsi="Calibri" w:cs="Calibri"/>
                <w:color w:val="000000"/>
                <w:sz w:val="20"/>
                <w:szCs w:val="20"/>
                <w:lang w:val="mk-MK"/>
              </w:rPr>
            </w:pPr>
            <w:r>
              <w:rPr>
                <w:rFonts w:ascii="Calibri" w:hAnsi="Calibri" w:cs="Calibri"/>
                <w:color w:val="000000"/>
                <w:sz w:val="20"/>
                <w:szCs w:val="20"/>
                <w:lang w:val="mk-MK"/>
              </w:rPr>
              <w:t>5</w:t>
            </w:r>
            <w:r w:rsidR="00351D48" w:rsidRPr="00B5617C">
              <w:rPr>
                <w:rFonts w:ascii="Calibri" w:hAnsi="Calibri" w:cs="Calibri"/>
                <w:color w:val="000000"/>
                <w:sz w:val="20"/>
                <w:szCs w:val="20"/>
                <w:lang w:val="mk-MK"/>
              </w:rPr>
              <w:t>0%</w:t>
            </w:r>
          </w:p>
        </w:tc>
        <w:tc>
          <w:tcPr>
            <w:tcW w:w="1383" w:type="dxa"/>
            <w:shd w:val="clear" w:color="auto" w:fill="D9E2F3" w:themeFill="accent1" w:themeFillTint="33"/>
            <w:vAlign w:val="center"/>
          </w:tcPr>
          <w:p w14:paraId="78B4C208" w14:textId="77777777" w:rsidR="00351D48" w:rsidRPr="00B5617C" w:rsidRDefault="00351D48" w:rsidP="00EC7C0D">
            <w:pPr>
              <w:jc w:val="center"/>
              <w:rPr>
                <w:sz w:val="20"/>
                <w:szCs w:val="20"/>
                <w:lang w:val="mk-MK"/>
              </w:rPr>
            </w:pPr>
            <w:r w:rsidRPr="00B5617C">
              <w:rPr>
                <w:sz w:val="20"/>
                <w:szCs w:val="20"/>
                <w:lang w:val="mk-MK"/>
              </w:rPr>
              <w:t>75%</w:t>
            </w:r>
          </w:p>
        </w:tc>
      </w:tr>
      <w:tr w:rsidR="00351D48" w:rsidRPr="00374913" w14:paraId="63937EB2" w14:textId="77777777" w:rsidTr="00092885">
        <w:trPr>
          <w:trHeight w:val="638"/>
        </w:trPr>
        <w:tc>
          <w:tcPr>
            <w:tcW w:w="5214" w:type="dxa"/>
            <w:shd w:val="clear" w:color="auto" w:fill="D9E2F3" w:themeFill="accent1" w:themeFillTint="33"/>
          </w:tcPr>
          <w:p w14:paraId="026D7770" w14:textId="77777777" w:rsidR="00351D48" w:rsidRPr="008A23B5" w:rsidRDefault="00351D48" w:rsidP="00EC7C0D">
            <w:pPr>
              <w:rPr>
                <w:rFonts w:cstheme="minorHAnsi"/>
                <w:bCs/>
                <w:sz w:val="20"/>
                <w:szCs w:val="20"/>
                <w:lang w:val="mk-MK"/>
              </w:rPr>
            </w:pPr>
            <w:r w:rsidRPr="008A23B5">
              <w:rPr>
                <w:rFonts w:cstheme="minorHAnsi"/>
                <w:bCs/>
                <w:sz w:val="20"/>
                <w:szCs w:val="20"/>
              </w:rPr>
              <w:t>Број на новоразвиени професионални компетенции</w:t>
            </w:r>
          </w:p>
        </w:tc>
        <w:tc>
          <w:tcPr>
            <w:tcW w:w="1370" w:type="dxa"/>
            <w:shd w:val="clear" w:color="auto" w:fill="D9E2F3" w:themeFill="accent1" w:themeFillTint="33"/>
            <w:vAlign w:val="center"/>
          </w:tcPr>
          <w:p w14:paraId="3C8BACE6" w14:textId="597F0BC1" w:rsidR="00351D48" w:rsidRPr="00B5617C" w:rsidRDefault="00351D48"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5</w:t>
            </w:r>
            <w:r w:rsidR="00537256" w:rsidRPr="00272902">
              <w:rPr>
                <w:rFonts w:cstheme="minorHAnsi"/>
                <w:sz w:val="20"/>
                <w:szCs w:val="20"/>
                <w:lang w:val="mk-MK" w:eastAsia="mk-MK"/>
              </w:rPr>
              <w:t xml:space="preserve"> компетенции</w:t>
            </w:r>
          </w:p>
        </w:tc>
        <w:tc>
          <w:tcPr>
            <w:tcW w:w="1383" w:type="dxa"/>
            <w:shd w:val="clear" w:color="auto" w:fill="D9E2F3" w:themeFill="accent1" w:themeFillTint="33"/>
            <w:vAlign w:val="center"/>
          </w:tcPr>
          <w:p w14:paraId="5574C9A6" w14:textId="77777777" w:rsidR="00351D48" w:rsidRPr="00272902" w:rsidRDefault="00351D48" w:rsidP="00EC7C0D">
            <w:pPr>
              <w:jc w:val="center"/>
              <w:rPr>
                <w:rFonts w:ascii="Calibri" w:hAnsi="Calibri" w:cs="Calibri"/>
                <w:color w:val="000000"/>
                <w:sz w:val="20"/>
                <w:szCs w:val="20"/>
                <w:lang w:val="mk-MK"/>
              </w:rPr>
            </w:pPr>
            <w:r w:rsidRPr="00272902">
              <w:rPr>
                <w:rFonts w:ascii="Calibri" w:hAnsi="Calibri" w:cs="Calibri"/>
                <w:color w:val="000000"/>
                <w:sz w:val="20"/>
                <w:szCs w:val="20"/>
                <w:lang w:val="mk-MK"/>
              </w:rPr>
              <w:t xml:space="preserve">5 повеќе од почетната вредност </w:t>
            </w:r>
          </w:p>
          <w:p w14:paraId="7C68CAD4" w14:textId="4284267C" w:rsidR="00351D48" w:rsidRPr="00272902" w:rsidRDefault="00351D48" w:rsidP="00EC7C0D">
            <w:pPr>
              <w:jc w:val="center"/>
              <w:rPr>
                <w:rFonts w:ascii="Calibri" w:hAnsi="Calibri" w:cs="Calibri"/>
                <w:color w:val="000000"/>
                <w:sz w:val="20"/>
                <w:szCs w:val="20"/>
                <w:lang w:val="mk-MK"/>
              </w:rPr>
            </w:pPr>
            <w:r w:rsidRPr="00272902">
              <w:rPr>
                <w:rFonts w:ascii="Calibri" w:hAnsi="Calibri" w:cs="Calibri"/>
                <w:color w:val="000000"/>
                <w:sz w:val="20"/>
                <w:szCs w:val="20"/>
                <w:lang w:val="mk-MK"/>
              </w:rPr>
              <w:t>(10</w:t>
            </w:r>
            <w:r w:rsidR="00272902" w:rsidRPr="00272902">
              <w:rPr>
                <w:rFonts w:cstheme="minorHAnsi"/>
                <w:sz w:val="20"/>
                <w:szCs w:val="20"/>
                <w:lang w:val="mk-MK" w:eastAsia="mk-MK"/>
              </w:rPr>
              <w:t xml:space="preserve"> компетенции</w:t>
            </w:r>
            <w:r w:rsidR="00272902" w:rsidRPr="00272902">
              <w:rPr>
                <w:rFonts w:ascii="Calibri" w:hAnsi="Calibri" w:cs="Calibri"/>
                <w:color w:val="000000"/>
                <w:sz w:val="20"/>
                <w:szCs w:val="20"/>
                <w:lang w:val="mk-MK"/>
              </w:rPr>
              <w:t xml:space="preserve">) </w:t>
            </w:r>
          </w:p>
        </w:tc>
        <w:tc>
          <w:tcPr>
            <w:tcW w:w="1383" w:type="dxa"/>
            <w:shd w:val="clear" w:color="auto" w:fill="D9E2F3" w:themeFill="accent1" w:themeFillTint="33"/>
            <w:vAlign w:val="center"/>
          </w:tcPr>
          <w:p w14:paraId="5B3A2BF0" w14:textId="24DB24B4" w:rsidR="00351D48" w:rsidRPr="00272902" w:rsidRDefault="00351D48" w:rsidP="00EC7C0D">
            <w:pPr>
              <w:jc w:val="center"/>
              <w:rPr>
                <w:sz w:val="20"/>
                <w:szCs w:val="20"/>
                <w:lang w:val="mk-MK"/>
              </w:rPr>
            </w:pPr>
            <w:r w:rsidRPr="00272902">
              <w:rPr>
                <w:sz w:val="20"/>
                <w:szCs w:val="20"/>
                <w:lang w:val="mk-MK"/>
              </w:rPr>
              <w:t xml:space="preserve">3 повеќе од </w:t>
            </w:r>
            <w:r w:rsidR="00887C2C" w:rsidRPr="00272902">
              <w:rPr>
                <w:sz w:val="20"/>
                <w:szCs w:val="20"/>
                <w:lang w:val="mk-MK"/>
              </w:rPr>
              <w:t>преодната</w:t>
            </w:r>
            <w:r w:rsidRPr="00272902">
              <w:rPr>
                <w:sz w:val="20"/>
                <w:szCs w:val="20"/>
                <w:lang w:val="mk-MK"/>
              </w:rPr>
              <w:t xml:space="preserve"> вредност </w:t>
            </w:r>
          </w:p>
          <w:p w14:paraId="61B47904" w14:textId="42098A2B" w:rsidR="00351D48" w:rsidRPr="00272902" w:rsidRDefault="00272902" w:rsidP="00272902">
            <w:pPr>
              <w:jc w:val="center"/>
              <w:rPr>
                <w:sz w:val="20"/>
                <w:szCs w:val="20"/>
                <w:highlight w:val="yellow"/>
                <w:lang w:val="mk-MK"/>
              </w:rPr>
            </w:pPr>
            <w:r w:rsidRPr="00272902">
              <w:rPr>
                <w:sz w:val="20"/>
                <w:szCs w:val="20"/>
                <w:lang w:val="mk-MK"/>
              </w:rPr>
              <w:t>(</w:t>
            </w:r>
            <w:r w:rsidR="00351D48" w:rsidRPr="00272902">
              <w:rPr>
                <w:sz w:val="20"/>
                <w:szCs w:val="20"/>
                <w:lang w:val="mk-MK"/>
              </w:rPr>
              <w:t xml:space="preserve">13 </w:t>
            </w:r>
            <w:r w:rsidRPr="00272902">
              <w:rPr>
                <w:rFonts w:cstheme="minorHAnsi"/>
                <w:sz w:val="20"/>
                <w:szCs w:val="20"/>
                <w:lang w:val="mk-MK" w:eastAsia="mk-MK"/>
              </w:rPr>
              <w:t>компетенции)</w:t>
            </w:r>
          </w:p>
        </w:tc>
      </w:tr>
      <w:tr w:rsidR="00351D48" w:rsidRPr="008A23B5" w14:paraId="6BC37C11" w14:textId="77777777" w:rsidTr="00092885">
        <w:tc>
          <w:tcPr>
            <w:tcW w:w="9350" w:type="dxa"/>
            <w:gridSpan w:val="4"/>
            <w:shd w:val="clear" w:color="auto" w:fill="D9E2F3" w:themeFill="accent1" w:themeFillTint="33"/>
          </w:tcPr>
          <w:p w14:paraId="2C705040" w14:textId="77777777" w:rsidR="00351D48" w:rsidRPr="008A23B5" w:rsidRDefault="00351D48" w:rsidP="00EC7C0D">
            <w:pPr>
              <w:jc w:val="both"/>
              <w:rPr>
                <w:rFonts w:cstheme="minorHAnsi"/>
                <w:b/>
                <w:bCs/>
                <w:highlight w:val="yellow"/>
                <w:lang w:val="mk-MK"/>
              </w:rPr>
            </w:pPr>
            <w:r w:rsidRPr="008A23B5">
              <w:rPr>
                <w:rFonts w:cstheme="minorHAnsi"/>
                <w:b/>
                <w:bCs/>
              </w:rPr>
              <w:t>М</w:t>
            </w:r>
            <w:r>
              <w:rPr>
                <w:rFonts w:cstheme="minorHAnsi"/>
                <w:b/>
                <w:bCs/>
                <w:lang w:val="mk-MK"/>
              </w:rPr>
              <w:t>ерка</w:t>
            </w:r>
            <w:r w:rsidRPr="008A23B5">
              <w:rPr>
                <w:rFonts w:cstheme="minorHAnsi"/>
                <w:b/>
                <w:bCs/>
              </w:rPr>
              <w:t xml:space="preserve"> 2.2.5. Развој на политика за задржување на стручни и компетентни кадри во јавната администрација</w:t>
            </w:r>
          </w:p>
        </w:tc>
      </w:tr>
      <w:tr w:rsidR="00351D48" w:rsidRPr="00782799" w14:paraId="595228C5" w14:textId="77777777" w:rsidTr="00092885">
        <w:tc>
          <w:tcPr>
            <w:tcW w:w="5214" w:type="dxa"/>
            <w:vMerge w:val="restart"/>
            <w:shd w:val="clear" w:color="auto" w:fill="D9E2F3" w:themeFill="accent1" w:themeFillTint="33"/>
            <w:vAlign w:val="center"/>
          </w:tcPr>
          <w:p w14:paraId="457B89B1"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2F5E2C56"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4AD79B56"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4C6EFFA5"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0FF0ACA9" w14:textId="77777777" w:rsidTr="00092885">
        <w:tc>
          <w:tcPr>
            <w:tcW w:w="5214" w:type="dxa"/>
            <w:vMerge/>
            <w:shd w:val="clear" w:color="auto" w:fill="D9E2F3" w:themeFill="accent1" w:themeFillTint="33"/>
          </w:tcPr>
          <w:p w14:paraId="3FF2E083"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639BDE59"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Pr>
                <w:rFonts w:ascii="Calibri" w:hAnsi="Calibri" w:cs="Calibri"/>
                <w:b/>
                <w:bCs/>
                <w:color w:val="000000"/>
                <w:sz w:val="20"/>
                <w:szCs w:val="20"/>
                <w:lang w:val="mk-MK"/>
              </w:rPr>
              <w:t>2</w:t>
            </w:r>
          </w:p>
        </w:tc>
        <w:tc>
          <w:tcPr>
            <w:tcW w:w="1383" w:type="dxa"/>
            <w:tcBorders>
              <w:top w:val="nil"/>
              <w:left w:val="nil"/>
              <w:right w:val="nil"/>
            </w:tcBorders>
            <w:shd w:val="clear" w:color="auto" w:fill="D9E2F3" w:themeFill="accent1" w:themeFillTint="33"/>
          </w:tcPr>
          <w:p w14:paraId="6DADF796" w14:textId="77777777"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46002DFA" w14:textId="77777777" w:rsidR="00351D48" w:rsidRPr="00782799" w:rsidRDefault="00351D48" w:rsidP="00EC7C0D">
            <w:pPr>
              <w:jc w:val="center"/>
              <w:rPr>
                <w:sz w:val="20"/>
                <w:szCs w:val="20"/>
                <w:lang w:val="mk-MK"/>
              </w:rPr>
            </w:pPr>
            <w:r w:rsidRPr="00782799">
              <w:rPr>
                <w:b/>
                <w:bCs/>
                <w:sz w:val="20"/>
                <w:szCs w:val="20"/>
                <w:lang w:val="mk-MK"/>
              </w:rPr>
              <w:t>2030</w:t>
            </w:r>
          </w:p>
        </w:tc>
      </w:tr>
      <w:tr w:rsidR="00351D48" w:rsidRPr="00374913" w14:paraId="659996CB" w14:textId="77777777" w:rsidTr="00092885">
        <w:trPr>
          <w:trHeight w:val="638"/>
        </w:trPr>
        <w:tc>
          <w:tcPr>
            <w:tcW w:w="5214" w:type="dxa"/>
            <w:shd w:val="clear" w:color="auto" w:fill="D9E2F3" w:themeFill="accent1" w:themeFillTint="33"/>
          </w:tcPr>
          <w:p w14:paraId="1F1C84E5" w14:textId="77777777" w:rsidR="00351D48" w:rsidRPr="008A23B5" w:rsidRDefault="00351D48" w:rsidP="00EC7C0D">
            <w:pPr>
              <w:rPr>
                <w:rFonts w:cstheme="minorHAnsi"/>
                <w:bCs/>
                <w:sz w:val="20"/>
                <w:szCs w:val="20"/>
              </w:rPr>
            </w:pPr>
            <w:r w:rsidRPr="008A23B5">
              <w:rPr>
                <w:rFonts w:cstheme="minorHAnsi"/>
                <w:bCs/>
                <w:sz w:val="20"/>
                <w:szCs w:val="20"/>
              </w:rPr>
              <w:t>Број на заминувања на вработени во јавната администрација</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231332" w14:textId="77777777" w:rsidR="00351D48" w:rsidRPr="00887C2C" w:rsidRDefault="00351D48" w:rsidP="00EC7C0D">
            <w:pPr>
              <w:jc w:val="center"/>
              <w:rPr>
                <w:rFonts w:cstheme="minorHAnsi"/>
                <w:color w:val="000000"/>
                <w:sz w:val="20"/>
                <w:szCs w:val="20"/>
                <w:highlight w:val="yellow"/>
                <w:lang w:val="mk-MK"/>
              </w:rPr>
            </w:pPr>
            <w:r w:rsidRPr="00887C2C">
              <w:rPr>
                <w:rFonts w:cstheme="minorHAnsi"/>
                <w:sz w:val="20"/>
                <w:szCs w:val="20"/>
                <w:lang w:eastAsia="mk-MK"/>
              </w:rPr>
              <w:t xml:space="preserve">2714 </w:t>
            </w:r>
            <w:r w:rsidRPr="00887C2C">
              <w:rPr>
                <w:rFonts w:cstheme="minorHAnsi"/>
                <w:sz w:val="20"/>
                <w:szCs w:val="20"/>
                <w:lang w:val="mk-MK" w:eastAsia="mk-MK"/>
              </w:rPr>
              <w:t>заминувања</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A41C02" w14:textId="77777777" w:rsidR="00351D48" w:rsidRPr="00887C2C" w:rsidRDefault="00351D48" w:rsidP="00EC7C0D">
            <w:pPr>
              <w:jc w:val="center"/>
              <w:rPr>
                <w:rFonts w:cstheme="minorHAnsi"/>
                <w:color w:val="000000"/>
                <w:sz w:val="20"/>
                <w:szCs w:val="20"/>
                <w:highlight w:val="yellow"/>
                <w:lang w:val="mk-MK"/>
              </w:rPr>
            </w:pPr>
            <w:r w:rsidRPr="00887C2C">
              <w:rPr>
                <w:rFonts w:cstheme="minorHAnsi"/>
                <w:sz w:val="20"/>
                <w:szCs w:val="20"/>
                <w:lang w:val="mk-MK" w:eastAsia="mk-MK"/>
              </w:rPr>
              <w:t>2000 заминувања</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3776E" w14:textId="77777777" w:rsidR="00351D48" w:rsidRPr="00887C2C" w:rsidRDefault="00351D48" w:rsidP="00EC7C0D">
            <w:pPr>
              <w:jc w:val="center"/>
              <w:rPr>
                <w:rFonts w:cstheme="minorHAnsi"/>
                <w:sz w:val="20"/>
                <w:szCs w:val="20"/>
                <w:highlight w:val="yellow"/>
                <w:lang w:val="mk-MK"/>
              </w:rPr>
            </w:pPr>
            <w:r w:rsidRPr="00887C2C">
              <w:rPr>
                <w:rFonts w:cstheme="minorHAnsi"/>
                <w:sz w:val="20"/>
                <w:szCs w:val="20"/>
                <w:lang w:val="mk-MK" w:eastAsia="mk-MK"/>
              </w:rPr>
              <w:t>1250 заминувања</w:t>
            </w:r>
          </w:p>
        </w:tc>
      </w:tr>
      <w:tr w:rsidR="00351D48" w:rsidRPr="00AD5EED" w14:paraId="7B42AE15" w14:textId="77777777" w:rsidTr="00092885">
        <w:tc>
          <w:tcPr>
            <w:tcW w:w="9350" w:type="dxa"/>
            <w:gridSpan w:val="4"/>
            <w:shd w:val="clear" w:color="auto" w:fill="D9E2F3" w:themeFill="accent1" w:themeFillTint="33"/>
          </w:tcPr>
          <w:p w14:paraId="503ACFCC" w14:textId="77777777" w:rsidR="00351D48" w:rsidRPr="00AD5EED" w:rsidRDefault="00351D48" w:rsidP="00EC7C0D">
            <w:pPr>
              <w:jc w:val="both"/>
              <w:rPr>
                <w:rFonts w:cstheme="minorHAnsi"/>
                <w:b/>
                <w:bCs/>
                <w:highlight w:val="yellow"/>
                <w:lang w:val="mk-MK"/>
              </w:rPr>
            </w:pPr>
            <w:r w:rsidRPr="00AD5EED">
              <w:rPr>
                <w:rFonts w:cstheme="minorHAnsi"/>
                <w:b/>
                <w:bCs/>
              </w:rPr>
              <w:t>М</w:t>
            </w:r>
            <w:r w:rsidRPr="00AD5EED">
              <w:rPr>
                <w:rFonts w:cstheme="minorHAnsi"/>
                <w:b/>
                <w:bCs/>
                <w:lang w:val="mk-MK"/>
              </w:rPr>
              <w:t xml:space="preserve">ерка 2.2.6. </w:t>
            </w:r>
            <w:r w:rsidRPr="00AD5EED">
              <w:rPr>
                <w:rFonts w:cstheme="minorHAnsi"/>
                <w:b/>
                <w:bCs/>
              </w:rPr>
              <w:t>Јакнење на улогата на Мрежата за управување со човечки ресурси</w:t>
            </w:r>
          </w:p>
        </w:tc>
      </w:tr>
      <w:tr w:rsidR="00351D48" w:rsidRPr="00782799" w14:paraId="439E5B12" w14:textId="77777777" w:rsidTr="00092885">
        <w:tc>
          <w:tcPr>
            <w:tcW w:w="5214" w:type="dxa"/>
            <w:vMerge w:val="restart"/>
            <w:shd w:val="clear" w:color="auto" w:fill="D9E2F3" w:themeFill="accent1" w:themeFillTint="33"/>
            <w:vAlign w:val="center"/>
          </w:tcPr>
          <w:p w14:paraId="481D47D3" w14:textId="77777777" w:rsidR="00351D48" w:rsidRPr="00782799" w:rsidRDefault="00351D48"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26594E95"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4B28774E" w14:textId="77777777" w:rsidR="00351D48" w:rsidRPr="00782799" w:rsidRDefault="00351D48"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6A75C89F" w14:textId="77777777" w:rsidR="00351D48" w:rsidRPr="00782799" w:rsidRDefault="00351D48" w:rsidP="00EC7C0D">
            <w:pPr>
              <w:jc w:val="center"/>
              <w:rPr>
                <w:sz w:val="20"/>
                <w:szCs w:val="20"/>
                <w:highlight w:val="yellow"/>
                <w:lang w:val="mk-MK"/>
              </w:rPr>
            </w:pPr>
            <w:r w:rsidRPr="00782799">
              <w:rPr>
                <w:b/>
                <w:bCs/>
                <w:sz w:val="20"/>
                <w:szCs w:val="20"/>
                <w:lang w:val="mk-MK"/>
              </w:rPr>
              <w:t>Крајна вредност</w:t>
            </w:r>
          </w:p>
        </w:tc>
      </w:tr>
      <w:tr w:rsidR="00351D48" w:rsidRPr="00782799" w14:paraId="2BA360BF" w14:textId="77777777" w:rsidTr="00092885">
        <w:tc>
          <w:tcPr>
            <w:tcW w:w="5214" w:type="dxa"/>
            <w:vMerge/>
            <w:shd w:val="clear" w:color="auto" w:fill="D9E2F3" w:themeFill="accent1" w:themeFillTint="33"/>
          </w:tcPr>
          <w:p w14:paraId="2D189D2E" w14:textId="77777777" w:rsidR="00351D48" w:rsidRPr="00782799" w:rsidRDefault="00351D48" w:rsidP="00EC7C0D">
            <w:pPr>
              <w:rPr>
                <w:rFonts w:cstheme="minorHAnsi"/>
                <w:sz w:val="20"/>
                <w:szCs w:val="20"/>
              </w:rPr>
            </w:pPr>
          </w:p>
        </w:tc>
        <w:tc>
          <w:tcPr>
            <w:tcW w:w="1370" w:type="dxa"/>
            <w:tcBorders>
              <w:top w:val="nil"/>
              <w:right w:val="nil"/>
            </w:tcBorders>
            <w:shd w:val="clear" w:color="auto" w:fill="D9E2F3" w:themeFill="accent1" w:themeFillTint="33"/>
          </w:tcPr>
          <w:p w14:paraId="2452A6CF" w14:textId="4F330E44"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sidR="00124E37">
              <w:rPr>
                <w:rFonts w:ascii="Calibri" w:hAnsi="Calibri" w:cs="Calibri"/>
                <w:b/>
                <w:bCs/>
                <w:color w:val="000000"/>
                <w:sz w:val="20"/>
                <w:szCs w:val="20"/>
                <w:lang w:val="mk-MK"/>
              </w:rPr>
              <w:t>1</w:t>
            </w:r>
          </w:p>
        </w:tc>
        <w:tc>
          <w:tcPr>
            <w:tcW w:w="1383" w:type="dxa"/>
            <w:tcBorders>
              <w:top w:val="nil"/>
              <w:left w:val="nil"/>
              <w:right w:val="nil"/>
            </w:tcBorders>
            <w:shd w:val="clear" w:color="auto" w:fill="D9E2F3" w:themeFill="accent1" w:themeFillTint="33"/>
          </w:tcPr>
          <w:p w14:paraId="11D6166A" w14:textId="12FCDCD2" w:rsidR="00351D48" w:rsidRPr="00782799" w:rsidRDefault="00351D48"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sidR="00F7137A">
              <w:rPr>
                <w:rFonts w:ascii="Calibri" w:hAnsi="Calibri" w:cs="Calibri"/>
                <w:b/>
                <w:bCs/>
                <w:color w:val="000000"/>
                <w:sz w:val="20"/>
                <w:szCs w:val="20"/>
                <w:lang w:val="mk-MK"/>
              </w:rPr>
              <w:t>6</w:t>
            </w:r>
          </w:p>
        </w:tc>
        <w:tc>
          <w:tcPr>
            <w:tcW w:w="1383" w:type="dxa"/>
            <w:tcBorders>
              <w:top w:val="nil"/>
              <w:left w:val="nil"/>
            </w:tcBorders>
            <w:shd w:val="clear" w:color="auto" w:fill="D9E2F3" w:themeFill="accent1" w:themeFillTint="33"/>
          </w:tcPr>
          <w:p w14:paraId="5D26915C" w14:textId="77777777" w:rsidR="00351D48" w:rsidRPr="00782799" w:rsidRDefault="00351D48" w:rsidP="00EC7C0D">
            <w:pPr>
              <w:jc w:val="center"/>
              <w:rPr>
                <w:sz w:val="20"/>
                <w:szCs w:val="20"/>
                <w:lang w:val="mk-MK"/>
              </w:rPr>
            </w:pPr>
            <w:r w:rsidRPr="00782799">
              <w:rPr>
                <w:b/>
                <w:bCs/>
                <w:sz w:val="20"/>
                <w:szCs w:val="20"/>
                <w:lang w:val="mk-MK"/>
              </w:rPr>
              <w:t>2030</w:t>
            </w:r>
          </w:p>
        </w:tc>
      </w:tr>
      <w:tr w:rsidR="00351D48" w:rsidRPr="00374913" w14:paraId="7AE9F672" w14:textId="77777777" w:rsidTr="00092885">
        <w:trPr>
          <w:trHeight w:val="638"/>
        </w:trPr>
        <w:tc>
          <w:tcPr>
            <w:tcW w:w="5214" w:type="dxa"/>
            <w:shd w:val="clear" w:color="auto" w:fill="D9E2F3" w:themeFill="accent1" w:themeFillTint="33"/>
          </w:tcPr>
          <w:p w14:paraId="35C34F90" w14:textId="11EDE4E6" w:rsidR="00351D48" w:rsidRPr="00FD47A9" w:rsidRDefault="003D5BCF" w:rsidP="00EC7C0D">
            <w:pPr>
              <w:rPr>
                <w:rFonts w:cstheme="minorHAnsi"/>
                <w:bCs/>
                <w:sz w:val="20"/>
                <w:szCs w:val="20"/>
              </w:rPr>
            </w:pPr>
            <w:r w:rsidRPr="003D5BCF">
              <w:rPr>
                <w:rFonts w:cstheme="minorHAnsi"/>
                <w:bCs/>
                <w:sz w:val="20"/>
                <w:szCs w:val="20"/>
              </w:rPr>
              <w:t>Број на одржани заеднички средби на членовите на Мрежата за УЧР</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D0086D" w14:textId="33AEB3DA" w:rsidR="00351D48" w:rsidRPr="00374913" w:rsidRDefault="005B383C" w:rsidP="00EC7C0D">
            <w:pPr>
              <w:jc w:val="center"/>
              <w:rPr>
                <w:rFonts w:ascii="Calibri" w:hAnsi="Calibri" w:cs="Calibri"/>
                <w:color w:val="000000"/>
                <w:sz w:val="20"/>
                <w:szCs w:val="20"/>
                <w:highlight w:val="yellow"/>
                <w:lang w:val="mk-MK"/>
              </w:rPr>
            </w:pPr>
            <w:r w:rsidRPr="005B383C">
              <w:rPr>
                <w:rFonts w:ascii="Calibri" w:hAnsi="Calibri" w:cs="Calibri"/>
                <w:color w:val="000000"/>
                <w:sz w:val="20"/>
                <w:szCs w:val="20"/>
                <w:lang w:val="mk-MK"/>
              </w:rPr>
              <w:t>2 одржани средби/конференци</w:t>
            </w:r>
            <w:r w:rsidR="001B68C6">
              <w:rPr>
                <w:rFonts w:ascii="Calibri" w:hAnsi="Calibri" w:cs="Calibri"/>
                <w:color w:val="000000"/>
                <w:sz w:val="20"/>
                <w:szCs w:val="20"/>
                <w:lang w:val="mk-MK"/>
              </w:rPr>
              <w:t>и на членови на М</w:t>
            </w:r>
            <w:r w:rsidR="001B68C6" w:rsidRPr="005102CB">
              <w:rPr>
                <w:rFonts w:ascii="Calibri" w:hAnsi="Calibri" w:cs="Calibri"/>
                <w:color w:val="000000"/>
                <w:sz w:val="20"/>
                <w:szCs w:val="20"/>
                <w:lang w:val="mk-MK"/>
              </w:rPr>
              <w:t>режата</w:t>
            </w:r>
            <w:r w:rsidR="001B68C6" w:rsidRPr="003D5BCF">
              <w:rPr>
                <w:rFonts w:cstheme="minorHAnsi"/>
                <w:bCs/>
                <w:sz w:val="20"/>
                <w:szCs w:val="20"/>
              </w:rPr>
              <w:t xml:space="preserve"> за УЧР</w:t>
            </w:r>
            <w:r w:rsidR="001B68C6" w:rsidRPr="005B383C" w:rsidDel="001B68C6">
              <w:rPr>
                <w:rFonts w:ascii="Calibri" w:hAnsi="Calibri" w:cs="Calibri"/>
                <w:color w:val="000000"/>
                <w:sz w:val="20"/>
                <w:szCs w:val="20"/>
                <w:lang w:val="mk-MK"/>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01184" w14:textId="4B7D6733" w:rsidR="00351D48" w:rsidRPr="00537256" w:rsidRDefault="00F7137A" w:rsidP="00EC7C0D">
            <w:pPr>
              <w:jc w:val="center"/>
              <w:rPr>
                <w:rFonts w:ascii="Calibri" w:hAnsi="Calibri" w:cs="Calibri"/>
                <w:color w:val="000000"/>
                <w:sz w:val="20"/>
                <w:szCs w:val="20"/>
                <w:lang w:val="mk-MK"/>
              </w:rPr>
            </w:pPr>
            <w:r>
              <w:rPr>
                <w:rFonts w:ascii="Calibri" w:hAnsi="Calibri" w:cs="Calibri"/>
                <w:color w:val="000000"/>
                <w:sz w:val="20"/>
                <w:szCs w:val="20"/>
                <w:lang w:val="mk-MK"/>
              </w:rPr>
              <w:t>7 средби</w:t>
            </w:r>
            <w:r w:rsidR="001B68C6">
              <w:rPr>
                <w:rFonts w:ascii="Calibri" w:hAnsi="Calibri" w:cs="Calibri"/>
                <w:color w:val="000000"/>
                <w:sz w:val="20"/>
                <w:szCs w:val="20"/>
                <w:lang w:val="mk-MK"/>
              </w:rPr>
              <w:t>/конференции</w:t>
            </w:r>
            <w:r w:rsidR="00F85746">
              <w:rPr>
                <w:rFonts w:ascii="Calibri" w:hAnsi="Calibri" w:cs="Calibri"/>
                <w:color w:val="000000"/>
                <w:sz w:val="20"/>
                <w:szCs w:val="20"/>
                <w:lang w:val="mk-MK"/>
              </w:rPr>
              <w:t xml:space="preserve"> на членови на М</w:t>
            </w:r>
            <w:r w:rsidR="005102CB" w:rsidRPr="005102CB">
              <w:rPr>
                <w:rFonts w:ascii="Calibri" w:hAnsi="Calibri" w:cs="Calibri"/>
                <w:color w:val="000000"/>
                <w:sz w:val="20"/>
                <w:szCs w:val="20"/>
                <w:lang w:val="mk-MK"/>
              </w:rPr>
              <w:t>режата</w:t>
            </w:r>
            <w:r w:rsidRPr="003D5BCF">
              <w:rPr>
                <w:rFonts w:cstheme="minorHAnsi"/>
                <w:bCs/>
                <w:sz w:val="20"/>
                <w:szCs w:val="20"/>
              </w:rPr>
              <w:t xml:space="preserve"> за УЧР</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CDF94" w14:textId="6BFB77B5" w:rsidR="00351D48" w:rsidRPr="00537256" w:rsidRDefault="00F7137A" w:rsidP="00EC7C0D">
            <w:pPr>
              <w:jc w:val="center"/>
              <w:rPr>
                <w:sz w:val="20"/>
                <w:szCs w:val="20"/>
                <w:lang w:val="mk-MK"/>
              </w:rPr>
            </w:pPr>
            <w:r>
              <w:rPr>
                <w:rFonts w:ascii="Calibri" w:hAnsi="Calibri" w:cs="Calibri"/>
                <w:color w:val="000000"/>
                <w:sz w:val="20"/>
                <w:szCs w:val="20"/>
                <w:lang w:val="mk-MK"/>
              </w:rPr>
              <w:t>10 средби</w:t>
            </w:r>
            <w:r w:rsidR="001B68C6">
              <w:rPr>
                <w:rFonts w:ascii="Calibri" w:hAnsi="Calibri" w:cs="Calibri"/>
                <w:color w:val="000000"/>
                <w:sz w:val="20"/>
                <w:szCs w:val="20"/>
                <w:lang w:val="mk-MK"/>
              </w:rPr>
              <w:t>/конференции</w:t>
            </w:r>
            <w:r w:rsidR="00F85746">
              <w:rPr>
                <w:rFonts w:ascii="Calibri" w:hAnsi="Calibri" w:cs="Calibri"/>
                <w:color w:val="000000"/>
                <w:sz w:val="20"/>
                <w:szCs w:val="20"/>
                <w:lang w:val="mk-MK"/>
              </w:rPr>
              <w:t xml:space="preserve"> на членови на М</w:t>
            </w:r>
            <w:r w:rsidRPr="005102CB">
              <w:rPr>
                <w:rFonts w:ascii="Calibri" w:hAnsi="Calibri" w:cs="Calibri"/>
                <w:color w:val="000000"/>
                <w:sz w:val="20"/>
                <w:szCs w:val="20"/>
                <w:lang w:val="mk-MK"/>
              </w:rPr>
              <w:t>режата</w:t>
            </w:r>
            <w:r w:rsidRPr="003D5BCF">
              <w:rPr>
                <w:rFonts w:cstheme="minorHAnsi"/>
                <w:bCs/>
                <w:sz w:val="20"/>
                <w:szCs w:val="20"/>
              </w:rPr>
              <w:t xml:space="preserve"> за УЧР</w:t>
            </w:r>
          </w:p>
        </w:tc>
      </w:tr>
    </w:tbl>
    <w:p w14:paraId="19685627" w14:textId="77777777" w:rsidR="00777F37" w:rsidRDefault="00777F37" w:rsidP="00106B99">
      <w:pPr>
        <w:jc w:val="both"/>
        <w:rPr>
          <w:rFonts w:cstheme="minorHAnsi"/>
          <w:lang w:val="mk-MK"/>
        </w:rPr>
      </w:pPr>
    </w:p>
    <w:p w14:paraId="3D9CBAE9" w14:textId="77777777" w:rsidR="00FD47A9" w:rsidRDefault="00FD47A9" w:rsidP="00106B99">
      <w:pPr>
        <w:jc w:val="both"/>
        <w:rPr>
          <w:rFonts w:cstheme="minorHAnsi"/>
          <w:lang w:val="mk-MK"/>
        </w:rPr>
      </w:pPr>
    </w:p>
    <w:p w14:paraId="6D032674" w14:textId="77777777" w:rsidR="00FD47A9" w:rsidRPr="007B413E" w:rsidRDefault="00FD47A9" w:rsidP="00106B99">
      <w:pPr>
        <w:jc w:val="both"/>
        <w:rPr>
          <w:rFonts w:cstheme="minorHAnsi"/>
          <w:lang w:val="mk-MK"/>
        </w:rPr>
      </w:pPr>
    </w:p>
    <w:p w14:paraId="52A35FDE" w14:textId="0D7B4CE2" w:rsidR="00106B99" w:rsidRPr="007B413E" w:rsidRDefault="00106B99" w:rsidP="00106B99">
      <w:pPr>
        <w:jc w:val="both"/>
        <w:rPr>
          <w:rFonts w:cstheme="minorHAnsi"/>
          <w:i/>
          <w:u w:val="single"/>
          <w:lang w:val="mk-MK"/>
        </w:rPr>
      </w:pPr>
      <w:r w:rsidRPr="007B413E">
        <w:rPr>
          <w:rFonts w:cstheme="minorHAnsi"/>
          <w:b/>
          <w:u w:val="single"/>
          <w:lang w:val="mk-MK"/>
        </w:rPr>
        <w:t xml:space="preserve">Посебна цел </w:t>
      </w:r>
      <w:r w:rsidR="00B951DF">
        <w:rPr>
          <w:rFonts w:cstheme="minorHAnsi"/>
          <w:b/>
          <w:u w:val="single"/>
          <w:lang w:val="mk-MK"/>
        </w:rPr>
        <w:t>2.</w:t>
      </w:r>
      <w:r w:rsidRPr="007B413E">
        <w:rPr>
          <w:rFonts w:cstheme="minorHAnsi"/>
          <w:b/>
          <w:u w:val="single"/>
          <w:lang w:val="mk-MK"/>
        </w:rPr>
        <w:t>3: Обезбедување квалитет и стручност на јавната администрација</w:t>
      </w:r>
      <w:r w:rsidRPr="007B413E">
        <w:rPr>
          <w:rFonts w:cstheme="minorHAnsi"/>
          <w:i/>
          <w:u w:val="single"/>
          <w:lang w:val="mk-MK"/>
        </w:rPr>
        <w:t xml:space="preserve"> </w:t>
      </w:r>
    </w:p>
    <w:p w14:paraId="60A1BA10" w14:textId="0FFBE1D0" w:rsidR="00106B99" w:rsidRPr="007B413E" w:rsidRDefault="00106B99" w:rsidP="00106B99">
      <w:pPr>
        <w:jc w:val="both"/>
        <w:rPr>
          <w:rFonts w:cstheme="minorHAnsi"/>
          <w:lang w:val="mk-MK"/>
        </w:rPr>
      </w:pPr>
      <w:r w:rsidRPr="007B413E">
        <w:rPr>
          <w:rFonts w:cstheme="minorHAnsi"/>
          <w:lang w:val="mk-MK"/>
        </w:rPr>
        <w:lastRenderedPageBreak/>
        <w:t xml:space="preserve">Оваа посебна цел се постигнува со континуиран, постојан процес на стручно усовршување на јавната администрација, </w:t>
      </w:r>
      <w:r w:rsidR="006D1865">
        <w:rPr>
          <w:rFonts w:cstheme="minorHAnsi"/>
          <w:lang w:val="mk-MK"/>
        </w:rPr>
        <w:t xml:space="preserve">преку </w:t>
      </w:r>
      <w:r w:rsidRPr="007B413E">
        <w:rPr>
          <w:rFonts w:cstheme="minorHAnsi"/>
          <w:lang w:val="mk-MK"/>
        </w:rPr>
        <w:t>развој на компетенциите</w:t>
      </w:r>
      <w:r w:rsidR="006D1865">
        <w:rPr>
          <w:rFonts w:cstheme="minorHAnsi"/>
          <w:lang w:val="mk-MK"/>
        </w:rPr>
        <w:t xml:space="preserve"> (ставови, вештини и знаења)</w:t>
      </w:r>
      <w:r w:rsidRPr="007B413E">
        <w:rPr>
          <w:rFonts w:cstheme="minorHAnsi"/>
          <w:lang w:val="mk-MK"/>
        </w:rPr>
        <w:t xml:space="preserve"> </w:t>
      </w:r>
      <w:r w:rsidR="006D1865">
        <w:rPr>
          <w:rFonts w:cstheme="minorHAnsi"/>
          <w:lang w:val="mk-MK"/>
        </w:rPr>
        <w:t>потребни за работа во администрација.</w:t>
      </w:r>
    </w:p>
    <w:p w14:paraId="376BDFAA" w14:textId="77777777" w:rsidR="00106B99" w:rsidRPr="007B413E" w:rsidRDefault="00106B99" w:rsidP="00106B99">
      <w:pPr>
        <w:jc w:val="both"/>
        <w:rPr>
          <w:rFonts w:cstheme="minorHAnsi"/>
          <w:u w:val="single"/>
          <w:lang w:val="mk-MK"/>
        </w:rPr>
      </w:pPr>
      <w:r w:rsidRPr="007B413E">
        <w:rPr>
          <w:rFonts w:cstheme="minorHAnsi"/>
          <w:lang w:val="mk-MK"/>
        </w:rPr>
        <w:t>Кај оваа посебна цел, предвидени се следните мерки:</w:t>
      </w:r>
    </w:p>
    <w:p w14:paraId="40704D28" w14:textId="3813D321" w:rsidR="00106B99" w:rsidRPr="00CB4830" w:rsidRDefault="00106B99" w:rsidP="00106B99">
      <w:pPr>
        <w:spacing w:after="0" w:line="240" w:lineRule="auto"/>
        <w:jc w:val="both"/>
        <w:rPr>
          <w:rFonts w:cstheme="minorHAnsi"/>
          <w:lang w:val="mk-MK"/>
        </w:rPr>
      </w:pPr>
      <w:r w:rsidRPr="007B413E">
        <w:rPr>
          <w:rFonts w:cstheme="minorHAnsi"/>
          <w:b/>
        </w:rPr>
        <w:t>М</w:t>
      </w:r>
      <w:r>
        <w:rPr>
          <w:rFonts w:cstheme="minorHAnsi"/>
          <w:b/>
          <w:lang w:val="mk-MK"/>
        </w:rPr>
        <w:t xml:space="preserve"> </w:t>
      </w:r>
      <w:r w:rsidR="00B951DF">
        <w:rPr>
          <w:rFonts w:cstheme="minorHAnsi"/>
          <w:b/>
          <w:lang w:val="mk-MK"/>
        </w:rPr>
        <w:t>2.</w:t>
      </w:r>
      <w:r>
        <w:rPr>
          <w:rFonts w:cstheme="minorHAnsi"/>
          <w:b/>
          <w:lang w:val="mk-MK"/>
        </w:rPr>
        <w:t>3.</w:t>
      </w:r>
      <w:r w:rsidRPr="007B413E">
        <w:rPr>
          <w:rFonts w:cstheme="minorHAnsi"/>
          <w:b/>
        </w:rPr>
        <w:t>1.</w:t>
      </w:r>
      <w:r>
        <w:rPr>
          <w:rFonts w:cstheme="minorHAnsi"/>
          <w:b/>
          <w:lang w:val="mk-MK"/>
        </w:rPr>
        <w:t>:</w:t>
      </w:r>
      <w:r w:rsidRPr="007B413E">
        <w:rPr>
          <w:rFonts w:cstheme="minorHAnsi"/>
        </w:rPr>
        <w:t xml:space="preserve"> </w:t>
      </w:r>
      <w:r w:rsidRPr="00FA2775">
        <w:rPr>
          <w:b/>
          <w:lang w:val="mk-MK"/>
        </w:rPr>
        <w:t>Воспоставу</w:t>
      </w:r>
      <w:r w:rsidR="00887C2C">
        <w:rPr>
          <w:b/>
          <w:lang w:val="mk-MK"/>
        </w:rPr>
        <w:t xml:space="preserve">вање </w:t>
      </w:r>
      <w:r w:rsidRPr="00FA2775">
        <w:rPr>
          <w:b/>
          <w:lang w:val="mk-MK"/>
        </w:rPr>
        <w:t xml:space="preserve">на </w:t>
      </w:r>
      <w:r w:rsidRPr="009104D5">
        <w:rPr>
          <w:b/>
          <w:lang w:val="mk-MK"/>
        </w:rPr>
        <w:t>сеопфатен (интегриран)</w:t>
      </w:r>
      <w:r w:rsidRPr="00FE6DFF">
        <w:rPr>
          <w:b/>
          <w:sz w:val="16"/>
          <w:szCs w:val="16"/>
          <w:lang w:val="mk-MK"/>
        </w:rPr>
        <w:t xml:space="preserve"> </w:t>
      </w:r>
      <w:r w:rsidRPr="00FA2775">
        <w:rPr>
          <w:b/>
          <w:lang w:val="mk-MK"/>
        </w:rPr>
        <w:t>систем за стручно усовршување</w:t>
      </w:r>
      <w:r w:rsidRPr="00CB4830">
        <w:rPr>
          <w:rFonts w:cstheme="minorHAnsi"/>
          <w:b/>
          <w:bCs/>
        </w:rPr>
        <w:t xml:space="preserve"> </w:t>
      </w:r>
    </w:p>
    <w:p w14:paraId="5164CD55" w14:textId="77777777" w:rsidR="00887C2C" w:rsidRDefault="00887C2C" w:rsidP="00106B99">
      <w:pPr>
        <w:jc w:val="both"/>
        <w:rPr>
          <w:rFonts w:cstheme="minorHAnsi"/>
          <w:lang w:val="mk-MK"/>
        </w:rPr>
      </w:pPr>
    </w:p>
    <w:p w14:paraId="2F4CCD8D" w14:textId="5CD6AA5D" w:rsidR="00106B99" w:rsidRPr="007B413E" w:rsidRDefault="00106B99" w:rsidP="00106B99">
      <w:pPr>
        <w:jc w:val="both"/>
        <w:rPr>
          <w:rFonts w:cstheme="minorHAnsi"/>
        </w:rPr>
      </w:pPr>
      <w:r>
        <w:rPr>
          <w:rFonts w:cstheme="minorHAnsi"/>
          <w:lang w:val="mk-MK"/>
        </w:rPr>
        <w:t xml:space="preserve">Системот на стручно усовршување е од исклучителна важност за реализација на целта, а за негово воспоставување е неопходно постоење на </w:t>
      </w:r>
      <w:r w:rsidR="00CB5805">
        <w:rPr>
          <w:rFonts w:cstheme="minorHAnsi"/>
          <w:lang w:val="mk-MK"/>
        </w:rPr>
        <w:t xml:space="preserve">одржлива </w:t>
      </w:r>
      <w:r>
        <w:rPr>
          <w:rFonts w:cstheme="minorHAnsi"/>
          <w:lang w:val="mk-MK"/>
        </w:rPr>
        <w:t xml:space="preserve">организациона </w:t>
      </w:r>
      <w:r w:rsidR="00CB5805">
        <w:rPr>
          <w:rFonts w:cstheme="minorHAnsi"/>
          <w:lang w:val="mk-MK"/>
        </w:rPr>
        <w:t xml:space="preserve">структура </w:t>
      </w:r>
      <w:r>
        <w:rPr>
          <w:rFonts w:cstheme="minorHAnsi"/>
          <w:lang w:val="mk-MK"/>
        </w:rPr>
        <w:t xml:space="preserve">чија единствена и примарна функција ќе биде континуирано </w:t>
      </w:r>
      <w:r w:rsidR="00DA074B" w:rsidRPr="00DA074B">
        <w:rPr>
          <w:lang w:val="mk-MK"/>
        </w:rPr>
        <w:t>усовршување</w:t>
      </w:r>
      <w:r w:rsidRPr="00887C2C">
        <w:rPr>
          <w:rFonts w:cstheme="minorHAnsi"/>
          <w:color w:val="FF0000"/>
          <w:lang w:val="mk-MK"/>
        </w:rPr>
        <w:t xml:space="preserve"> </w:t>
      </w:r>
      <w:r>
        <w:rPr>
          <w:rFonts w:cstheme="minorHAnsi"/>
          <w:lang w:val="mk-MK"/>
        </w:rPr>
        <w:t>и професионализација на јавната администрација. Ф</w:t>
      </w:r>
      <w:r w:rsidRPr="007B413E">
        <w:rPr>
          <w:rFonts w:cstheme="minorHAnsi"/>
          <w:lang w:val="mk-MK"/>
        </w:rPr>
        <w:t>ормирање</w:t>
      </w:r>
      <w:r>
        <w:rPr>
          <w:rFonts w:cstheme="minorHAnsi"/>
          <w:lang w:val="mk-MK"/>
        </w:rPr>
        <w:t>то</w:t>
      </w:r>
      <w:r w:rsidRPr="007B413E">
        <w:rPr>
          <w:rFonts w:cstheme="minorHAnsi"/>
          <w:lang w:val="mk-MK"/>
        </w:rPr>
        <w:t xml:space="preserve"> на Академија за професионален развој на администрацијата како посеб</w:t>
      </w:r>
      <w:r>
        <w:rPr>
          <w:rFonts w:cstheme="minorHAnsi"/>
          <w:lang w:val="mk-MK"/>
        </w:rPr>
        <w:t>ен правен ентитет</w:t>
      </w:r>
      <w:r w:rsidR="00887C2C">
        <w:rPr>
          <w:rFonts w:cstheme="minorHAnsi"/>
          <w:lang w:val="mk-MK"/>
        </w:rPr>
        <w:t>,</w:t>
      </w:r>
      <w:r>
        <w:rPr>
          <w:rFonts w:cstheme="minorHAnsi"/>
          <w:lang w:val="mk-MK"/>
        </w:rPr>
        <w:t xml:space="preserve"> ќе </w:t>
      </w:r>
      <w:r w:rsidRPr="007B413E">
        <w:rPr>
          <w:rFonts w:cstheme="minorHAnsi"/>
          <w:lang w:val="mk-MK"/>
        </w:rPr>
        <w:t xml:space="preserve">обезбеди </w:t>
      </w:r>
      <w:r>
        <w:rPr>
          <w:rFonts w:cstheme="minorHAnsi"/>
          <w:lang w:val="mk-MK"/>
        </w:rPr>
        <w:t xml:space="preserve">унификација и сеопфатност на системот, прилагодливост на содржините опфатени со обуките кон реалните потреби на администрацијата и корисниците на нејзините услуги, како и централизирана евиденција (база на податоци) за одржаните обуки, тематските содржини, слушателите и обучувачите. </w:t>
      </w:r>
    </w:p>
    <w:p w14:paraId="307661C8" w14:textId="77777777" w:rsidR="00106B99" w:rsidRDefault="00106B99" w:rsidP="00106B99">
      <w:pPr>
        <w:spacing w:after="0" w:line="240" w:lineRule="auto"/>
        <w:rPr>
          <w:rFonts w:cstheme="minorHAnsi"/>
          <w:lang w:val="mk-MK"/>
        </w:rPr>
      </w:pPr>
    </w:p>
    <w:p w14:paraId="4891FB0A" w14:textId="7D641A41" w:rsidR="00106B99" w:rsidRPr="007B413E" w:rsidRDefault="00106B99" w:rsidP="00106B99">
      <w:pPr>
        <w:spacing w:after="0" w:line="240" w:lineRule="auto"/>
        <w:rPr>
          <w:rFonts w:cstheme="minorHAnsi"/>
          <w:lang w:val="mk-MK"/>
        </w:rPr>
      </w:pPr>
      <w:r w:rsidRPr="007B413E">
        <w:rPr>
          <w:rFonts w:cstheme="minorHAnsi"/>
          <w:b/>
          <w:lang w:val="mk-MK"/>
        </w:rPr>
        <w:t>М</w:t>
      </w:r>
      <w:r>
        <w:rPr>
          <w:rFonts w:cstheme="minorHAnsi"/>
          <w:b/>
          <w:lang w:val="mk-MK"/>
        </w:rPr>
        <w:t xml:space="preserve"> </w:t>
      </w:r>
      <w:r w:rsidR="00B951DF">
        <w:rPr>
          <w:rFonts w:cstheme="minorHAnsi"/>
          <w:b/>
          <w:lang w:val="mk-MK"/>
        </w:rPr>
        <w:t>2.</w:t>
      </w:r>
      <w:r>
        <w:rPr>
          <w:rFonts w:cstheme="minorHAnsi"/>
          <w:b/>
          <w:lang w:val="mk-MK"/>
        </w:rPr>
        <w:t>3.2</w:t>
      </w:r>
      <w:r w:rsidRPr="007B413E">
        <w:rPr>
          <w:rFonts w:cstheme="minorHAnsi"/>
          <w:b/>
          <w:lang w:val="mk-MK"/>
        </w:rPr>
        <w:t>.</w:t>
      </w:r>
      <w:r>
        <w:rPr>
          <w:rFonts w:cstheme="minorHAnsi"/>
          <w:b/>
          <w:lang w:val="mk-MK"/>
        </w:rPr>
        <w:t>:</w:t>
      </w:r>
      <w:r w:rsidRPr="007B413E">
        <w:rPr>
          <w:rFonts w:cstheme="minorHAnsi"/>
          <w:lang w:val="mk-MK"/>
        </w:rPr>
        <w:t xml:space="preserve"> </w:t>
      </w:r>
      <w:r w:rsidRPr="002E6A35">
        <w:rPr>
          <w:rFonts w:cstheme="minorHAnsi"/>
          <w:b/>
          <w:bCs/>
          <w:lang w:val="mk-MK"/>
        </w:rPr>
        <w:t>Унапредување на системот за управување со учењето и промоција на е-учењето</w:t>
      </w:r>
      <w:r w:rsidRPr="007B413E">
        <w:rPr>
          <w:rFonts w:cstheme="minorHAnsi"/>
          <w:lang w:val="mk-MK"/>
        </w:rPr>
        <w:t xml:space="preserve"> </w:t>
      </w:r>
    </w:p>
    <w:p w14:paraId="6235212E" w14:textId="77777777" w:rsidR="00351D48" w:rsidRDefault="00351D48" w:rsidP="00106B99">
      <w:pPr>
        <w:spacing w:after="0" w:line="240" w:lineRule="auto"/>
        <w:jc w:val="both"/>
        <w:rPr>
          <w:rFonts w:cstheme="minorHAnsi"/>
          <w:lang w:val="mk-MK"/>
        </w:rPr>
      </w:pPr>
    </w:p>
    <w:p w14:paraId="2358901E" w14:textId="1785C596" w:rsidR="00106B99" w:rsidRDefault="00106B99" w:rsidP="00351D48">
      <w:pPr>
        <w:spacing w:after="0" w:line="276" w:lineRule="auto"/>
        <w:jc w:val="both"/>
        <w:rPr>
          <w:rFonts w:cstheme="minorHAnsi"/>
          <w:lang w:val="mk-MK"/>
        </w:rPr>
      </w:pPr>
      <w:r w:rsidRPr="007B413E">
        <w:rPr>
          <w:rFonts w:cstheme="minorHAnsi"/>
          <w:lang w:val="mk-MK"/>
        </w:rPr>
        <w:t xml:space="preserve">Иако најголем дел од предвидениот буџет за стручно усовршување се однесува на одржување наЛМС, сепак се потребни дополнителни средства за да се следат иновациите и напредокот на информатичките технологии. Воедно, потребни се и активности во насока на градење на човечки капацитети за изведување на електронските обуки: формирање на посебен фонд за унапредување на електронската платформа за учење (ЛМС); зголемување на бројот на обучувачи и надградба на нивните знаења и вештини; понатамошна промоција на е-учењето и ЛМС меѓу институциите. </w:t>
      </w:r>
      <w:r>
        <w:rPr>
          <w:rFonts w:cstheme="minorHAnsi"/>
          <w:lang w:val="mk-MK"/>
        </w:rPr>
        <w:t>П</w:t>
      </w:r>
      <w:r w:rsidRPr="007B413E">
        <w:rPr>
          <w:rFonts w:cstheme="minorHAnsi"/>
          <w:lang w:val="mk-MK"/>
        </w:rPr>
        <w:t>отребно е да се даде висок приоритет на е-учењето</w:t>
      </w:r>
      <w:r>
        <w:rPr>
          <w:rFonts w:cstheme="minorHAnsi"/>
          <w:lang w:val="mk-MK"/>
        </w:rPr>
        <w:t xml:space="preserve"> и заради доследно спроведување на </w:t>
      </w:r>
      <w:r w:rsidRPr="007B413E">
        <w:rPr>
          <w:rFonts w:cstheme="minorHAnsi"/>
          <w:lang w:val="mk-MK"/>
        </w:rPr>
        <w:t>дигитализација</w:t>
      </w:r>
      <w:r>
        <w:rPr>
          <w:rFonts w:cstheme="minorHAnsi"/>
          <w:lang w:val="mk-MK"/>
        </w:rPr>
        <w:t>та</w:t>
      </w:r>
      <w:r w:rsidRPr="007B413E">
        <w:rPr>
          <w:rFonts w:cstheme="minorHAnsi"/>
          <w:lang w:val="mk-MK"/>
        </w:rPr>
        <w:t xml:space="preserve"> на функциите на </w:t>
      </w:r>
      <w:r>
        <w:rPr>
          <w:rFonts w:cstheme="minorHAnsi"/>
          <w:lang w:val="mk-MK"/>
        </w:rPr>
        <w:t>управување со човечките ресурси</w:t>
      </w:r>
      <w:r w:rsidRPr="007B413E">
        <w:rPr>
          <w:rFonts w:cstheme="minorHAnsi"/>
          <w:lang w:val="mk-MK"/>
        </w:rPr>
        <w:t xml:space="preserve">. </w:t>
      </w:r>
    </w:p>
    <w:p w14:paraId="669DEB59" w14:textId="77777777" w:rsidR="00351D48" w:rsidRDefault="00351D48" w:rsidP="00106B99">
      <w:pPr>
        <w:spacing w:after="0" w:line="240" w:lineRule="auto"/>
        <w:jc w:val="both"/>
        <w:rPr>
          <w:rFonts w:cstheme="minorHAnsi"/>
          <w:b/>
          <w:iCs/>
          <w:u w:val="single"/>
          <w:lang w:val="mk-MK"/>
        </w:rPr>
      </w:pPr>
    </w:p>
    <w:p w14:paraId="48E1F94F" w14:textId="77777777" w:rsidR="00351D48" w:rsidRPr="00C1585A" w:rsidRDefault="00351D48" w:rsidP="00351D48">
      <w:pPr>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tbl>
      <w:tblPr>
        <w:tblStyle w:val="TableGrid"/>
        <w:tblW w:w="0" w:type="auto"/>
        <w:tblLook w:val="04A0" w:firstRow="1" w:lastRow="0" w:firstColumn="1" w:lastColumn="0" w:noHBand="0" w:noVBand="1"/>
      </w:tblPr>
      <w:tblGrid>
        <w:gridCol w:w="5214"/>
        <w:gridCol w:w="1370"/>
        <w:gridCol w:w="1383"/>
        <w:gridCol w:w="1383"/>
      </w:tblGrid>
      <w:tr w:rsidR="00B951DF" w:rsidRPr="00AD5EED" w14:paraId="75FA8E53" w14:textId="77777777" w:rsidTr="00092885">
        <w:tc>
          <w:tcPr>
            <w:tcW w:w="9350" w:type="dxa"/>
            <w:gridSpan w:val="4"/>
            <w:tcBorders>
              <w:top w:val="single" w:sz="12" w:space="0" w:color="auto"/>
            </w:tcBorders>
            <w:shd w:val="clear" w:color="auto" w:fill="D9E2F3" w:themeFill="accent1" w:themeFillTint="33"/>
          </w:tcPr>
          <w:p w14:paraId="0C1E0034" w14:textId="77777777" w:rsidR="00B951DF" w:rsidRPr="00AD5EED" w:rsidRDefault="00B951DF" w:rsidP="00EC7C0D">
            <w:pPr>
              <w:jc w:val="both"/>
              <w:rPr>
                <w:rFonts w:cstheme="minorHAnsi"/>
                <w:b/>
                <w:bCs/>
                <w:highlight w:val="yellow"/>
                <w:lang w:val="mk-MK"/>
              </w:rPr>
            </w:pPr>
            <w:r w:rsidRPr="00AD5EED">
              <w:rPr>
                <w:rFonts w:cstheme="minorHAnsi"/>
                <w:b/>
                <w:bCs/>
              </w:rPr>
              <w:t xml:space="preserve">Посебна цел </w:t>
            </w:r>
            <w:r w:rsidRPr="00AD5EED">
              <w:rPr>
                <w:rFonts w:cstheme="minorHAnsi"/>
                <w:b/>
                <w:bCs/>
                <w:lang w:val="mk-MK"/>
              </w:rPr>
              <w:t>2.3</w:t>
            </w:r>
            <w:r w:rsidRPr="00AD5EED">
              <w:rPr>
                <w:rFonts w:cstheme="minorHAnsi"/>
                <w:b/>
                <w:bCs/>
              </w:rPr>
              <w:t>.: Обезбедување квалитет и стручност на јавната администрација</w:t>
            </w:r>
          </w:p>
        </w:tc>
      </w:tr>
      <w:tr w:rsidR="00B951DF" w:rsidRPr="00782799" w14:paraId="35B077B2" w14:textId="77777777" w:rsidTr="00092885">
        <w:tc>
          <w:tcPr>
            <w:tcW w:w="5214" w:type="dxa"/>
            <w:vMerge w:val="restart"/>
            <w:shd w:val="clear" w:color="auto" w:fill="D9E2F3" w:themeFill="accent1" w:themeFillTint="33"/>
            <w:vAlign w:val="center"/>
          </w:tcPr>
          <w:p w14:paraId="2832F247" w14:textId="77777777" w:rsidR="00B951DF" w:rsidRPr="00782799" w:rsidRDefault="00B951DF" w:rsidP="00EC7C0D">
            <w:pPr>
              <w:jc w:val="center"/>
              <w:rPr>
                <w:rFonts w:ascii="Calibri" w:hAnsi="Calibri" w:cs="Calibri"/>
                <w:color w:val="000000"/>
                <w:sz w:val="20"/>
                <w:szCs w:val="20"/>
                <w:lang w:val="mk-MK"/>
              </w:rPr>
            </w:pPr>
          </w:p>
          <w:p w14:paraId="45854577" w14:textId="77777777" w:rsidR="00B951DF" w:rsidRPr="00782799" w:rsidRDefault="00B951DF" w:rsidP="00EC7C0D">
            <w:pPr>
              <w:jc w:val="center"/>
              <w:rPr>
                <w:rFonts w:ascii="Calibri" w:hAnsi="Calibri" w:cs="Calibri"/>
                <w:b/>
                <w:bCs/>
                <w:color w:val="000000"/>
                <w:sz w:val="20"/>
                <w:szCs w:val="20"/>
                <w:lang w:val="mk-MK"/>
              </w:rPr>
            </w:pPr>
            <w:r w:rsidRPr="00782799">
              <w:rPr>
                <w:rFonts w:ascii="Calibri" w:hAnsi="Calibri" w:cs="Calibri"/>
                <w:b/>
                <w:bCs/>
                <w:color w:val="000000"/>
                <w:sz w:val="20"/>
                <w:szCs w:val="20"/>
                <w:lang w:val="mk-MK"/>
              </w:rPr>
              <w:t>Показател на исход:</w:t>
            </w:r>
          </w:p>
        </w:tc>
        <w:tc>
          <w:tcPr>
            <w:tcW w:w="1370" w:type="dxa"/>
            <w:tcBorders>
              <w:bottom w:val="nil"/>
              <w:right w:val="nil"/>
            </w:tcBorders>
            <w:shd w:val="clear" w:color="auto" w:fill="D9E2F3" w:themeFill="accent1" w:themeFillTint="33"/>
          </w:tcPr>
          <w:p w14:paraId="24C6BE7F" w14:textId="77777777" w:rsidR="00B951DF" w:rsidRPr="00782799" w:rsidRDefault="00B951DF" w:rsidP="00EC7C0D">
            <w:pPr>
              <w:jc w:val="center"/>
              <w:rPr>
                <w:rFonts w:ascii="Calibri" w:hAnsi="Calibri" w:cs="Calibri"/>
                <w:color w:val="000000"/>
                <w:sz w:val="20"/>
                <w:szCs w:val="20"/>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7786E6EC" w14:textId="77777777" w:rsidR="00B951DF" w:rsidRPr="00782799" w:rsidRDefault="00B951DF" w:rsidP="00EC7C0D">
            <w:pPr>
              <w:jc w:val="center"/>
              <w:rPr>
                <w:rFonts w:ascii="Calibri" w:hAnsi="Calibri" w:cs="Calibri"/>
                <w:color w:val="000000"/>
                <w:sz w:val="20"/>
                <w:szCs w:val="20"/>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0D55F54E" w14:textId="77777777" w:rsidR="00B951DF" w:rsidRPr="00782799" w:rsidRDefault="00B951DF" w:rsidP="00EC7C0D">
            <w:pPr>
              <w:jc w:val="center"/>
              <w:rPr>
                <w:sz w:val="20"/>
                <w:szCs w:val="20"/>
                <w:highlight w:val="yellow"/>
                <w:lang w:val="mk-MK"/>
              </w:rPr>
            </w:pPr>
            <w:r w:rsidRPr="00782799">
              <w:rPr>
                <w:b/>
                <w:bCs/>
                <w:sz w:val="20"/>
                <w:szCs w:val="20"/>
                <w:lang w:val="mk-MK"/>
              </w:rPr>
              <w:t>Крајна вредност</w:t>
            </w:r>
          </w:p>
        </w:tc>
      </w:tr>
      <w:tr w:rsidR="00B951DF" w:rsidRPr="00782799" w14:paraId="35BBE5FE" w14:textId="77777777" w:rsidTr="00092885">
        <w:tc>
          <w:tcPr>
            <w:tcW w:w="5214" w:type="dxa"/>
            <w:vMerge/>
            <w:shd w:val="clear" w:color="auto" w:fill="D9E2F3" w:themeFill="accent1" w:themeFillTint="33"/>
          </w:tcPr>
          <w:p w14:paraId="4DECB0A5" w14:textId="77777777" w:rsidR="00B951DF" w:rsidRPr="00782799" w:rsidRDefault="00B951DF" w:rsidP="00EC7C0D">
            <w:pPr>
              <w:rPr>
                <w:rFonts w:ascii="Calibri" w:hAnsi="Calibri" w:cs="Calibri"/>
                <w:color w:val="000000"/>
                <w:sz w:val="20"/>
                <w:szCs w:val="20"/>
              </w:rPr>
            </w:pPr>
          </w:p>
        </w:tc>
        <w:tc>
          <w:tcPr>
            <w:tcW w:w="1370" w:type="dxa"/>
            <w:tcBorders>
              <w:top w:val="nil"/>
              <w:right w:val="nil"/>
            </w:tcBorders>
            <w:shd w:val="clear" w:color="auto" w:fill="D9E2F3" w:themeFill="accent1" w:themeFillTint="33"/>
          </w:tcPr>
          <w:p w14:paraId="0C4180A3" w14:textId="77777777" w:rsidR="00B951DF" w:rsidRPr="00782799" w:rsidRDefault="00B951DF" w:rsidP="00EC7C0D">
            <w:pPr>
              <w:jc w:val="center"/>
              <w:rPr>
                <w:rFonts w:ascii="Calibri" w:hAnsi="Calibri" w:cs="Calibri"/>
                <w:b/>
                <w:bCs/>
                <w:color w:val="000000"/>
                <w:sz w:val="20"/>
                <w:szCs w:val="20"/>
                <w:lang w:val="mk-MK"/>
              </w:rPr>
            </w:pPr>
            <w:r>
              <w:rPr>
                <w:rFonts w:ascii="Calibri" w:hAnsi="Calibri" w:cs="Calibri"/>
                <w:b/>
                <w:bCs/>
                <w:color w:val="000000"/>
                <w:sz w:val="20"/>
                <w:szCs w:val="20"/>
                <w:lang w:val="mk-MK"/>
              </w:rPr>
              <w:t>2022</w:t>
            </w:r>
          </w:p>
        </w:tc>
        <w:tc>
          <w:tcPr>
            <w:tcW w:w="1383" w:type="dxa"/>
            <w:tcBorders>
              <w:top w:val="nil"/>
              <w:left w:val="nil"/>
              <w:right w:val="nil"/>
            </w:tcBorders>
            <w:shd w:val="clear" w:color="auto" w:fill="D9E2F3" w:themeFill="accent1" w:themeFillTint="33"/>
          </w:tcPr>
          <w:p w14:paraId="47F0A6C2" w14:textId="77777777" w:rsidR="00B951DF" w:rsidRPr="00782799" w:rsidRDefault="00B951DF" w:rsidP="00EC7C0D">
            <w:pPr>
              <w:jc w:val="center"/>
              <w:rPr>
                <w:rFonts w:ascii="Calibri" w:hAnsi="Calibri" w:cs="Calibri"/>
                <w:b/>
                <w:bCs/>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763A4D7F" w14:textId="77777777" w:rsidR="00B951DF" w:rsidRPr="00782799" w:rsidRDefault="00B951DF" w:rsidP="00EC7C0D">
            <w:pPr>
              <w:jc w:val="center"/>
              <w:rPr>
                <w:b/>
                <w:bCs/>
                <w:sz w:val="20"/>
                <w:szCs w:val="20"/>
                <w:lang w:val="mk-MK"/>
              </w:rPr>
            </w:pPr>
            <w:r w:rsidRPr="00782799">
              <w:rPr>
                <w:b/>
                <w:bCs/>
                <w:sz w:val="20"/>
                <w:szCs w:val="20"/>
                <w:lang w:val="mk-MK"/>
              </w:rPr>
              <w:t>2030</w:t>
            </w:r>
          </w:p>
        </w:tc>
      </w:tr>
      <w:tr w:rsidR="00B951DF" w:rsidRPr="008A23B5" w14:paraId="00FB6070" w14:textId="77777777" w:rsidTr="00092885">
        <w:trPr>
          <w:trHeight w:val="755"/>
        </w:trPr>
        <w:tc>
          <w:tcPr>
            <w:tcW w:w="5214" w:type="dxa"/>
            <w:shd w:val="clear" w:color="auto" w:fill="D9E2F3" w:themeFill="accent1" w:themeFillTint="33"/>
          </w:tcPr>
          <w:p w14:paraId="047307A3" w14:textId="6A3193F1" w:rsidR="00B951DF" w:rsidRPr="009543CB" w:rsidRDefault="00537256" w:rsidP="00EC7C0D">
            <w:pPr>
              <w:rPr>
                <w:rFonts w:cstheme="minorHAnsi"/>
                <w:bCs/>
                <w:color w:val="000000"/>
                <w:sz w:val="20"/>
                <w:szCs w:val="20"/>
              </w:rPr>
            </w:pPr>
            <w:r>
              <w:rPr>
                <w:rFonts w:cstheme="minorHAnsi"/>
                <w:bCs/>
                <w:sz w:val="20"/>
                <w:szCs w:val="20"/>
                <w:lang w:val="mk-MK"/>
              </w:rPr>
              <w:t>Процент</w:t>
            </w:r>
            <w:r w:rsidR="00B951DF" w:rsidRPr="009543CB">
              <w:rPr>
                <w:rFonts w:cstheme="minorHAnsi"/>
                <w:bCs/>
                <w:sz w:val="20"/>
                <w:szCs w:val="20"/>
                <w:lang w:val="mk-MK"/>
              </w:rPr>
              <w:t xml:space="preserve"> </w:t>
            </w:r>
            <w:r w:rsidR="00B951DF" w:rsidRPr="009543CB">
              <w:rPr>
                <w:rFonts w:cstheme="minorHAnsi"/>
                <w:bCs/>
                <w:sz w:val="20"/>
                <w:szCs w:val="20"/>
              </w:rPr>
              <w:t>на</w:t>
            </w:r>
            <w:r w:rsidR="00B951DF" w:rsidRPr="009543CB">
              <w:rPr>
                <w:rFonts w:cstheme="minorHAnsi"/>
                <w:bCs/>
                <w:sz w:val="20"/>
                <w:szCs w:val="20"/>
                <w:lang w:val="mk-MK"/>
              </w:rPr>
              <w:t xml:space="preserve"> задоволни</w:t>
            </w:r>
            <w:r w:rsidR="00B951DF" w:rsidRPr="009543CB">
              <w:rPr>
                <w:rFonts w:cstheme="minorHAnsi"/>
                <w:bCs/>
                <w:sz w:val="20"/>
                <w:szCs w:val="20"/>
              </w:rPr>
              <w:t xml:space="preserve"> административни служб</w:t>
            </w:r>
            <w:r>
              <w:rPr>
                <w:rFonts w:cstheme="minorHAnsi"/>
                <w:bCs/>
                <w:sz w:val="20"/>
                <w:szCs w:val="20"/>
              </w:rPr>
              <w:t xml:space="preserve">еници кои посетиле </w:t>
            </w:r>
            <w:r w:rsidR="00B951DF" w:rsidRPr="009543CB">
              <w:rPr>
                <w:rFonts w:cstheme="minorHAnsi"/>
                <w:bCs/>
                <w:sz w:val="20"/>
                <w:szCs w:val="20"/>
              </w:rPr>
              <w:t>обука</w:t>
            </w:r>
            <w:r>
              <w:rPr>
                <w:rFonts w:cstheme="minorHAnsi"/>
                <w:bCs/>
                <w:sz w:val="20"/>
                <w:szCs w:val="20"/>
                <w:lang w:val="mk-MK"/>
              </w:rPr>
              <w:t>(и)</w:t>
            </w:r>
            <w:r w:rsidR="00B951DF" w:rsidRPr="009543CB">
              <w:rPr>
                <w:rFonts w:cstheme="minorHAnsi"/>
                <w:bCs/>
                <w:sz w:val="20"/>
                <w:szCs w:val="20"/>
                <w:lang w:val="mk-MK"/>
              </w:rPr>
              <w:t xml:space="preserve"> согласно нивните потреби преку системот за стручно усовршување</w:t>
            </w:r>
          </w:p>
        </w:tc>
        <w:tc>
          <w:tcPr>
            <w:tcW w:w="1370" w:type="dxa"/>
            <w:shd w:val="clear" w:color="auto" w:fill="D9E2F3" w:themeFill="accent1" w:themeFillTint="33"/>
            <w:vAlign w:val="center"/>
          </w:tcPr>
          <w:p w14:paraId="4BF89AD5" w14:textId="77777777" w:rsidR="00B951DF" w:rsidRPr="008A23B5" w:rsidRDefault="00B951DF" w:rsidP="00EC7C0D">
            <w:pPr>
              <w:jc w:val="center"/>
              <w:rPr>
                <w:rFonts w:ascii="Calibri" w:hAnsi="Calibri" w:cs="Calibri"/>
                <w:color w:val="000000"/>
                <w:sz w:val="20"/>
                <w:szCs w:val="20"/>
                <w:lang w:val="mk-MK"/>
              </w:rPr>
            </w:pPr>
            <w:r w:rsidRPr="008A23B5">
              <w:rPr>
                <w:rFonts w:ascii="Calibri" w:hAnsi="Calibri" w:cs="Calibri"/>
                <w:color w:val="000000"/>
                <w:sz w:val="20"/>
                <w:szCs w:val="20"/>
                <w:lang w:val="mk-MK"/>
              </w:rPr>
              <w:t>50%</w:t>
            </w:r>
          </w:p>
        </w:tc>
        <w:tc>
          <w:tcPr>
            <w:tcW w:w="1383" w:type="dxa"/>
            <w:shd w:val="clear" w:color="auto" w:fill="D9E2F3" w:themeFill="accent1" w:themeFillTint="33"/>
            <w:vAlign w:val="center"/>
          </w:tcPr>
          <w:p w14:paraId="1B58B413" w14:textId="77777777" w:rsidR="00B951DF" w:rsidRPr="008A23B5" w:rsidRDefault="00B951DF" w:rsidP="00EC7C0D">
            <w:pPr>
              <w:jc w:val="center"/>
              <w:rPr>
                <w:rFonts w:ascii="Calibri" w:hAnsi="Calibri" w:cs="Calibri"/>
                <w:color w:val="000000"/>
                <w:sz w:val="20"/>
                <w:szCs w:val="20"/>
                <w:lang w:val="mk-MK"/>
              </w:rPr>
            </w:pPr>
            <w:r w:rsidRPr="008A23B5">
              <w:rPr>
                <w:rFonts w:ascii="Calibri" w:hAnsi="Calibri" w:cs="Calibri"/>
                <w:color w:val="000000"/>
                <w:sz w:val="20"/>
                <w:szCs w:val="20"/>
                <w:lang w:val="mk-MK"/>
              </w:rPr>
              <w:t>75%</w:t>
            </w:r>
          </w:p>
        </w:tc>
        <w:tc>
          <w:tcPr>
            <w:tcW w:w="1383" w:type="dxa"/>
            <w:shd w:val="clear" w:color="auto" w:fill="D9E2F3" w:themeFill="accent1" w:themeFillTint="33"/>
            <w:vAlign w:val="center"/>
          </w:tcPr>
          <w:p w14:paraId="3500F673" w14:textId="77777777" w:rsidR="00B951DF" w:rsidRPr="008A23B5" w:rsidRDefault="00B951DF" w:rsidP="00EC7C0D">
            <w:pPr>
              <w:jc w:val="center"/>
              <w:rPr>
                <w:sz w:val="20"/>
                <w:szCs w:val="20"/>
                <w:lang w:val="mk-MK"/>
              </w:rPr>
            </w:pPr>
            <w:r w:rsidRPr="008A23B5">
              <w:rPr>
                <w:sz w:val="20"/>
                <w:szCs w:val="20"/>
                <w:lang w:val="mk-MK"/>
              </w:rPr>
              <w:t>100%</w:t>
            </w:r>
          </w:p>
        </w:tc>
      </w:tr>
      <w:tr w:rsidR="00B951DF" w:rsidRPr="00AD5EED" w14:paraId="521615EB" w14:textId="77777777" w:rsidTr="00092885">
        <w:tc>
          <w:tcPr>
            <w:tcW w:w="9350" w:type="dxa"/>
            <w:gridSpan w:val="4"/>
            <w:shd w:val="clear" w:color="auto" w:fill="D9E2F3" w:themeFill="accent1" w:themeFillTint="33"/>
          </w:tcPr>
          <w:p w14:paraId="46AF672D" w14:textId="77777777" w:rsidR="00B951DF" w:rsidRPr="00AD5EED" w:rsidRDefault="00B951DF" w:rsidP="00EC7C0D">
            <w:pPr>
              <w:jc w:val="both"/>
              <w:rPr>
                <w:rFonts w:cstheme="minorHAnsi"/>
                <w:b/>
                <w:bCs/>
                <w:highlight w:val="yellow"/>
                <w:lang w:val="mk-MK"/>
              </w:rPr>
            </w:pPr>
            <w:r w:rsidRPr="00AD5EED">
              <w:rPr>
                <w:rFonts w:cstheme="minorHAnsi"/>
                <w:b/>
                <w:bCs/>
                <w:iCs/>
              </w:rPr>
              <w:t>М</w:t>
            </w:r>
            <w:r w:rsidRPr="00AD5EED">
              <w:rPr>
                <w:rFonts w:cstheme="minorHAnsi"/>
                <w:b/>
                <w:bCs/>
                <w:iCs/>
                <w:lang w:val="mk-MK"/>
              </w:rPr>
              <w:t xml:space="preserve">ерка </w:t>
            </w:r>
            <w:r w:rsidRPr="00AD5EED">
              <w:rPr>
                <w:rFonts w:cstheme="minorHAnsi"/>
                <w:b/>
                <w:bCs/>
                <w:iCs/>
              </w:rPr>
              <w:t xml:space="preserve">2.3.1. </w:t>
            </w:r>
            <w:r w:rsidRPr="00AD5EED">
              <w:rPr>
                <w:rFonts w:cstheme="minorHAnsi"/>
                <w:b/>
                <w:bCs/>
              </w:rPr>
              <w:t>Воспоставување на сеопфатен (интегриран) систем за стручно усовршување</w:t>
            </w:r>
          </w:p>
        </w:tc>
      </w:tr>
      <w:tr w:rsidR="00B951DF" w:rsidRPr="00782799" w14:paraId="0AB23683" w14:textId="77777777" w:rsidTr="00092885">
        <w:tc>
          <w:tcPr>
            <w:tcW w:w="5214" w:type="dxa"/>
            <w:vMerge w:val="restart"/>
            <w:shd w:val="clear" w:color="auto" w:fill="D9E2F3" w:themeFill="accent1" w:themeFillTint="33"/>
            <w:vAlign w:val="center"/>
          </w:tcPr>
          <w:p w14:paraId="3453C53E" w14:textId="77777777" w:rsidR="00B951DF" w:rsidRPr="00782799" w:rsidRDefault="00B951DF"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0CC2B272"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24446781"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6F437A28" w14:textId="77777777" w:rsidR="00B951DF" w:rsidRPr="00782799" w:rsidRDefault="00B951DF" w:rsidP="00EC7C0D">
            <w:pPr>
              <w:jc w:val="center"/>
              <w:rPr>
                <w:sz w:val="20"/>
                <w:szCs w:val="20"/>
                <w:highlight w:val="yellow"/>
                <w:lang w:val="mk-MK"/>
              </w:rPr>
            </w:pPr>
            <w:r w:rsidRPr="00782799">
              <w:rPr>
                <w:b/>
                <w:bCs/>
                <w:sz w:val="20"/>
                <w:szCs w:val="20"/>
                <w:lang w:val="mk-MK"/>
              </w:rPr>
              <w:t>Крајна вредност</w:t>
            </w:r>
          </w:p>
        </w:tc>
      </w:tr>
      <w:tr w:rsidR="00B951DF" w:rsidRPr="00782799" w14:paraId="5E54212A" w14:textId="77777777" w:rsidTr="00092885">
        <w:tc>
          <w:tcPr>
            <w:tcW w:w="5214" w:type="dxa"/>
            <w:vMerge/>
            <w:shd w:val="clear" w:color="auto" w:fill="D9E2F3" w:themeFill="accent1" w:themeFillTint="33"/>
          </w:tcPr>
          <w:p w14:paraId="71E1FB4E" w14:textId="77777777" w:rsidR="00B951DF" w:rsidRPr="00782799" w:rsidRDefault="00B951DF" w:rsidP="00EC7C0D">
            <w:pPr>
              <w:rPr>
                <w:rFonts w:cstheme="minorHAnsi"/>
                <w:sz w:val="20"/>
                <w:szCs w:val="20"/>
              </w:rPr>
            </w:pPr>
          </w:p>
        </w:tc>
        <w:tc>
          <w:tcPr>
            <w:tcW w:w="1370" w:type="dxa"/>
            <w:tcBorders>
              <w:top w:val="nil"/>
              <w:right w:val="nil"/>
            </w:tcBorders>
            <w:shd w:val="clear" w:color="auto" w:fill="D9E2F3" w:themeFill="accent1" w:themeFillTint="33"/>
          </w:tcPr>
          <w:p w14:paraId="0572D6A0"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Pr>
                <w:rFonts w:ascii="Calibri" w:hAnsi="Calibri" w:cs="Calibri"/>
                <w:b/>
                <w:bCs/>
                <w:color w:val="000000"/>
                <w:sz w:val="20"/>
                <w:szCs w:val="20"/>
                <w:lang w:val="mk-MK"/>
              </w:rPr>
              <w:t>2</w:t>
            </w:r>
          </w:p>
        </w:tc>
        <w:tc>
          <w:tcPr>
            <w:tcW w:w="1383" w:type="dxa"/>
            <w:tcBorders>
              <w:top w:val="nil"/>
              <w:left w:val="nil"/>
              <w:right w:val="nil"/>
            </w:tcBorders>
            <w:shd w:val="clear" w:color="auto" w:fill="D9E2F3" w:themeFill="accent1" w:themeFillTint="33"/>
          </w:tcPr>
          <w:p w14:paraId="21A07232"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2349B93D" w14:textId="77777777" w:rsidR="00B951DF" w:rsidRPr="00782799" w:rsidRDefault="00B951DF" w:rsidP="00EC7C0D">
            <w:pPr>
              <w:jc w:val="center"/>
              <w:rPr>
                <w:sz w:val="20"/>
                <w:szCs w:val="20"/>
                <w:lang w:val="mk-MK"/>
              </w:rPr>
            </w:pPr>
            <w:r w:rsidRPr="00782799">
              <w:rPr>
                <w:b/>
                <w:bCs/>
                <w:sz w:val="20"/>
                <w:szCs w:val="20"/>
                <w:lang w:val="mk-MK"/>
              </w:rPr>
              <w:t>2030</w:t>
            </w:r>
          </w:p>
        </w:tc>
      </w:tr>
      <w:tr w:rsidR="00B951DF" w:rsidRPr="00374913" w14:paraId="61B0F858" w14:textId="77777777" w:rsidTr="00092885">
        <w:trPr>
          <w:trHeight w:val="638"/>
        </w:trPr>
        <w:tc>
          <w:tcPr>
            <w:tcW w:w="5214" w:type="dxa"/>
            <w:shd w:val="clear" w:color="auto" w:fill="D9E2F3" w:themeFill="accent1" w:themeFillTint="33"/>
          </w:tcPr>
          <w:p w14:paraId="5C893773" w14:textId="6A1C3202" w:rsidR="00B951DF" w:rsidRPr="00AD5EED" w:rsidRDefault="009543CB" w:rsidP="00EC7C0D">
            <w:pPr>
              <w:rPr>
                <w:rFonts w:cstheme="minorHAnsi"/>
                <w:sz w:val="20"/>
                <w:szCs w:val="20"/>
              </w:rPr>
            </w:pPr>
            <w:r>
              <w:rPr>
                <w:rFonts w:cstheme="minorHAnsi"/>
                <w:iCs/>
                <w:sz w:val="20"/>
                <w:szCs w:val="20"/>
                <w:lang w:val="mk-MK"/>
              </w:rPr>
              <w:t>Степен на фун</w:t>
            </w:r>
            <w:r w:rsidR="00B951DF" w:rsidRPr="00AD5EED">
              <w:rPr>
                <w:rFonts w:cstheme="minorHAnsi"/>
                <w:iCs/>
                <w:sz w:val="20"/>
                <w:szCs w:val="20"/>
                <w:lang w:val="mk-MK"/>
              </w:rPr>
              <w:t>к</w:t>
            </w:r>
            <w:r>
              <w:rPr>
                <w:rFonts w:cstheme="minorHAnsi"/>
                <w:iCs/>
                <w:sz w:val="20"/>
                <w:szCs w:val="20"/>
                <w:lang w:val="mk-MK"/>
              </w:rPr>
              <w:t>ц</w:t>
            </w:r>
            <w:r w:rsidR="00B951DF" w:rsidRPr="00AD5EED">
              <w:rPr>
                <w:rFonts w:cstheme="minorHAnsi"/>
                <w:iCs/>
                <w:sz w:val="20"/>
                <w:szCs w:val="20"/>
                <w:lang w:val="mk-MK"/>
              </w:rPr>
              <w:t>ионалност на сеопфатен систем за стручно усовршување на административните службеници</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125E6" w14:textId="77777777" w:rsidR="00B951DF" w:rsidRPr="00B5617C" w:rsidRDefault="00B951DF"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0</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7AA57" w14:textId="77777777" w:rsidR="00B951DF" w:rsidRPr="00B5617C" w:rsidRDefault="00B951DF" w:rsidP="00EC7C0D">
            <w:pPr>
              <w:jc w:val="center"/>
              <w:rPr>
                <w:rFonts w:ascii="Calibri" w:hAnsi="Calibri" w:cs="Calibri"/>
                <w:color w:val="000000"/>
                <w:sz w:val="20"/>
                <w:szCs w:val="20"/>
                <w:lang w:val="mk-MK"/>
              </w:rPr>
            </w:pPr>
            <w:r w:rsidRPr="00B5617C">
              <w:rPr>
                <w:rFonts w:ascii="Calibri" w:hAnsi="Calibri" w:cs="Calibri"/>
                <w:color w:val="000000"/>
                <w:sz w:val="20"/>
                <w:szCs w:val="20"/>
                <w:lang w:val="mk-MK"/>
              </w:rPr>
              <w:t>Исполнување на степените 1 и 2</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0EB7E1" w14:textId="77777777" w:rsidR="00B951DF" w:rsidRPr="00B5617C" w:rsidRDefault="00B951DF" w:rsidP="00EC7C0D">
            <w:pPr>
              <w:jc w:val="center"/>
              <w:rPr>
                <w:sz w:val="20"/>
                <w:szCs w:val="20"/>
                <w:lang w:val="mk-MK"/>
              </w:rPr>
            </w:pPr>
            <w:r w:rsidRPr="00B5617C">
              <w:rPr>
                <w:sz w:val="20"/>
                <w:szCs w:val="20"/>
                <w:lang w:val="mk-MK"/>
              </w:rPr>
              <w:t>Исполнување на степените 3 и 4</w:t>
            </w:r>
          </w:p>
        </w:tc>
      </w:tr>
      <w:tr w:rsidR="00B951DF" w:rsidRPr="00AD5EED" w14:paraId="38490299" w14:textId="77777777" w:rsidTr="00092885">
        <w:tc>
          <w:tcPr>
            <w:tcW w:w="9350" w:type="dxa"/>
            <w:gridSpan w:val="4"/>
            <w:shd w:val="clear" w:color="auto" w:fill="D9E2F3" w:themeFill="accent1" w:themeFillTint="33"/>
          </w:tcPr>
          <w:p w14:paraId="5D343E5B" w14:textId="77777777" w:rsidR="00B951DF" w:rsidRPr="00AD5EED" w:rsidRDefault="00B951DF" w:rsidP="00EC7C0D">
            <w:pPr>
              <w:jc w:val="both"/>
              <w:rPr>
                <w:rFonts w:cstheme="minorHAnsi"/>
                <w:b/>
                <w:bCs/>
                <w:highlight w:val="yellow"/>
                <w:lang w:val="mk-MK"/>
              </w:rPr>
            </w:pPr>
            <w:r w:rsidRPr="00AD5EED">
              <w:rPr>
                <w:rFonts w:cstheme="minorHAnsi"/>
                <w:b/>
                <w:bCs/>
              </w:rPr>
              <w:t>М</w:t>
            </w:r>
            <w:r w:rsidRPr="00AD5EED">
              <w:rPr>
                <w:rFonts w:cstheme="minorHAnsi"/>
                <w:b/>
                <w:bCs/>
                <w:lang w:val="mk-MK"/>
              </w:rPr>
              <w:t>ерка</w:t>
            </w:r>
            <w:r w:rsidRPr="00AD5EED">
              <w:rPr>
                <w:rFonts w:cstheme="minorHAnsi"/>
                <w:b/>
                <w:bCs/>
              </w:rPr>
              <w:t xml:space="preserve"> 2.3.2. Унапредување на системот за управување со учењето и промоција на е-учењето</w:t>
            </w:r>
          </w:p>
        </w:tc>
      </w:tr>
      <w:tr w:rsidR="00B951DF" w:rsidRPr="00782799" w14:paraId="53CF804F" w14:textId="77777777" w:rsidTr="00092885">
        <w:tc>
          <w:tcPr>
            <w:tcW w:w="5214" w:type="dxa"/>
            <w:vMerge w:val="restart"/>
            <w:shd w:val="clear" w:color="auto" w:fill="D9E2F3" w:themeFill="accent1" w:themeFillTint="33"/>
            <w:vAlign w:val="center"/>
          </w:tcPr>
          <w:p w14:paraId="63F583BE" w14:textId="77777777" w:rsidR="00B951DF" w:rsidRPr="00782799" w:rsidRDefault="00B951DF" w:rsidP="00EC7C0D">
            <w:pPr>
              <w:jc w:val="center"/>
              <w:rPr>
                <w:rFonts w:cstheme="minorHAnsi"/>
                <w:sz w:val="20"/>
                <w:szCs w:val="20"/>
              </w:rPr>
            </w:pPr>
            <w:r w:rsidRPr="00782799">
              <w:rPr>
                <w:rFonts w:ascii="Calibri" w:hAnsi="Calibri" w:cs="Calibri"/>
                <w:b/>
                <w:bCs/>
                <w:color w:val="000000"/>
                <w:sz w:val="20"/>
                <w:szCs w:val="20"/>
                <w:lang w:val="mk-MK"/>
              </w:rPr>
              <w:lastRenderedPageBreak/>
              <w:t>Показател на резултат:</w:t>
            </w:r>
          </w:p>
        </w:tc>
        <w:tc>
          <w:tcPr>
            <w:tcW w:w="1370" w:type="dxa"/>
            <w:tcBorders>
              <w:bottom w:val="nil"/>
              <w:right w:val="nil"/>
            </w:tcBorders>
            <w:shd w:val="clear" w:color="auto" w:fill="D9E2F3" w:themeFill="accent1" w:themeFillTint="33"/>
          </w:tcPr>
          <w:p w14:paraId="5CCBF9E5"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183EB949"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3956D8FF" w14:textId="77777777" w:rsidR="00B951DF" w:rsidRPr="00782799" w:rsidRDefault="00B951DF" w:rsidP="00EC7C0D">
            <w:pPr>
              <w:jc w:val="center"/>
              <w:rPr>
                <w:sz w:val="20"/>
                <w:szCs w:val="20"/>
                <w:highlight w:val="yellow"/>
                <w:lang w:val="mk-MK"/>
              </w:rPr>
            </w:pPr>
            <w:r w:rsidRPr="00782799">
              <w:rPr>
                <w:b/>
                <w:bCs/>
                <w:sz w:val="20"/>
                <w:szCs w:val="20"/>
                <w:lang w:val="mk-MK"/>
              </w:rPr>
              <w:t>Крајна вредност</w:t>
            </w:r>
          </w:p>
        </w:tc>
      </w:tr>
      <w:tr w:rsidR="00B951DF" w:rsidRPr="00782799" w14:paraId="46186926" w14:textId="77777777" w:rsidTr="00092885">
        <w:tc>
          <w:tcPr>
            <w:tcW w:w="5214" w:type="dxa"/>
            <w:vMerge/>
            <w:shd w:val="clear" w:color="auto" w:fill="D9E2F3" w:themeFill="accent1" w:themeFillTint="33"/>
          </w:tcPr>
          <w:p w14:paraId="5A7A3016" w14:textId="77777777" w:rsidR="00B951DF" w:rsidRPr="00782799" w:rsidRDefault="00B951DF" w:rsidP="00EC7C0D">
            <w:pPr>
              <w:rPr>
                <w:rFonts w:cstheme="minorHAnsi"/>
                <w:sz w:val="20"/>
                <w:szCs w:val="20"/>
              </w:rPr>
            </w:pPr>
          </w:p>
        </w:tc>
        <w:tc>
          <w:tcPr>
            <w:tcW w:w="1370" w:type="dxa"/>
            <w:tcBorders>
              <w:top w:val="nil"/>
              <w:right w:val="nil"/>
            </w:tcBorders>
            <w:shd w:val="clear" w:color="auto" w:fill="D9E2F3" w:themeFill="accent1" w:themeFillTint="33"/>
          </w:tcPr>
          <w:p w14:paraId="1C93B095"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Pr>
                <w:rFonts w:ascii="Calibri" w:hAnsi="Calibri" w:cs="Calibri"/>
                <w:b/>
                <w:bCs/>
                <w:color w:val="000000"/>
                <w:sz w:val="20"/>
                <w:szCs w:val="20"/>
                <w:lang w:val="mk-MK"/>
              </w:rPr>
              <w:t>2</w:t>
            </w:r>
          </w:p>
        </w:tc>
        <w:tc>
          <w:tcPr>
            <w:tcW w:w="1383" w:type="dxa"/>
            <w:tcBorders>
              <w:top w:val="nil"/>
              <w:left w:val="nil"/>
              <w:right w:val="nil"/>
            </w:tcBorders>
            <w:shd w:val="clear" w:color="auto" w:fill="D9E2F3" w:themeFill="accent1" w:themeFillTint="33"/>
          </w:tcPr>
          <w:p w14:paraId="68EA0FE1"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76701D13" w14:textId="77777777" w:rsidR="00B951DF" w:rsidRPr="00782799" w:rsidRDefault="00B951DF" w:rsidP="00EC7C0D">
            <w:pPr>
              <w:jc w:val="center"/>
              <w:rPr>
                <w:sz w:val="20"/>
                <w:szCs w:val="20"/>
                <w:lang w:val="mk-MK"/>
              </w:rPr>
            </w:pPr>
            <w:r w:rsidRPr="00782799">
              <w:rPr>
                <w:b/>
                <w:bCs/>
                <w:sz w:val="20"/>
                <w:szCs w:val="20"/>
                <w:lang w:val="mk-MK"/>
              </w:rPr>
              <w:t>2030</w:t>
            </w:r>
          </w:p>
        </w:tc>
      </w:tr>
      <w:tr w:rsidR="00B951DF" w:rsidRPr="00D106C7" w14:paraId="4F820493" w14:textId="77777777" w:rsidTr="00092885">
        <w:trPr>
          <w:trHeight w:val="638"/>
        </w:trPr>
        <w:tc>
          <w:tcPr>
            <w:tcW w:w="5214" w:type="dxa"/>
            <w:shd w:val="clear" w:color="auto" w:fill="D9E2F3" w:themeFill="accent1" w:themeFillTint="33"/>
          </w:tcPr>
          <w:p w14:paraId="3186AB66" w14:textId="77777777" w:rsidR="00B951DF" w:rsidRPr="00AD5EED" w:rsidRDefault="00B951DF" w:rsidP="00EC7C0D">
            <w:pPr>
              <w:rPr>
                <w:rFonts w:cstheme="minorHAnsi"/>
                <w:bCs/>
                <w:sz w:val="20"/>
                <w:szCs w:val="20"/>
              </w:rPr>
            </w:pPr>
            <w:r w:rsidRPr="00AD5EED">
              <w:rPr>
                <w:rFonts w:cstheme="minorHAnsi"/>
                <w:bCs/>
                <w:sz w:val="20"/>
                <w:szCs w:val="20"/>
                <w:lang w:val="mk-MK"/>
              </w:rPr>
              <w:t>Процент</w:t>
            </w:r>
            <w:r w:rsidRPr="00AD5EED">
              <w:rPr>
                <w:rFonts w:cstheme="minorHAnsi"/>
                <w:bCs/>
                <w:sz w:val="20"/>
                <w:szCs w:val="20"/>
              </w:rPr>
              <w:t xml:space="preserve"> на корисници на системот за управување со учењето (LMS)</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6A44AB" w14:textId="77777777" w:rsidR="00B951DF" w:rsidRPr="00D106C7" w:rsidRDefault="00B951DF" w:rsidP="00EC7C0D">
            <w:pPr>
              <w:jc w:val="center"/>
              <w:rPr>
                <w:rFonts w:ascii="Calibri" w:hAnsi="Calibri" w:cs="Calibri"/>
                <w:color w:val="000000"/>
                <w:sz w:val="20"/>
                <w:szCs w:val="20"/>
                <w:lang w:val="mk-MK"/>
              </w:rPr>
            </w:pPr>
            <w:r w:rsidRPr="00D106C7">
              <w:rPr>
                <w:rFonts w:ascii="Calibri" w:hAnsi="Calibri" w:cs="Calibri"/>
                <w:color w:val="000000"/>
                <w:sz w:val="20"/>
                <w:szCs w:val="20"/>
                <w:lang w:val="mk-MK"/>
              </w:rPr>
              <w:t>30%</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D91B15" w14:textId="77777777" w:rsidR="00B951DF" w:rsidRPr="00D106C7" w:rsidRDefault="00B951DF" w:rsidP="00EC7C0D">
            <w:pPr>
              <w:jc w:val="center"/>
              <w:rPr>
                <w:rFonts w:ascii="Calibri" w:hAnsi="Calibri" w:cs="Calibri"/>
                <w:color w:val="000000"/>
                <w:sz w:val="20"/>
                <w:szCs w:val="20"/>
                <w:lang w:val="mk-MK"/>
              </w:rPr>
            </w:pPr>
            <w:r w:rsidRPr="00D106C7">
              <w:rPr>
                <w:rFonts w:ascii="Calibri" w:hAnsi="Calibri" w:cs="Calibri"/>
                <w:color w:val="000000"/>
                <w:sz w:val="20"/>
                <w:szCs w:val="20"/>
                <w:lang w:val="mk-MK"/>
              </w:rPr>
              <w:t>50%</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F0A8A0" w14:textId="77777777" w:rsidR="00B951DF" w:rsidRPr="00D106C7" w:rsidRDefault="00B951DF" w:rsidP="00EC7C0D">
            <w:pPr>
              <w:jc w:val="center"/>
              <w:rPr>
                <w:sz w:val="20"/>
                <w:szCs w:val="20"/>
                <w:lang w:val="mk-MK"/>
              </w:rPr>
            </w:pPr>
            <w:r w:rsidRPr="00D106C7">
              <w:rPr>
                <w:sz w:val="20"/>
                <w:szCs w:val="20"/>
                <w:lang w:val="mk-MK"/>
              </w:rPr>
              <w:t>75%</w:t>
            </w:r>
          </w:p>
        </w:tc>
      </w:tr>
    </w:tbl>
    <w:p w14:paraId="586C2C07" w14:textId="77777777" w:rsidR="00351D48" w:rsidRDefault="00351D48" w:rsidP="00106B99">
      <w:pPr>
        <w:spacing w:after="0" w:line="240" w:lineRule="auto"/>
        <w:jc w:val="both"/>
        <w:rPr>
          <w:rFonts w:cstheme="minorHAnsi"/>
          <w:b/>
          <w:iCs/>
          <w:u w:val="single"/>
          <w:lang w:val="mk-MK"/>
        </w:rPr>
      </w:pPr>
    </w:p>
    <w:p w14:paraId="312D1528" w14:textId="77777777" w:rsidR="00B951DF" w:rsidRDefault="00B951DF" w:rsidP="00106B99">
      <w:pPr>
        <w:spacing w:after="0" w:line="240" w:lineRule="auto"/>
        <w:jc w:val="both"/>
        <w:rPr>
          <w:rFonts w:cstheme="minorHAnsi"/>
          <w:b/>
          <w:iCs/>
          <w:u w:val="single"/>
          <w:lang w:val="mk-MK"/>
        </w:rPr>
      </w:pPr>
    </w:p>
    <w:p w14:paraId="49242EA3" w14:textId="77777777" w:rsidR="00B951DF" w:rsidRDefault="00B951DF" w:rsidP="00106B99">
      <w:pPr>
        <w:spacing w:after="0" w:line="240" w:lineRule="auto"/>
        <w:jc w:val="both"/>
        <w:rPr>
          <w:rFonts w:cstheme="minorHAnsi"/>
          <w:b/>
          <w:iCs/>
          <w:u w:val="single"/>
          <w:lang w:val="mk-MK"/>
        </w:rPr>
      </w:pPr>
    </w:p>
    <w:p w14:paraId="126E39BA" w14:textId="766AE1B3" w:rsidR="00106B99" w:rsidRPr="00265430" w:rsidRDefault="00106B99" w:rsidP="00106B99">
      <w:pPr>
        <w:spacing w:after="0" w:line="240" w:lineRule="auto"/>
        <w:jc w:val="both"/>
        <w:rPr>
          <w:rFonts w:cstheme="minorHAnsi"/>
          <w:lang w:val="mk-MK"/>
        </w:rPr>
      </w:pPr>
      <w:r w:rsidRPr="00D3445B">
        <w:rPr>
          <w:rFonts w:cstheme="minorHAnsi"/>
          <w:b/>
          <w:iCs/>
          <w:lang w:val="mk-MK"/>
        </w:rPr>
        <w:t>Посебна цел</w:t>
      </w:r>
      <w:r w:rsidR="00B951DF" w:rsidRPr="00D3445B">
        <w:rPr>
          <w:rFonts w:cstheme="minorHAnsi"/>
          <w:b/>
          <w:iCs/>
          <w:lang w:val="mk-MK"/>
        </w:rPr>
        <w:t xml:space="preserve"> 2.</w:t>
      </w:r>
      <w:r w:rsidRPr="00D3445B">
        <w:rPr>
          <w:rFonts w:cstheme="minorHAnsi"/>
          <w:b/>
          <w:iCs/>
          <w:lang w:val="mk-MK"/>
        </w:rPr>
        <w:t>4</w:t>
      </w:r>
      <w:r w:rsidR="00FD47A9" w:rsidRPr="00D3445B">
        <w:rPr>
          <w:rFonts w:cstheme="minorHAnsi"/>
          <w:b/>
          <w:iCs/>
          <w:lang w:val="mk-MK"/>
        </w:rPr>
        <w:t>.</w:t>
      </w:r>
      <w:r w:rsidRPr="00D3445B">
        <w:rPr>
          <w:rFonts w:cstheme="minorHAnsi"/>
          <w:b/>
          <w:iCs/>
          <w:lang w:val="mk-MK"/>
        </w:rPr>
        <w:t>: Воспоставување на унифициран и кохерентен систем на плати во јавната служба</w:t>
      </w:r>
      <w:r w:rsidRPr="00265430">
        <w:rPr>
          <w:rFonts w:cstheme="minorHAnsi"/>
          <w:lang w:val="mk-MK"/>
        </w:rPr>
        <w:t xml:space="preserve"> </w:t>
      </w:r>
    </w:p>
    <w:p w14:paraId="3D31700F" w14:textId="77777777" w:rsidR="0004290D" w:rsidRDefault="0004290D" w:rsidP="00106B99">
      <w:pPr>
        <w:spacing w:after="0" w:line="240" w:lineRule="auto"/>
        <w:jc w:val="both"/>
        <w:rPr>
          <w:rFonts w:cstheme="minorHAnsi"/>
          <w:lang w:val="mk-MK"/>
        </w:rPr>
      </w:pPr>
    </w:p>
    <w:p w14:paraId="29A962A6" w14:textId="3252ABC5" w:rsidR="00106B99" w:rsidRPr="007B413E" w:rsidRDefault="00106B99" w:rsidP="00106B99">
      <w:pPr>
        <w:spacing w:after="0" w:line="240" w:lineRule="auto"/>
        <w:jc w:val="both"/>
        <w:rPr>
          <w:rFonts w:cstheme="minorHAnsi"/>
          <w:lang w:val="mk-MK"/>
        </w:rPr>
      </w:pPr>
      <w:r w:rsidRPr="007B413E">
        <w:rPr>
          <w:rFonts w:cstheme="minorHAnsi"/>
          <w:lang w:val="mk-MK"/>
        </w:rPr>
        <w:t>Новиот систем на плати треба да биде заснован  врз принципот на “еднаква плата - за еднаква работа“ во јавната администрација, вклучувајќи и компоненти за пресметување на надоместоци и додатоци на платите за постигнатите резултати, степенот на сложеност и обемот на работа, додатоци на плати</w:t>
      </w:r>
      <w:r w:rsidR="00CE7A0A">
        <w:rPr>
          <w:rFonts w:cstheme="minorHAnsi"/>
          <w:lang w:val="mk-MK"/>
        </w:rPr>
        <w:t>те</w:t>
      </w:r>
      <w:r w:rsidRPr="007B413E">
        <w:rPr>
          <w:rFonts w:cstheme="minorHAnsi"/>
          <w:lang w:val="mk-MK"/>
        </w:rPr>
        <w:t xml:space="preserve"> за одредени профили на вработени (вработени во ИТ секторите, во ИПА структурите и слично), во областите каде е забележан дефицит на квалитетен кадар или одлив на веќе постоечкиот кадар. Предвид</w:t>
      </w:r>
      <w:r>
        <w:rPr>
          <w:rFonts w:cstheme="minorHAnsi"/>
          <w:lang w:val="mk-MK"/>
        </w:rPr>
        <w:t>ена</w:t>
      </w:r>
      <w:r w:rsidRPr="007B413E">
        <w:rPr>
          <w:rFonts w:cstheme="minorHAnsi"/>
          <w:lang w:val="mk-MK"/>
        </w:rPr>
        <w:t xml:space="preserve"> мерк</w:t>
      </w:r>
      <w:r>
        <w:rPr>
          <w:rFonts w:cstheme="minorHAnsi"/>
          <w:lang w:val="mk-MK"/>
        </w:rPr>
        <w:t>а</w:t>
      </w:r>
      <w:r w:rsidRPr="007B413E">
        <w:rPr>
          <w:rFonts w:cstheme="minorHAnsi"/>
          <w:lang w:val="mk-MK"/>
        </w:rPr>
        <w:t xml:space="preserve"> за постиг</w:t>
      </w:r>
      <w:r>
        <w:rPr>
          <w:rFonts w:cstheme="minorHAnsi"/>
          <w:lang w:val="mk-MK"/>
        </w:rPr>
        <w:t>нување</w:t>
      </w:r>
      <w:r w:rsidRPr="007B413E">
        <w:rPr>
          <w:rFonts w:cstheme="minorHAnsi"/>
          <w:lang w:val="mk-MK"/>
        </w:rPr>
        <w:t xml:space="preserve"> на оваа посебна цел</w:t>
      </w:r>
      <w:r>
        <w:rPr>
          <w:rFonts w:cstheme="minorHAnsi"/>
          <w:lang w:val="mk-MK"/>
        </w:rPr>
        <w:t xml:space="preserve"> е</w:t>
      </w:r>
      <w:r w:rsidRPr="007B413E">
        <w:rPr>
          <w:rFonts w:cstheme="minorHAnsi"/>
          <w:lang w:val="mk-MK"/>
        </w:rPr>
        <w:t>:</w:t>
      </w:r>
    </w:p>
    <w:p w14:paraId="623A381E" w14:textId="77777777" w:rsidR="00106B99" w:rsidRPr="007B413E" w:rsidRDefault="00106B99" w:rsidP="00106B99">
      <w:pPr>
        <w:spacing w:after="0" w:line="240" w:lineRule="auto"/>
        <w:jc w:val="both"/>
        <w:rPr>
          <w:rFonts w:cstheme="minorHAnsi"/>
          <w:lang w:val="mk-MK"/>
        </w:rPr>
      </w:pPr>
    </w:p>
    <w:p w14:paraId="6E87D17B" w14:textId="0F7BEB20" w:rsidR="00106B99" w:rsidRPr="007B413E" w:rsidRDefault="00106B99" w:rsidP="00106B99">
      <w:pPr>
        <w:rPr>
          <w:rFonts w:cstheme="minorHAnsi"/>
          <w:lang w:val="mk-MK"/>
        </w:rPr>
      </w:pPr>
      <w:r w:rsidRPr="007B413E">
        <w:rPr>
          <w:rFonts w:cstheme="minorHAnsi"/>
          <w:b/>
          <w:lang w:val="mk-MK"/>
        </w:rPr>
        <w:t>М</w:t>
      </w:r>
      <w:r>
        <w:rPr>
          <w:rFonts w:cstheme="minorHAnsi"/>
          <w:b/>
          <w:lang w:val="mk-MK"/>
        </w:rPr>
        <w:t xml:space="preserve"> </w:t>
      </w:r>
      <w:r w:rsidR="00FD47A9">
        <w:rPr>
          <w:rFonts w:cstheme="minorHAnsi"/>
          <w:b/>
          <w:lang w:val="mk-MK"/>
        </w:rPr>
        <w:t>2.</w:t>
      </w:r>
      <w:r>
        <w:rPr>
          <w:rFonts w:cstheme="minorHAnsi"/>
          <w:b/>
          <w:lang w:val="mk-MK"/>
        </w:rPr>
        <w:t>4.</w:t>
      </w:r>
      <w:r w:rsidRPr="007B413E">
        <w:rPr>
          <w:rFonts w:cstheme="minorHAnsi"/>
          <w:b/>
          <w:lang w:val="mk-MK"/>
        </w:rPr>
        <w:t>1</w:t>
      </w:r>
      <w:r>
        <w:rPr>
          <w:rFonts w:cstheme="minorHAnsi"/>
          <w:b/>
          <w:lang w:val="mk-MK"/>
        </w:rPr>
        <w:t>.</w:t>
      </w:r>
      <w:r w:rsidRPr="007B413E">
        <w:rPr>
          <w:rFonts w:cstheme="minorHAnsi"/>
          <w:b/>
          <w:lang w:val="mk-MK"/>
        </w:rPr>
        <w:t>:</w:t>
      </w:r>
      <w:r w:rsidRPr="007B413E">
        <w:rPr>
          <w:rFonts w:cstheme="minorHAnsi"/>
          <w:lang w:val="mk-MK"/>
        </w:rPr>
        <w:t xml:space="preserve"> </w:t>
      </w:r>
      <w:r w:rsidRPr="00FA2775">
        <w:rPr>
          <w:rFonts w:cstheme="minorHAnsi"/>
          <w:b/>
          <w:bCs/>
          <w:lang w:eastAsia="en-GB"/>
        </w:rPr>
        <w:t>Утврдување на правна рамка</w:t>
      </w:r>
      <w:r w:rsidRPr="00FA2775">
        <w:rPr>
          <w:rFonts w:cstheme="minorHAnsi"/>
          <w:b/>
          <w:bCs/>
          <w:lang w:val="mk-MK" w:eastAsia="en-GB"/>
        </w:rPr>
        <w:t xml:space="preserve"> за воспоставување на единствен систем на плати во јавниот </w:t>
      </w:r>
      <w:r>
        <w:rPr>
          <w:rFonts w:cstheme="minorHAnsi"/>
          <w:b/>
          <w:bCs/>
          <w:lang w:val="mk-MK" w:eastAsia="en-GB"/>
        </w:rPr>
        <w:t>сектор</w:t>
      </w:r>
    </w:p>
    <w:p w14:paraId="6B7C3BD0" w14:textId="6218C097" w:rsidR="00106B99" w:rsidRPr="007B413E" w:rsidRDefault="00106B99" w:rsidP="00B951DF">
      <w:pPr>
        <w:spacing w:after="0" w:line="240" w:lineRule="auto"/>
        <w:jc w:val="both"/>
        <w:rPr>
          <w:rFonts w:cstheme="minorHAnsi"/>
          <w:lang w:val="mk-MK"/>
        </w:rPr>
      </w:pPr>
      <w:r>
        <w:rPr>
          <w:rFonts w:cstheme="minorHAnsi"/>
          <w:lang w:val="mk-MK"/>
        </w:rPr>
        <w:t xml:space="preserve">Очекувани ефекти од мерката се зголемување на правната извесност и систематичност во уредувањето на прашањето за плати и надоместоци во јавниот сектор. Истовремено, ќе се намали бројот на </w:t>
      </w:r>
      <w:r w:rsidR="00265430">
        <w:rPr>
          <w:rFonts w:cstheme="minorHAnsi"/>
          <w:lang w:val="mk-MK"/>
        </w:rPr>
        <w:t xml:space="preserve">подзаконски </w:t>
      </w:r>
      <w:r>
        <w:rPr>
          <w:rFonts w:cstheme="minorHAnsi"/>
          <w:lang w:val="mk-MK"/>
        </w:rPr>
        <w:t>правни акти кои пропишуваат различни решенија во областа</w:t>
      </w:r>
      <w:r w:rsidR="00265430">
        <w:rPr>
          <w:rFonts w:cstheme="minorHAnsi"/>
          <w:lang w:val="mk-MK"/>
        </w:rPr>
        <w:t xml:space="preserve">, а </w:t>
      </w:r>
      <w:r>
        <w:rPr>
          <w:rFonts w:cstheme="minorHAnsi"/>
          <w:lang w:val="mk-MK"/>
        </w:rPr>
        <w:t>проблемот системски ќе се реши со единствен законски текст кој ќе обезбеди воедначување на платите по категории на вработени во јавниот сектор</w:t>
      </w:r>
      <w:r w:rsidR="00265430">
        <w:rPr>
          <w:rFonts w:cstheme="minorHAnsi"/>
          <w:lang w:val="mk-MK"/>
        </w:rPr>
        <w:t xml:space="preserve"> и </w:t>
      </w:r>
      <w:r>
        <w:rPr>
          <w:rFonts w:cstheme="minorHAnsi"/>
          <w:lang w:val="mk-MK"/>
        </w:rPr>
        <w:t xml:space="preserve"> ќе оневозможи нивно фрагментарно менување. </w:t>
      </w:r>
    </w:p>
    <w:p w14:paraId="030AC6FF" w14:textId="77777777" w:rsidR="00B951DF" w:rsidRDefault="00B951DF" w:rsidP="00B951DF">
      <w:pPr>
        <w:spacing w:after="0"/>
        <w:jc w:val="both"/>
        <w:rPr>
          <w:lang w:val="mk-MK"/>
        </w:rPr>
      </w:pPr>
    </w:p>
    <w:p w14:paraId="78588784" w14:textId="369EBECE" w:rsidR="00351D48" w:rsidRPr="00C1585A" w:rsidRDefault="00351D48" w:rsidP="00B951DF">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261114D2" w14:textId="77777777" w:rsidR="00351D48" w:rsidRDefault="00351D48" w:rsidP="00106B99"/>
    <w:tbl>
      <w:tblPr>
        <w:tblStyle w:val="TableGrid"/>
        <w:tblW w:w="0" w:type="auto"/>
        <w:tblLook w:val="04A0" w:firstRow="1" w:lastRow="0" w:firstColumn="1" w:lastColumn="0" w:noHBand="0" w:noVBand="1"/>
      </w:tblPr>
      <w:tblGrid>
        <w:gridCol w:w="5214"/>
        <w:gridCol w:w="1370"/>
        <w:gridCol w:w="1383"/>
        <w:gridCol w:w="1383"/>
      </w:tblGrid>
      <w:tr w:rsidR="00B951DF" w:rsidRPr="00AD5EED" w14:paraId="25BF6EEB" w14:textId="77777777" w:rsidTr="00092885">
        <w:tc>
          <w:tcPr>
            <w:tcW w:w="9350" w:type="dxa"/>
            <w:gridSpan w:val="4"/>
            <w:shd w:val="clear" w:color="auto" w:fill="D9E2F3" w:themeFill="accent1" w:themeFillTint="33"/>
          </w:tcPr>
          <w:p w14:paraId="5F10E21E" w14:textId="77777777" w:rsidR="00B951DF" w:rsidRPr="00AD5EED" w:rsidRDefault="00B951DF" w:rsidP="00EC7C0D">
            <w:pPr>
              <w:jc w:val="both"/>
              <w:rPr>
                <w:rFonts w:cstheme="minorHAnsi"/>
                <w:b/>
                <w:bCs/>
                <w:highlight w:val="yellow"/>
                <w:lang w:val="mk-MK"/>
              </w:rPr>
            </w:pPr>
            <w:r w:rsidRPr="00AD5EED">
              <w:rPr>
                <w:rFonts w:cstheme="minorHAnsi"/>
                <w:b/>
                <w:bCs/>
              </w:rPr>
              <w:t>П</w:t>
            </w:r>
            <w:r w:rsidRPr="00AD5EED">
              <w:rPr>
                <w:rFonts w:cstheme="minorHAnsi"/>
                <w:b/>
                <w:bCs/>
                <w:lang w:val="mk-MK"/>
              </w:rPr>
              <w:t>осебна цел</w:t>
            </w:r>
            <w:r w:rsidRPr="00AD5EED">
              <w:rPr>
                <w:rFonts w:cstheme="minorHAnsi"/>
                <w:b/>
                <w:bCs/>
              </w:rPr>
              <w:t xml:space="preserve"> 2.4. Воспоставување на унифициран и кохерентен систем на плати во јавниот сектор</w:t>
            </w:r>
          </w:p>
        </w:tc>
      </w:tr>
      <w:tr w:rsidR="00B951DF" w:rsidRPr="00782799" w14:paraId="74F2A5BF" w14:textId="77777777" w:rsidTr="00092885">
        <w:tc>
          <w:tcPr>
            <w:tcW w:w="5214" w:type="dxa"/>
            <w:vMerge w:val="restart"/>
            <w:shd w:val="clear" w:color="auto" w:fill="D9E2F3" w:themeFill="accent1" w:themeFillTint="33"/>
            <w:vAlign w:val="center"/>
          </w:tcPr>
          <w:p w14:paraId="3C0EF4EE" w14:textId="77777777" w:rsidR="00B951DF" w:rsidRPr="00782799" w:rsidRDefault="00B951DF"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24D713D9"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6A2126F3"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14E01E2F" w14:textId="77777777" w:rsidR="00B951DF" w:rsidRPr="00782799" w:rsidRDefault="00B951DF" w:rsidP="00EC7C0D">
            <w:pPr>
              <w:jc w:val="center"/>
              <w:rPr>
                <w:sz w:val="20"/>
                <w:szCs w:val="20"/>
                <w:highlight w:val="yellow"/>
                <w:lang w:val="mk-MK"/>
              </w:rPr>
            </w:pPr>
            <w:r w:rsidRPr="00782799">
              <w:rPr>
                <w:b/>
                <w:bCs/>
                <w:sz w:val="20"/>
                <w:szCs w:val="20"/>
                <w:lang w:val="mk-MK"/>
              </w:rPr>
              <w:t>Крајна вредност</w:t>
            </w:r>
          </w:p>
        </w:tc>
      </w:tr>
      <w:tr w:rsidR="00B951DF" w:rsidRPr="00782799" w14:paraId="04A8A674" w14:textId="77777777" w:rsidTr="00092885">
        <w:tc>
          <w:tcPr>
            <w:tcW w:w="5214" w:type="dxa"/>
            <w:vMerge/>
            <w:shd w:val="clear" w:color="auto" w:fill="D9E2F3" w:themeFill="accent1" w:themeFillTint="33"/>
          </w:tcPr>
          <w:p w14:paraId="1BCD84D4" w14:textId="77777777" w:rsidR="00B951DF" w:rsidRPr="00782799" w:rsidRDefault="00B951DF" w:rsidP="00EC7C0D">
            <w:pPr>
              <w:rPr>
                <w:rFonts w:cstheme="minorHAnsi"/>
                <w:sz w:val="20"/>
                <w:szCs w:val="20"/>
              </w:rPr>
            </w:pPr>
          </w:p>
        </w:tc>
        <w:tc>
          <w:tcPr>
            <w:tcW w:w="1370" w:type="dxa"/>
            <w:tcBorders>
              <w:top w:val="nil"/>
              <w:right w:val="nil"/>
            </w:tcBorders>
            <w:shd w:val="clear" w:color="auto" w:fill="D9E2F3" w:themeFill="accent1" w:themeFillTint="33"/>
          </w:tcPr>
          <w:p w14:paraId="366D76FB"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Pr>
                <w:rFonts w:ascii="Calibri" w:hAnsi="Calibri" w:cs="Calibri"/>
                <w:b/>
                <w:bCs/>
                <w:color w:val="000000"/>
                <w:sz w:val="20"/>
                <w:szCs w:val="20"/>
                <w:lang w:val="mk-MK"/>
              </w:rPr>
              <w:t>3</w:t>
            </w:r>
          </w:p>
        </w:tc>
        <w:tc>
          <w:tcPr>
            <w:tcW w:w="1383" w:type="dxa"/>
            <w:tcBorders>
              <w:top w:val="nil"/>
              <w:left w:val="nil"/>
              <w:right w:val="nil"/>
            </w:tcBorders>
            <w:shd w:val="clear" w:color="auto" w:fill="D9E2F3" w:themeFill="accent1" w:themeFillTint="33"/>
          </w:tcPr>
          <w:p w14:paraId="207A5D58"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115BAA80" w14:textId="77777777" w:rsidR="00B951DF" w:rsidRPr="00782799" w:rsidRDefault="00B951DF" w:rsidP="00EC7C0D">
            <w:pPr>
              <w:jc w:val="center"/>
              <w:rPr>
                <w:sz w:val="20"/>
                <w:szCs w:val="20"/>
                <w:lang w:val="mk-MK"/>
              </w:rPr>
            </w:pPr>
            <w:r w:rsidRPr="00782799">
              <w:rPr>
                <w:b/>
                <w:bCs/>
                <w:sz w:val="20"/>
                <w:szCs w:val="20"/>
                <w:lang w:val="mk-MK"/>
              </w:rPr>
              <w:t>2030</w:t>
            </w:r>
          </w:p>
        </w:tc>
      </w:tr>
      <w:tr w:rsidR="00B951DF" w:rsidRPr="00D106C7" w14:paraId="4904DB4F" w14:textId="77777777" w:rsidTr="00092885">
        <w:trPr>
          <w:trHeight w:val="638"/>
        </w:trPr>
        <w:tc>
          <w:tcPr>
            <w:tcW w:w="5214" w:type="dxa"/>
            <w:shd w:val="clear" w:color="auto" w:fill="D9E2F3" w:themeFill="accent1" w:themeFillTint="33"/>
          </w:tcPr>
          <w:p w14:paraId="55065B39" w14:textId="77777777" w:rsidR="00B951DF" w:rsidRPr="00AD5EED" w:rsidRDefault="00B951DF" w:rsidP="00EC7C0D">
            <w:pPr>
              <w:rPr>
                <w:rFonts w:cstheme="minorHAnsi"/>
                <w:sz w:val="20"/>
                <w:szCs w:val="20"/>
              </w:rPr>
            </w:pPr>
            <w:r w:rsidRPr="00AD5EED">
              <w:rPr>
                <w:rFonts w:cstheme="minorHAnsi"/>
                <w:sz w:val="20"/>
                <w:szCs w:val="20"/>
                <w:lang w:val="mk-MK"/>
              </w:rPr>
              <w:t xml:space="preserve">Процент </w:t>
            </w:r>
            <w:r w:rsidRPr="00AD5EED">
              <w:rPr>
                <w:rFonts w:cstheme="minorHAnsi"/>
                <w:sz w:val="20"/>
                <w:szCs w:val="20"/>
              </w:rPr>
              <w:t>на утврдени поединечни платни потсистеми во областите утврдени со Законот за систем на плати во јавниот сектор</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6848D" w14:textId="77777777" w:rsidR="00B951DF" w:rsidRPr="00D106C7" w:rsidRDefault="00B951DF" w:rsidP="00EC7C0D">
            <w:pPr>
              <w:jc w:val="center"/>
              <w:rPr>
                <w:rFonts w:ascii="Calibri" w:hAnsi="Calibri" w:cs="Calibri"/>
                <w:color w:val="000000"/>
                <w:sz w:val="20"/>
                <w:szCs w:val="20"/>
                <w:lang w:val="mk-MK"/>
              </w:rPr>
            </w:pPr>
            <w:r>
              <w:rPr>
                <w:rFonts w:ascii="Calibri" w:hAnsi="Calibri" w:cs="Calibri"/>
                <w:color w:val="000000"/>
                <w:sz w:val="20"/>
                <w:szCs w:val="20"/>
                <w:lang w:val="mk-MK"/>
              </w:rPr>
              <w:t>0</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78162C" w14:textId="77777777" w:rsidR="00B951DF" w:rsidRPr="000C62C4" w:rsidRDefault="00B951DF" w:rsidP="00EC7C0D">
            <w:pPr>
              <w:jc w:val="center"/>
              <w:rPr>
                <w:rFonts w:ascii="Calibri" w:hAnsi="Calibri" w:cs="Calibri"/>
                <w:sz w:val="20"/>
                <w:szCs w:val="20"/>
                <w:lang w:val="mk-MK"/>
              </w:rPr>
            </w:pPr>
            <w:r w:rsidRPr="000C62C4">
              <w:rPr>
                <w:rFonts w:ascii="Calibri" w:hAnsi="Calibri" w:cs="Calibri"/>
                <w:sz w:val="20"/>
                <w:szCs w:val="20"/>
                <w:lang w:val="mk-MK"/>
              </w:rPr>
              <w:t>100%</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F7870E" w14:textId="77777777" w:rsidR="00B951DF" w:rsidRPr="000C62C4" w:rsidRDefault="00B951DF" w:rsidP="00EC7C0D">
            <w:pPr>
              <w:jc w:val="center"/>
              <w:rPr>
                <w:sz w:val="20"/>
                <w:szCs w:val="20"/>
                <w:lang w:val="mk-MK"/>
              </w:rPr>
            </w:pPr>
            <w:r w:rsidRPr="000C62C4">
              <w:rPr>
                <w:sz w:val="20"/>
                <w:szCs w:val="20"/>
                <w:lang w:val="mk-MK"/>
              </w:rPr>
              <w:t>100%</w:t>
            </w:r>
          </w:p>
        </w:tc>
      </w:tr>
      <w:tr w:rsidR="00B951DF" w:rsidRPr="00AD5EED" w14:paraId="6BF7CB78" w14:textId="77777777" w:rsidTr="00092885">
        <w:tc>
          <w:tcPr>
            <w:tcW w:w="9350" w:type="dxa"/>
            <w:gridSpan w:val="4"/>
            <w:shd w:val="clear" w:color="auto" w:fill="D9E2F3" w:themeFill="accent1" w:themeFillTint="33"/>
          </w:tcPr>
          <w:p w14:paraId="5A5E3A84" w14:textId="77777777" w:rsidR="00B951DF" w:rsidRPr="00AD5EED" w:rsidRDefault="00B951DF" w:rsidP="00EC7C0D">
            <w:pPr>
              <w:jc w:val="both"/>
              <w:rPr>
                <w:rFonts w:cstheme="minorHAnsi"/>
                <w:b/>
                <w:bCs/>
                <w:highlight w:val="yellow"/>
                <w:lang w:val="mk-MK"/>
              </w:rPr>
            </w:pPr>
            <w:r w:rsidRPr="00AD5EED">
              <w:rPr>
                <w:rFonts w:cstheme="minorHAnsi"/>
                <w:b/>
                <w:bCs/>
              </w:rPr>
              <w:t>М</w:t>
            </w:r>
            <w:r w:rsidRPr="00AD5EED">
              <w:rPr>
                <w:rFonts w:cstheme="minorHAnsi"/>
                <w:b/>
                <w:bCs/>
                <w:lang w:val="mk-MK"/>
              </w:rPr>
              <w:t>ерка</w:t>
            </w:r>
            <w:r w:rsidRPr="00AD5EED">
              <w:rPr>
                <w:rFonts w:cstheme="minorHAnsi"/>
                <w:b/>
                <w:bCs/>
              </w:rPr>
              <w:t xml:space="preserve"> 2.4.1 </w:t>
            </w:r>
            <w:r w:rsidRPr="00AD5EED">
              <w:rPr>
                <w:rFonts w:cstheme="minorHAnsi"/>
                <w:b/>
                <w:bCs/>
                <w:lang w:val="en-US"/>
              </w:rPr>
              <w:t>Утврдување на правна рамка</w:t>
            </w:r>
            <w:r w:rsidRPr="00AD5EED">
              <w:rPr>
                <w:rFonts w:cstheme="minorHAnsi"/>
                <w:b/>
                <w:bCs/>
              </w:rPr>
              <w:t xml:space="preserve"> за воспоставување на единствен систем на плати во јавниот сектор</w:t>
            </w:r>
          </w:p>
        </w:tc>
      </w:tr>
      <w:tr w:rsidR="00B951DF" w:rsidRPr="00782799" w14:paraId="5D83B2C7" w14:textId="77777777" w:rsidTr="00092885">
        <w:tc>
          <w:tcPr>
            <w:tcW w:w="5214" w:type="dxa"/>
            <w:vMerge w:val="restart"/>
            <w:shd w:val="clear" w:color="auto" w:fill="D9E2F3" w:themeFill="accent1" w:themeFillTint="33"/>
            <w:vAlign w:val="center"/>
          </w:tcPr>
          <w:p w14:paraId="1C459B8E" w14:textId="77777777" w:rsidR="00B951DF" w:rsidRPr="00782799" w:rsidRDefault="00B951DF" w:rsidP="00EC7C0D">
            <w:pPr>
              <w:jc w:val="center"/>
              <w:rPr>
                <w:rFonts w:cstheme="minorHAnsi"/>
                <w:sz w:val="20"/>
                <w:szCs w:val="20"/>
              </w:rPr>
            </w:pPr>
            <w:r w:rsidRPr="00782799">
              <w:rPr>
                <w:rFonts w:ascii="Calibri" w:hAnsi="Calibri" w:cs="Calibri"/>
                <w:b/>
                <w:bCs/>
                <w:color w:val="000000"/>
                <w:sz w:val="20"/>
                <w:szCs w:val="20"/>
                <w:lang w:val="mk-MK"/>
              </w:rPr>
              <w:t>Показател на резултат:</w:t>
            </w:r>
          </w:p>
        </w:tc>
        <w:tc>
          <w:tcPr>
            <w:tcW w:w="1370" w:type="dxa"/>
            <w:tcBorders>
              <w:bottom w:val="nil"/>
              <w:right w:val="nil"/>
            </w:tcBorders>
            <w:shd w:val="clear" w:color="auto" w:fill="D9E2F3" w:themeFill="accent1" w:themeFillTint="33"/>
          </w:tcPr>
          <w:p w14:paraId="356D4BDC"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Почетна вредност</w:t>
            </w:r>
          </w:p>
        </w:tc>
        <w:tc>
          <w:tcPr>
            <w:tcW w:w="1383" w:type="dxa"/>
            <w:tcBorders>
              <w:left w:val="nil"/>
              <w:bottom w:val="nil"/>
              <w:right w:val="nil"/>
            </w:tcBorders>
            <w:shd w:val="clear" w:color="auto" w:fill="D9E2F3" w:themeFill="accent1" w:themeFillTint="33"/>
          </w:tcPr>
          <w:p w14:paraId="3D041662" w14:textId="77777777" w:rsidR="00B951DF" w:rsidRPr="00782799" w:rsidRDefault="00B951DF" w:rsidP="00EC7C0D">
            <w:pPr>
              <w:jc w:val="center"/>
              <w:rPr>
                <w:rFonts w:ascii="Calibri" w:hAnsi="Calibri" w:cs="Calibri"/>
                <w:color w:val="000000"/>
                <w:sz w:val="20"/>
                <w:szCs w:val="20"/>
                <w:lang w:val="mk-MK"/>
              </w:rPr>
            </w:pPr>
            <w:r w:rsidRPr="00782799">
              <w:rPr>
                <w:b/>
                <w:bCs/>
                <w:sz w:val="20"/>
                <w:szCs w:val="20"/>
                <w:lang w:val="mk-MK"/>
              </w:rPr>
              <w:t>Преодна вредност</w:t>
            </w:r>
          </w:p>
        </w:tc>
        <w:tc>
          <w:tcPr>
            <w:tcW w:w="1383" w:type="dxa"/>
            <w:tcBorders>
              <w:left w:val="nil"/>
              <w:bottom w:val="nil"/>
            </w:tcBorders>
            <w:shd w:val="clear" w:color="auto" w:fill="D9E2F3" w:themeFill="accent1" w:themeFillTint="33"/>
          </w:tcPr>
          <w:p w14:paraId="60DB70D0" w14:textId="77777777" w:rsidR="00B951DF" w:rsidRPr="00782799" w:rsidRDefault="00B951DF" w:rsidP="00EC7C0D">
            <w:pPr>
              <w:jc w:val="center"/>
              <w:rPr>
                <w:sz w:val="20"/>
                <w:szCs w:val="20"/>
                <w:highlight w:val="yellow"/>
                <w:lang w:val="mk-MK"/>
              </w:rPr>
            </w:pPr>
            <w:r w:rsidRPr="00782799">
              <w:rPr>
                <w:b/>
                <w:bCs/>
                <w:sz w:val="20"/>
                <w:szCs w:val="20"/>
                <w:lang w:val="mk-MK"/>
              </w:rPr>
              <w:t>Крајна вредност</w:t>
            </w:r>
          </w:p>
        </w:tc>
      </w:tr>
      <w:tr w:rsidR="00B951DF" w:rsidRPr="00782799" w14:paraId="368963A3" w14:textId="77777777" w:rsidTr="00092885">
        <w:tc>
          <w:tcPr>
            <w:tcW w:w="5214" w:type="dxa"/>
            <w:vMerge/>
            <w:shd w:val="clear" w:color="auto" w:fill="D9E2F3" w:themeFill="accent1" w:themeFillTint="33"/>
          </w:tcPr>
          <w:p w14:paraId="206E669E" w14:textId="77777777" w:rsidR="00B951DF" w:rsidRPr="00782799" w:rsidRDefault="00B951DF" w:rsidP="00EC7C0D">
            <w:pPr>
              <w:rPr>
                <w:rFonts w:cstheme="minorHAnsi"/>
                <w:sz w:val="20"/>
                <w:szCs w:val="20"/>
              </w:rPr>
            </w:pPr>
          </w:p>
        </w:tc>
        <w:tc>
          <w:tcPr>
            <w:tcW w:w="1370" w:type="dxa"/>
            <w:tcBorders>
              <w:top w:val="nil"/>
              <w:right w:val="nil"/>
            </w:tcBorders>
            <w:shd w:val="clear" w:color="auto" w:fill="D9E2F3" w:themeFill="accent1" w:themeFillTint="33"/>
          </w:tcPr>
          <w:p w14:paraId="46638B92"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w:t>
            </w:r>
            <w:r>
              <w:rPr>
                <w:rFonts w:ascii="Calibri" w:hAnsi="Calibri" w:cs="Calibri"/>
                <w:b/>
                <w:bCs/>
                <w:color w:val="000000"/>
                <w:sz w:val="20"/>
                <w:szCs w:val="20"/>
                <w:lang w:val="mk-MK"/>
              </w:rPr>
              <w:t>3</w:t>
            </w:r>
          </w:p>
        </w:tc>
        <w:tc>
          <w:tcPr>
            <w:tcW w:w="1383" w:type="dxa"/>
            <w:tcBorders>
              <w:top w:val="nil"/>
              <w:left w:val="nil"/>
              <w:right w:val="nil"/>
            </w:tcBorders>
            <w:shd w:val="clear" w:color="auto" w:fill="D9E2F3" w:themeFill="accent1" w:themeFillTint="33"/>
          </w:tcPr>
          <w:p w14:paraId="73EE4783" w14:textId="77777777" w:rsidR="00B951DF" w:rsidRPr="00782799" w:rsidRDefault="00B951DF" w:rsidP="00EC7C0D">
            <w:pPr>
              <w:jc w:val="center"/>
              <w:rPr>
                <w:rFonts w:ascii="Calibri" w:hAnsi="Calibri" w:cs="Calibri"/>
                <w:color w:val="000000"/>
                <w:sz w:val="20"/>
                <w:szCs w:val="20"/>
                <w:lang w:val="mk-MK"/>
              </w:rPr>
            </w:pPr>
            <w:r w:rsidRPr="00782799">
              <w:rPr>
                <w:rFonts w:ascii="Calibri" w:hAnsi="Calibri" w:cs="Calibri"/>
                <w:b/>
                <w:bCs/>
                <w:color w:val="000000"/>
                <w:sz w:val="20"/>
                <w:szCs w:val="20"/>
                <w:lang w:val="mk-MK"/>
              </w:rPr>
              <w:t>2026</w:t>
            </w:r>
          </w:p>
        </w:tc>
        <w:tc>
          <w:tcPr>
            <w:tcW w:w="1383" w:type="dxa"/>
            <w:tcBorders>
              <w:top w:val="nil"/>
              <w:left w:val="nil"/>
            </w:tcBorders>
            <w:shd w:val="clear" w:color="auto" w:fill="D9E2F3" w:themeFill="accent1" w:themeFillTint="33"/>
          </w:tcPr>
          <w:p w14:paraId="173A66E0" w14:textId="77777777" w:rsidR="00B951DF" w:rsidRPr="00782799" w:rsidRDefault="00B951DF" w:rsidP="00EC7C0D">
            <w:pPr>
              <w:jc w:val="center"/>
              <w:rPr>
                <w:sz w:val="20"/>
                <w:szCs w:val="20"/>
                <w:lang w:val="mk-MK"/>
              </w:rPr>
            </w:pPr>
            <w:r w:rsidRPr="00782799">
              <w:rPr>
                <w:b/>
                <w:bCs/>
                <w:sz w:val="20"/>
                <w:szCs w:val="20"/>
                <w:lang w:val="mk-MK"/>
              </w:rPr>
              <w:t>2030</w:t>
            </w:r>
          </w:p>
        </w:tc>
      </w:tr>
      <w:tr w:rsidR="00B951DF" w:rsidRPr="00AD5EED" w14:paraId="36FC4BDE" w14:textId="77777777" w:rsidTr="00092885">
        <w:trPr>
          <w:trHeight w:val="638"/>
        </w:trPr>
        <w:tc>
          <w:tcPr>
            <w:tcW w:w="5214" w:type="dxa"/>
            <w:shd w:val="clear" w:color="auto" w:fill="D9E2F3" w:themeFill="accent1" w:themeFillTint="33"/>
          </w:tcPr>
          <w:p w14:paraId="4FC029E6" w14:textId="77777777" w:rsidR="00B951DF" w:rsidRPr="00AD5EED" w:rsidRDefault="00B951DF" w:rsidP="00EC7C0D">
            <w:pPr>
              <w:rPr>
                <w:rFonts w:cstheme="minorHAnsi"/>
                <w:bCs/>
                <w:sz w:val="20"/>
                <w:szCs w:val="20"/>
              </w:rPr>
            </w:pPr>
            <w:r w:rsidRPr="00AD5EED">
              <w:rPr>
                <w:rFonts w:cstheme="minorHAnsi"/>
                <w:bCs/>
                <w:sz w:val="20"/>
                <w:szCs w:val="20"/>
              </w:rPr>
              <w:t>Утврдена правната рамка за воспоставување на систем на плати во јавниот сектор</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14338D" w14:textId="6AA15CB6" w:rsidR="00B951DF" w:rsidRPr="00537256" w:rsidRDefault="00265430" w:rsidP="00EC7C0D">
            <w:pPr>
              <w:jc w:val="center"/>
              <w:rPr>
                <w:rFonts w:cstheme="minorHAnsi"/>
                <w:bCs/>
                <w:color w:val="000000"/>
                <w:sz w:val="20"/>
                <w:szCs w:val="20"/>
                <w:lang w:val="mk-MK"/>
              </w:rPr>
            </w:pPr>
            <w:r>
              <w:rPr>
                <w:rFonts w:cstheme="minorHAnsi"/>
                <w:bCs/>
                <w:sz w:val="20"/>
                <w:szCs w:val="20"/>
                <w:lang w:val="mk-MK"/>
              </w:rPr>
              <w:t>Д</w:t>
            </w:r>
            <w:r w:rsidR="00537256" w:rsidRPr="00537256">
              <w:rPr>
                <w:rFonts w:cstheme="minorHAnsi"/>
                <w:bCs/>
                <w:sz w:val="20"/>
                <w:szCs w:val="20"/>
              </w:rPr>
              <w:t>онесен Закон за систем на плати во јавниот сектор</w:t>
            </w:r>
            <w:r w:rsidR="00537256" w:rsidRPr="00537256">
              <w:rPr>
                <w:rFonts w:cstheme="minorHAnsi"/>
                <w:bCs/>
                <w:sz w:val="20"/>
                <w:szCs w:val="20"/>
                <w:lang w:val="en-US"/>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0A5748" w14:textId="02099862" w:rsidR="00B951DF" w:rsidRPr="00272902" w:rsidRDefault="00272902" w:rsidP="00EC7C0D">
            <w:pPr>
              <w:jc w:val="center"/>
              <w:rPr>
                <w:rFonts w:cstheme="minorHAnsi"/>
                <w:bCs/>
                <w:color w:val="000000"/>
                <w:sz w:val="20"/>
                <w:szCs w:val="20"/>
                <w:highlight w:val="yellow"/>
                <w:lang w:val="mk-MK"/>
              </w:rPr>
            </w:pPr>
            <w:r w:rsidRPr="00272902">
              <w:rPr>
                <w:sz w:val="20"/>
                <w:szCs w:val="20"/>
                <w:lang w:val="mk-MK" w:eastAsia="mk-MK"/>
              </w:rPr>
              <w:t>Целосно донесена правна рамка</w:t>
            </w:r>
          </w:p>
        </w:tc>
        <w:tc>
          <w:tcPr>
            <w:tcW w:w="13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C31B54" w14:textId="3902213E" w:rsidR="00B951DF" w:rsidRPr="00272902" w:rsidRDefault="00272902" w:rsidP="00EC7C0D">
            <w:pPr>
              <w:jc w:val="center"/>
              <w:rPr>
                <w:rFonts w:cstheme="minorHAnsi"/>
                <w:bCs/>
                <w:sz w:val="20"/>
                <w:szCs w:val="20"/>
                <w:highlight w:val="yellow"/>
                <w:lang w:val="mk-MK"/>
              </w:rPr>
            </w:pPr>
            <w:r w:rsidRPr="00272902">
              <w:rPr>
                <w:sz w:val="20"/>
                <w:szCs w:val="20"/>
                <w:lang w:val="mk-MK" w:eastAsia="mk-MK"/>
              </w:rPr>
              <w:t>Целосно донесена правна рамка</w:t>
            </w:r>
          </w:p>
        </w:tc>
      </w:tr>
    </w:tbl>
    <w:p w14:paraId="12460568" w14:textId="77777777" w:rsidR="00777F37" w:rsidRDefault="00777F37" w:rsidP="00106B99"/>
    <w:p w14:paraId="762CB9E8" w14:textId="0FE878FA" w:rsidR="00106B99" w:rsidRDefault="00106B99" w:rsidP="00106B99">
      <w:pPr>
        <w:pStyle w:val="Heading2"/>
        <w:rPr>
          <w:lang w:val="mk-MK"/>
        </w:rPr>
      </w:pPr>
      <w:r>
        <w:rPr>
          <w:lang w:val="mk-MK"/>
        </w:rPr>
        <w:t>3.3. Општа и посебни цели во приоритетна област 3: Одговорност, отчетност и транспарентност</w:t>
      </w:r>
    </w:p>
    <w:p w14:paraId="6475D4BA" w14:textId="176ECF78" w:rsidR="00106B99" w:rsidRDefault="00106B99" w:rsidP="00106B99">
      <w:pPr>
        <w:rPr>
          <w:lang w:val="mk-MK"/>
        </w:rPr>
      </w:pPr>
    </w:p>
    <w:p w14:paraId="707C8291" w14:textId="3BCBCADF" w:rsidR="00106B99" w:rsidRPr="005516B2" w:rsidRDefault="00106B99" w:rsidP="00106B99">
      <w:pPr>
        <w:jc w:val="both"/>
        <w:rPr>
          <w:rFonts w:cstheme="minorHAnsi"/>
          <w:b/>
          <w:sz w:val="24"/>
          <w:szCs w:val="24"/>
          <w:lang w:val="mk-MK"/>
        </w:rPr>
      </w:pPr>
      <w:r w:rsidRPr="005516B2">
        <w:rPr>
          <w:rFonts w:cstheme="minorHAnsi"/>
          <w:b/>
          <w:sz w:val="24"/>
          <w:szCs w:val="24"/>
          <w:lang w:val="mk-MK"/>
        </w:rPr>
        <w:t>ОПШТА ЦЕЛ: Одговорно, отчетно и транспарентно работење на институциите</w:t>
      </w:r>
    </w:p>
    <w:p w14:paraId="73A9FAA5" w14:textId="09A7704C" w:rsidR="00106B99" w:rsidRDefault="00106B99" w:rsidP="00106B99">
      <w:pPr>
        <w:spacing w:after="0"/>
        <w:jc w:val="both"/>
      </w:pPr>
      <w:r>
        <w:t xml:space="preserve">Врз основа на извршената анализа на состојбите, </w:t>
      </w:r>
      <w:r w:rsidR="00202BF0">
        <w:rPr>
          <w:lang w:val="mk-MK"/>
        </w:rPr>
        <w:t>ВРСМ</w:t>
      </w:r>
      <w:r>
        <w:t xml:space="preserve"> е потребно да ги насочи своите усилби кон остварување на истата општа цел утврдена со С</w:t>
      </w:r>
      <w:r w:rsidR="003C7510">
        <w:rPr>
          <w:lang w:val="mk-MK"/>
        </w:rPr>
        <w:t xml:space="preserve">тратегија за </w:t>
      </w:r>
      <w:r>
        <w:t>РЈА</w:t>
      </w:r>
      <w:r w:rsidR="0098328D">
        <w:rPr>
          <w:lang w:val="mk-MK"/>
        </w:rPr>
        <w:t xml:space="preserve"> </w:t>
      </w:r>
      <w:r>
        <w:t xml:space="preserve"> </w:t>
      </w:r>
      <w:r w:rsidR="0098328D">
        <w:rPr>
          <w:lang w:val="mk-MK"/>
        </w:rPr>
        <w:t>(</w:t>
      </w:r>
      <w:r>
        <w:t>2018-2022</w:t>
      </w:r>
      <w:r w:rsidR="0098328D">
        <w:rPr>
          <w:lang w:val="mk-MK"/>
        </w:rPr>
        <w:t>)</w:t>
      </w:r>
      <w:r>
        <w:t xml:space="preserve">. </w:t>
      </w:r>
    </w:p>
    <w:p w14:paraId="5B018373" w14:textId="77777777" w:rsidR="00106B99" w:rsidRDefault="00106B99" w:rsidP="00106B99">
      <w:pPr>
        <w:spacing w:after="0"/>
        <w:jc w:val="both"/>
        <w:rPr>
          <w:i/>
          <w:iCs/>
          <w:u w:val="single"/>
        </w:rPr>
      </w:pPr>
    </w:p>
    <w:p w14:paraId="7E92510C" w14:textId="77777777" w:rsidR="00FD47A9" w:rsidRDefault="00FD47A9" w:rsidP="00FD47A9">
      <w:pPr>
        <w:jc w:val="both"/>
        <w:rPr>
          <w:lang w:val="mk-MK"/>
        </w:rPr>
      </w:pPr>
      <w:r>
        <w:rPr>
          <w:lang w:val="mk-MK"/>
        </w:rPr>
        <w:t>Општата цел ќе се следи преку следниов показател на ниво на ефект:</w:t>
      </w:r>
    </w:p>
    <w:tbl>
      <w:tblPr>
        <w:tblStyle w:val="TableGrid"/>
        <w:tblW w:w="0" w:type="auto"/>
        <w:tblLook w:val="04A0" w:firstRow="1" w:lastRow="0" w:firstColumn="1" w:lastColumn="0" w:noHBand="0" w:noVBand="1"/>
      </w:tblPr>
      <w:tblGrid>
        <w:gridCol w:w="5395"/>
        <w:gridCol w:w="1350"/>
        <w:gridCol w:w="1260"/>
        <w:gridCol w:w="1345"/>
      </w:tblGrid>
      <w:tr w:rsidR="00FD47A9" w:rsidRPr="00933133" w14:paraId="40DB0485" w14:textId="77777777" w:rsidTr="00EC7C0D">
        <w:tc>
          <w:tcPr>
            <w:tcW w:w="9350" w:type="dxa"/>
            <w:gridSpan w:val="4"/>
            <w:shd w:val="clear" w:color="auto" w:fill="D9E2F3" w:themeFill="accent1" w:themeFillTint="33"/>
          </w:tcPr>
          <w:p w14:paraId="5C68F064" w14:textId="77777777" w:rsidR="00FD47A9" w:rsidRPr="00933133" w:rsidRDefault="00FD47A9" w:rsidP="00EC7C0D">
            <w:pPr>
              <w:rPr>
                <w:rFonts w:ascii="Calibri" w:hAnsi="Calibri" w:cs="Calibri"/>
                <w:b/>
                <w:bCs/>
                <w:color w:val="000000"/>
              </w:rPr>
            </w:pPr>
            <w:r w:rsidRPr="00933133">
              <w:rPr>
                <w:rFonts w:ascii="Calibri" w:hAnsi="Calibri" w:cs="Calibri"/>
                <w:b/>
                <w:bCs/>
                <w:color w:val="000000"/>
              </w:rPr>
              <w:t xml:space="preserve">ОПШТА </w:t>
            </w:r>
            <w:r w:rsidRPr="00B82585">
              <w:rPr>
                <w:rFonts w:ascii="Calibri" w:hAnsi="Calibri" w:cs="Calibri"/>
                <w:b/>
                <w:bCs/>
                <w:color w:val="000000"/>
              </w:rPr>
              <w:t xml:space="preserve">ЦЕЛ: </w:t>
            </w:r>
            <w:r w:rsidRPr="00964535">
              <w:rPr>
                <w:rFonts w:cstheme="minorHAnsi"/>
                <w:b/>
                <w:bCs/>
                <w:lang w:val="mk-MK"/>
              </w:rPr>
              <w:t>ОДГОВОРНО, ОТЧЕТНО И ТРАНСПАРЕНТНО РАБОТЕЊЕ НА ИНСТИТУЦИИТЕ</w:t>
            </w:r>
          </w:p>
        </w:tc>
      </w:tr>
      <w:tr w:rsidR="00FD47A9" w:rsidRPr="00933133" w14:paraId="241E3E9D" w14:textId="77777777" w:rsidTr="00EC7C0D">
        <w:tc>
          <w:tcPr>
            <w:tcW w:w="5395" w:type="dxa"/>
            <w:vMerge w:val="restart"/>
            <w:shd w:val="clear" w:color="auto" w:fill="D9E2F3" w:themeFill="accent1" w:themeFillTint="33"/>
            <w:vAlign w:val="center"/>
          </w:tcPr>
          <w:p w14:paraId="2D493424" w14:textId="77777777" w:rsidR="00FD47A9" w:rsidRPr="00933133" w:rsidRDefault="00FD47A9" w:rsidP="00EC7C0D">
            <w:pPr>
              <w:jc w:val="center"/>
              <w:rPr>
                <w:b/>
                <w:bCs/>
              </w:rPr>
            </w:pPr>
            <w:r w:rsidRPr="00933133">
              <w:rPr>
                <w:b/>
                <w:bCs/>
                <w:lang w:val="mk-MK"/>
              </w:rPr>
              <w:t>Показател на ефект:</w:t>
            </w:r>
          </w:p>
        </w:tc>
        <w:tc>
          <w:tcPr>
            <w:tcW w:w="1350" w:type="dxa"/>
            <w:tcBorders>
              <w:bottom w:val="nil"/>
              <w:right w:val="nil"/>
            </w:tcBorders>
            <w:shd w:val="clear" w:color="auto" w:fill="D9E2F3" w:themeFill="accent1" w:themeFillTint="33"/>
          </w:tcPr>
          <w:p w14:paraId="6C620A0A" w14:textId="77777777" w:rsidR="00FD47A9" w:rsidRPr="00933133" w:rsidRDefault="00FD47A9" w:rsidP="00EC7C0D">
            <w:pPr>
              <w:jc w:val="center"/>
              <w:rPr>
                <w:b/>
                <w:bCs/>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08280DFC" w14:textId="77777777" w:rsidR="00FD47A9" w:rsidRPr="00933133" w:rsidRDefault="00FD47A9" w:rsidP="00EC7C0D">
            <w:pPr>
              <w:jc w:val="center"/>
              <w:rPr>
                <w:b/>
                <w:bCs/>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3AD22D7" w14:textId="77777777" w:rsidR="00FD47A9" w:rsidRPr="00933133" w:rsidRDefault="00FD47A9" w:rsidP="00EC7C0D">
            <w:pPr>
              <w:jc w:val="center"/>
              <w:rPr>
                <w:b/>
                <w:bCs/>
                <w:lang w:val="mk-MK"/>
              </w:rPr>
            </w:pPr>
            <w:r w:rsidRPr="00933133">
              <w:rPr>
                <w:b/>
                <w:bCs/>
                <w:lang w:val="mk-MK"/>
              </w:rPr>
              <w:t>Крајна вредност</w:t>
            </w:r>
          </w:p>
        </w:tc>
      </w:tr>
      <w:tr w:rsidR="00FD47A9" w:rsidRPr="00933133" w14:paraId="5B9B7DA5" w14:textId="77777777" w:rsidTr="00EC7C0D">
        <w:tc>
          <w:tcPr>
            <w:tcW w:w="5395" w:type="dxa"/>
            <w:vMerge/>
            <w:tcBorders>
              <w:bottom w:val="single" w:sz="4" w:space="0" w:color="auto"/>
            </w:tcBorders>
            <w:shd w:val="clear" w:color="auto" w:fill="D9E2F3" w:themeFill="accent1" w:themeFillTint="33"/>
          </w:tcPr>
          <w:p w14:paraId="3754E2D4" w14:textId="77777777" w:rsidR="00FD47A9" w:rsidRPr="00933133" w:rsidRDefault="00FD47A9" w:rsidP="00EC7C0D">
            <w:pPr>
              <w:rPr>
                <w:lang w:val="mk-MK"/>
              </w:rPr>
            </w:pPr>
          </w:p>
        </w:tc>
        <w:tc>
          <w:tcPr>
            <w:tcW w:w="1350" w:type="dxa"/>
            <w:tcBorders>
              <w:top w:val="nil"/>
              <w:bottom w:val="single" w:sz="4" w:space="0" w:color="auto"/>
              <w:right w:val="nil"/>
            </w:tcBorders>
            <w:shd w:val="clear" w:color="auto" w:fill="D9E2F3" w:themeFill="accent1" w:themeFillTint="33"/>
          </w:tcPr>
          <w:p w14:paraId="4E8EB808" w14:textId="77777777" w:rsidR="00FD47A9" w:rsidRPr="00933133" w:rsidRDefault="00FD47A9" w:rsidP="00EC7C0D">
            <w:pPr>
              <w:jc w:val="center"/>
              <w:rPr>
                <w:b/>
                <w:bCs/>
                <w:lang w:val="mk-MK"/>
              </w:rPr>
            </w:pPr>
            <w:r w:rsidRPr="00933133">
              <w:rPr>
                <w:b/>
                <w:bCs/>
                <w:lang w:val="mk-MK"/>
              </w:rPr>
              <w:t>2021</w:t>
            </w:r>
          </w:p>
        </w:tc>
        <w:tc>
          <w:tcPr>
            <w:tcW w:w="1260" w:type="dxa"/>
            <w:tcBorders>
              <w:top w:val="nil"/>
              <w:left w:val="nil"/>
              <w:bottom w:val="single" w:sz="4" w:space="0" w:color="auto"/>
              <w:right w:val="nil"/>
            </w:tcBorders>
            <w:shd w:val="clear" w:color="auto" w:fill="D9E2F3" w:themeFill="accent1" w:themeFillTint="33"/>
          </w:tcPr>
          <w:p w14:paraId="5436DCA7" w14:textId="77777777" w:rsidR="00FD47A9" w:rsidRPr="00933133" w:rsidRDefault="00FD47A9" w:rsidP="00EC7C0D">
            <w:pPr>
              <w:jc w:val="center"/>
              <w:rPr>
                <w:b/>
                <w:bCs/>
                <w:lang w:val="mk-MK"/>
              </w:rPr>
            </w:pPr>
            <w:r w:rsidRPr="00933133">
              <w:rPr>
                <w:b/>
                <w:bCs/>
                <w:lang w:val="mk-MK"/>
              </w:rPr>
              <w:t>2026</w:t>
            </w:r>
          </w:p>
        </w:tc>
        <w:tc>
          <w:tcPr>
            <w:tcW w:w="1345" w:type="dxa"/>
            <w:tcBorders>
              <w:top w:val="nil"/>
              <w:left w:val="nil"/>
              <w:bottom w:val="single" w:sz="4" w:space="0" w:color="auto"/>
            </w:tcBorders>
            <w:shd w:val="clear" w:color="auto" w:fill="D9E2F3" w:themeFill="accent1" w:themeFillTint="33"/>
          </w:tcPr>
          <w:p w14:paraId="57BBD306" w14:textId="77777777" w:rsidR="00FD47A9" w:rsidRPr="00933133" w:rsidRDefault="00FD47A9" w:rsidP="00EC7C0D">
            <w:pPr>
              <w:jc w:val="center"/>
              <w:rPr>
                <w:b/>
                <w:bCs/>
                <w:lang w:val="mk-MK"/>
              </w:rPr>
            </w:pPr>
            <w:r w:rsidRPr="00933133">
              <w:rPr>
                <w:b/>
                <w:bCs/>
                <w:lang w:val="mk-MK"/>
              </w:rPr>
              <w:t>2030</w:t>
            </w:r>
          </w:p>
        </w:tc>
      </w:tr>
      <w:tr w:rsidR="00FD47A9" w:rsidRPr="00B82585" w14:paraId="6D315844" w14:textId="77777777" w:rsidTr="00EC7C0D">
        <w:tc>
          <w:tcPr>
            <w:tcW w:w="5395" w:type="dxa"/>
            <w:tcBorders>
              <w:bottom w:val="single" w:sz="12" w:space="0" w:color="auto"/>
            </w:tcBorders>
            <w:shd w:val="clear" w:color="auto" w:fill="D9E2F3" w:themeFill="accent1" w:themeFillTint="33"/>
          </w:tcPr>
          <w:p w14:paraId="7730156E" w14:textId="77777777" w:rsidR="00FD47A9" w:rsidRPr="00362050" w:rsidRDefault="00FD47A9" w:rsidP="00EC7C0D">
            <w:pPr>
              <w:jc w:val="both"/>
              <w:rPr>
                <w:sz w:val="20"/>
                <w:szCs w:val="20"/>
              </w:rPr>
            </w:pPr>
            <w:r w:rsidRPr="00362050">
              <w:rPr>
                <w:rFonts w:cstheme="minorHAnsi"/>
                <w:sz w:val="20"/>
                <w:szCs w:val="20"/>
                <w:lang w:val="mk-MK"/>
              </w:rPr>
              <w:t>Вредност на показателот на СИГМА за тематската област Отчетност од Начелата за јавна администрација</w:t>
            </w:r>
          </w:p>
        </w:tc>
        <w:tc>
          <w:tcPr>
            <w:tcW w:w="1350" w:type="dxa"/>
            <w:tcBorders>
              <w:bottom w:val="single" w:sz="12" w:space="0" w:color="auto"/>
            </w:tcBorders>
            <w:shd w:val="clear" w:color="auto" w:fill="D9E2F3" w:themeFill="accent1" w:themeFillTint="33"/>
            <w:vAlign w:val="center"/>
          </w:tcPr>
          <w:p w14:paraId="0AB30BC9" w14:textId="77777777" w:rsidR="00FD47A9" w:rsidRPr="000D20B1" w:rsidRDefault="00FD47A9" w:rsidP="00EC7C0D">
            <w:pPr>
              <w:jc w:val="center"/>
              <w:rPr>
                <w:sz w:val="20"/>
                <w:szCs w:val="20"/>
              </w:rPr>
            </w:pPr>
            <w:r>
              <w:rPr>
                <w:sz w:val="20"/>
                <w:szCs w:val="20"/>
              </w:rPr>
              <w:t>3,2</w:t>
            </w:r>
          </w:p>
        </w:tc>
        <w:tc>
          <w:tcPr>
            <w:tcW w:w="1260" w:type="dxa"/>
            <w:tcBorders>
              <w:bottom w:val="single" w:sz="12" w:space="0" w:color="auto"/>
            </w:tcBorders>
            <w:shd w:val="clear" w:color="auto" w:fill="D9E2F3" w:themeFill="accent1" w:themeFillTint="33"/>
            <w:vAlign w:val="center"/>
          </w:tcPr>
          <w:p w14:paraId="11D7C403" w14:textId="77777777" w:rsidR="00FD47A9" w:rsidRPr="000D20B1" w:rsidRDefault="00FD47A9" w:rsidP="00EC7C0D">
            <w:pPr>
              <w:jc w:val="center"/>
              <w:rPr>
                <w:sz w:val="20"/>
                <w:szCs w:val="20"/>
              </w:rPr>
            </w:pPr>
            <w:r>
              <w:rPr>
                <w:sz w:val="20"/>
                <w:szCs w:val="20"/>
              </w:rPr>
              <w:t>3,4</w:t>
            </w:r>
          </w:p>
        </w:tc>
        <w:tc>
          <w:tcPr>
            <w:tcW w:w="1345" w:type="dxa"/>
            <w:tcBorders>
              <w:bottom w:val="single" w:sz="12" w:space="0" w:color="auto"/>
            </w:tcBorders>
            <w:shd w:val="clear" w:color="auto" w:fill="D9E2F3" w:themeFill="accent1" w:themeFillTint="33"/>
            <w:vAlign w:val="center"/>
          </w:tcPr>
          <w:p w14:paraId="1D875E17" w14:textId="77777777" w:rsidR="00FD47A9" w:rsidRPr="00B82585" w:rsidRDefault="00FD47A9" w:rsidP="00EC7C0D">
            <w:pPr>
              <w:jc w:val="center"/>
              <w:rPr>
                <w:sz w:val="20"/>
                <w:szCs w:val="20"/>
                <w:lang w:val="en-US"/>
              </w:rPr>
            </w:pPr>
            <w:r>
              <w:rPr>
                <w:sz w:val="20"/>
                <w:szCs w:val="20"/>
                <w:lang w:val="en-US"/>
              </w:rPr>
              <w:t>4</w:t>
            </w:r>
          </w:p>
        </w:tc>
      </w:tr>
    </w:tbl>
    <w:p w14:paraId="78DE2DDC" w14:textId="77777777" w:rsidR="00FD47A9" w:rsidRDefault="00FD47A9" w:rsidP="00106B99">
      <w:pPr>
        <w:spacing w:after="0"/>
        <w:rPr>
          <w:b/>
          <w:bCs/>
          <w:u w:val="single"/>
        </w:rPr>
      </w:pPr>
    </w:p>
    <w:p w14:paraId="4F7AF81C" w14:textId="77777777" w:rsidR="0098328D" w:rsidRDefault="0098328D" w:rsidP="0098328D">
      <w:pPr>
        <w:spacing w:after="0"/>
        <w:jc w:val="both"/>
      </w:pPr>
      <w:r>
        <w:t>Во нејзини рамки, утврдени се следниве посебни цели и мерки:</w:t>
      </w:r>
    </w:p>
    <w:p w14:paraId="734A33DF" w14:textId="77777777" w:rsidR="0098328D" w:rsidRDefault="0098328D" w:rsidP="00106B99">
      <w:pPr>
        <w:spacing w:after="0"/>
        <w:rPr>
          <w:b/>
          <w:bCs/>
          <w:u w:val="single"/>
        </w:rPr>
      </w:pPr>
    </w:p>
    <w:p w14:paraId="641CC830" w14:textId="428E972B" w:rsidR="00106B99" w:rsidRPr="006D5ECF" w:rsidRDefault="00106B99" w:rsidP="00106B99">
      <w:pPr>
        <w:spacing w:after="0"/>
        <w:rPr>
          <w:b/>
          <w:bCs/>
          <w:u w:val="single"/>
        </w:rPr>
      </w:pPr>
      <w:r w:rsidRPr="006D5ECF">
        <w:rPr>
          <w:b/>
          <w:bCs/>
          <w:u w:val="single"/>
        </w:rPr>
        <w:t xml:space="preserve">Посебна цел </w:t>
      </w:r>
      <w:r w:rsidR="00FD47A9">
        <w:rPr>
          <w:b/>
          <w:bCs/>
          <w:u w:val="single"/>
          <w:lang w:val="mk-MK"/>
        </w:rPr>
        <w:t>3.</w:t>
      </w:r>
      <w:r w:rsidRPr="006D5ECF">
        <w:rPr>
          <w:b/>
          <w:bCs/>
          <w:u w:val="single"/>
        </w:rPr>
        <w:t>1: Кохерентна и оптимизирана државна управа</w:t>
      </w:r>
    </w:p>
    <w:p w14:paraId="7EBBD5AE" w14:textId="77777777" w:rsidR="00AC4875" w:rsidRDefault="00AC4875" w:rsidP="00106B99">
      <w:pPr>
        <w:spacing w:after="0"/>
        <w:jc w:val="both"/>
      </w:pPr>
    </w:p>
    <w:p w14:paraId="3F38CB7B" w14:textId="2D10C9B2" w:rsidR="00106B99" w:rsidRDefault="00106B99" w:rsidP="00106B99">
      <w:pPr>
        <w:spacing w:after="0"/>
        <w:jc w:val="both"/>
      </w:pPr>
      <w:r>
        <w:t xml:space="preserve">Оптимизацијата на државната управа треба да доведе </w:t>
      </w:r>
      <w:r>
        <w:rPr>
          <w:lang w:val="mk-MK"/>
        </w:rPr>
        <w:t>до</w:t>
      </w:r>
      <w:r>
        <w:t xml:space="preserve"> зголемување на нејзината ефикасност</w:t>
      </w:r>
      <w:r w:rsidR="0098328D">
        <w:rPr>
          <w:lang w:val="mk-MK"/>
        </w:rPr>
        <w:t xml:space="preserve"> и подобрена економичност во работењето</w:t>
      </w:r>
      <w:r>
        <w:t xml:space="preserve">. Едноставно кажано, сите надлежности на извршната власт ќе бидат извршувани од страна на помал број на државни органи и со помалку буџетски средства. Тоа неминовно ќе доведе и до реалокација на средствата, но и на дел од кадрите, со што оваа цел станува комплементарна со поголемиот број посебни цели утврдени во </w:t>
      </w:r>
      <w:r w:rsidR="0098328D">
        <w:rPr>
          <w:lang w:val="mk-MK"/>
        </w:rPr>
        <w:t>П</w:t>
      </w:r>
      <w:r>
        <w:t>риоритетна област</w:t>
      </w:r>
      <w:r w:rsidR="0098328D">
        <w:rPr>
          <w:lang w:val="mk-MK"/>
        </w:rPr>
        <w:t xml:space="preserve"> 2</w:t>
      </w:r>
      <w:r>
        <w:t>, како што се професионализација на јавната администрација и пополнување на испразнетите позиции во една институција преку мобилност од други институции од јавниот сектор. За да се постигне опти</w:t>
      </w:r>
      <w:r w:rsidR="00964535">
        <w:t>мална и ефикасна државна управа</w:t>
      </w:r>
      <w:r>
        <w:t xml:space="preserve"> потребна е нејзина реорганизација, чија крајна цел не е само намалување на бројот на државни </w:t>
      </w:r>
      <w:r w:rsidR="00964535">
        <w:t>органи туку</w:t>
      </w:r>
      <w:r>
        <w:t>, уште поважно - воспоставување на јасна хиерархиска подреденост согласно улогата на секој орган (креатор на политики, спроведувач на политики, спроведувач на инспекциски надзор) со што ќе се елиминира преклопувањето на надлежностите и ќе се обезбедат ефективни и рационални линии на одговорност.</w:t>
      </w:r>
    </w:p>
    <w:p w14:paraId="00E2F2B2" w14:textId="77777777" w:rsidR="00106B99" w:rsidRDefault="00106B99" w:rsidP="00106B99">
      <w:pPr>
        <w:spacing w:after="0"/>
      </w:pPr>
    </w:p>
    <w:p w14:paraId="1D85554E" w14:textId="2AA1E418" w:rsidR="00106B99" w:rsidRDefault="00106B99" w:rsidP="00106B99">
      <w:pPr>
        <w:spacing w:after="0"/>
        <w:rPr>
          <w:b/>
          <w:bCs/>
        </w:rPr>
      </w:pPr>
      <w:r w:rsidRPr="006D5ECF">
        <w:rPr>
          <w:b/>
          <w:bCs/>
        </w:rPr>
        <w:t>М</w:t>
      </w:r>
      <w:r w:rsidR="00AC4875">
        <w:rPr>
          <w:b/>
          <w:bCs/>
          <w:lang w:val="mk-MK"/>
        </w:rPr>
        <w:t xml:space="preserve"> </w:t>
      </w:r>
      <w:r w:rsidR="00FD47A9">
        <w:rPr>
          <w:b/>
          <w:bCs/>
          <w:lang w:val="mk-MK"/>
        </w:rPr>
        <w:t>3.</w:t>
      </w:r>
      <w:r w:rsidR="00AC4875">
        <w:rPr>
          <w:b/>
          <w:bCs/>
          <w:lang w:val="mk-MK"/>
        </w:rPr>
        <w:t>1.1.</w:t>
      </w:r>
      <w:r w:rsidRPr="006D5ECF">
        <w:rPr>
          <w:b/>
          <w:bCs/>
        </w:rPr>
        <w:t>: Реорганизација на државната управа</w:t>
      </w:r>
    </w:p>
    <w:p w14:paraId="1FB82DAF" w14:textId="77777777" w:rsidR="00964535" w:rsidRPr="006D5ECF" w:rsidRDefault="00964535" w:rsidP="00106B99">
      <w:pPr>
        <w:spacing w:after="0"/>
        <w:rPr>
          <w:b/>
          <w:bCs/>
        </w:rPr>
      </w:pPr>
    </w:p>
    <w:p w14:paraId="1F26657C" w14:textId="1E54F7B5" w:rsidR="00106B99" w:rsidRDefault="00106B99" w:rsidP="00106B99">
      <w:pPr>
        <w:spacing w:after="0"/>
        <w:jc w:val="both"/>
      </w:pPr>
      <w:r>
        <w:t xml:space="preserve">Основот за реорганизација и оптимизација на државната управа ќе биде новиот системски закон за организација </w:t>
      </w:r>
      <w:r>
        <w:rPr>
          <w:lang w:val="mk-MK"/>
        </w:rPr>
        <w:t xml:space="preserve">и работа </w:t>
      </w:r>
      <w:r>
        <w:t>на органите на државна управа, со кој јасно ќе се дефинира улогата на секој вид на орган на државната управа: министерствата како креатори на политики, агенциите како имплементатори (спроведувачи) на политики и инспекторатите како спроведувач</w:t>
      </w:r>
      <w:r w:rsidR="0098328D">
        <w:rPr>
          <w:lang w:val="mk-MK"/>
        </w:rPr>
        <w:t>и</w:t>
      </w:r>
      <w:r>
        <w:t xml:space="preserve"> на инспекциски надзор врз спроведувањето на политиките креирани од самото министерство во чиј состав се наоѓа инспекторатот. Законот ќе ја утврди </w:t>
      </w:r>
      <w:r>
        <w:rPr>
          <w:lang w:val="mk-MK"/>
        </w:rPr>
        <w:t xml:space="preserve">нова </w:t>
      </w:r>
      <w:r>
        <w:t xml:space="preserve">организациската поставеност, надлежностите, </w:t>
      </w:r>
      <w:r>
        <w:lastRenderedPageBreak/>
        <w:t xml:space="preserve">принципите на работа и </w:t>
      </w:r>
      <w:r>
        <w:rPr>
          <w:lang w:val="mk-MK"/>
        </w:rPr>
        <w:t xml:space="preserve">јасните </w:t>
      </w:r>
      <w:r>
        <w:t xml:space="preserve">линии на отчетност </w:t>
      </w:r>
      <w:r>
        <w:rPr>
          <w:lang w:val="mk-MK"/>
        </w:rPr>
        <w:t xml:space="preserve">и одговорност </w:t>
      </w:r>
      <w:r>
        <w:t>на сите органи на државна управа</w:t>
      </w:r>
      <w:r>
        <w:rPr>
          <w:lang w:val="mk-MK"/>
        </w:rPr>
        <w:t>, а</w:t>
      </w:r>
      <w:r>
        <w:t xml:space="preserve"> и ќе утврди воедначеност на називите на органите </w:t>
      </w:r>
      <w:r>
        <w:rPr>
          <w:lang w:val="mk-MK"/>
        </w:rPr>
        <w:t xml:space="preserve">во состав </w:t>
      </w:r>
      <w:r>
        <w:t>и на нивните раководни структури.</w:t>
      </w:r>
    </w:p>
    <w:p w14:paraId="1F10045A" w14:textId="77777777" w:rsidR="00106B99" w:rsidRDefault="00106B99" w:rsidP="00106B99">
      <w:pPr>
        <w:spacing w:after="0"/>
        <w:jc w:val="both"/>
      </w:pPr>
    </w:p>
    <w:p w14:paraId="4483B8AA" w14:textId="47F2A18B" w:rsidR="00106B99" w:rsidRDefault="00106B99" w:rsidP="00106B99">
      <w:pPr>
        <w:spacing w:after="0"/>
        <w:jc w:val="both"/>
        <w:rPr>
          <w:lang w:val="mk-MK"/>
        </w:rPr>
      </w:pPr>
      <w:r>
        <w:t xml:space="preserve">Реорганизацијата на државната управа </w:t>
      </w:r>
      <w:r>
        <w:rPr>
          <w:lang w:val="mk-MK"/>
        </w:rPr>
        <w:t xml:space="preserve">најпрво ќе започне </w:t>
      </w:r>
      <w:r>
        <w:t xml:space="preserve">преку </w:t>
      </w:r>
      <w:r>
        <w:rPr>
          <w:lang w:val="mk-MK"/>
        </w:rPr>
        <w:t>пилотирање на трите министерски системи на М</w:t>
      </w:r>
      <w:r w:rsidR="00F9266F">
        <w:rPr>
          <w:lang w:val="mk-MK"/>
        </w:rPr>
        <w:t>ИОА</w:t>
      </w:r>
      <w:r>
        <w:rPr>
          <w:lang w:val="mk-MK"/>
        </w:rPr>
        <w:t xml:space="preserve">, Министерството за економија и Министерството за земјоделство, шумарство и водостопанство, што всушност значи проверка на препораките од Интегрираниот извештај за државна реорганизација и потребата од </w:t>
      </w:r>
      <w:r w:rsidR="001519F5">
        <w:rPr>
          <w:lang w:val="mk-MK"/>
        </w:rPr>
        <w:t xml:space="preserve">структурна </w:t>
      </w:r>
      <w:r>
        <w:rPr>
          <w:lang w:val="mk-MK"/>
        </w:rPr>
        <w:t>промена на истите</w:t>
      </w:r>
      <w:r w:rsidR="001519F5">
        <w:rPr>
          <w:lang w:val="mk-MK"/>
        </w:rPr>
        <w:t>.</w:t>
      </w:r>
      <w:r>
        <w:rPr>
          <w:lang w:val="mk-MK"/>
        </w:rPr>
        <w:t>.</w:t>
      </w:r>
    </w:p>
    <w:p w14:paraId="0C502A4A" w14:textId="77777777" w:rsidR="00106B99" w:rsidRDefault="00106B99" w:rsidP="00106B99">
      <w:pPr>
        <w:spacing w:after="0"/>
        <w:jc w:val="both"/>
        <w:rPr>
          <w:lang w:val="mk-MK"/>
        </w:rPr>
      </w:pPr>
    </w:p>
    <w:p w14:paraId="7A73107A" w14:textId="4D2BFE29" w:rsidR="00106B99" w:rsidRDefault="00106B99" w:rsidP="00106B99">
      <w:pPr>
        <w:spacing w:after="0"/>
        <w:jc w:val="both"/>
        <w:rPr>
          <w:lang w:val="mk-MK"/>
        </w:rPr>
      </w:pPr>
      <w:r>
        <w:rPr>
          <w:lang w:val="mk-MK"/>
        </w:rPr>
        <w:t>Целиот процес ќе се имплементира постепено во фази и на останатите министерски системи и на Г</w:t>
      </w:r>
      <w:r w:rsidR="001519F5">
        <w:rPr>
          <w:lang w:val="mk-MK"/>
        </w:rPr>
        <w:t>С</w:t>
      </w:r>
      <w:r>
        <w:rPr>
          <w:lang w:val="mk-MK"/>
        </w:rPr>
        <w:t xml:space="preserve">. Преку </w:t>
      </w:r>
      <w:r w:rsidR="00432B4D">
        <w:rPr>
          <w:lang w:val="mk-MK"/>
        </w:rPr>
        <w:t xml:space="preserve">воспоставена </w:t>
      </w:r>
      <w:bookmarkStart w:id="8" w:name="_GoBack"/>
      <w:bookmarkEnd w:id="8"/>
      <w:r>
        <w:rPr>
          <w:lang w:val="mk-MK"/>
        </w:rPr>
        <w:t>методолошка рамка, односно постапка</w:t>
      </w:r>
      <w:r>
        <w:t xml:space="preserve"> за формирање, спојување и укинување на органи на државна управа,</w:t>
      </w:r>
      <w:r>
        <w:rPr>
          <w:lang w:val="mk-MK"/>
        </w:rPr>
        <w:t xml:space="preserve"> ќе се избегне преклопувањето на надлежностите и ќе се утврдат јасни линии на отчетност и одговорност и јасна хиерархиска субординираност, што ќе резултира со редовен преглед на државната управа и </w:t>
      </w:r>
      <w:r w:rsidR="001519F5">
        <w:rPr>
          <w:lang w:val="mk-MK"/>
        </w:rPr>
        <w:t xml:space="preserve">преиспитување на </w:t>
      </w:r>
      <w:r>
        <w:rPr>
          <w:lang w:val="mk-MK"/>
        </w:rPr>
        <w:t>потребата од одредени организациски промени.</w:t>
      </w:r>
    </w:p>
    <w:p w14:paraId="0575A504" w14:textId="77777777" w:rsidR="00FD47A9" w:rsidRDefault="00FD47A9" w:rsidP="00106B99">
      <w:pPr>
        <w:spacing w:after="0"/>
        <w:jc w:val="both"/>
        <w:rPr>
          <w:lang w:val="mk-MK"/>
        </w:rPr>
      </w:pPr>
    </w:p>
    <w:p w14:paraId="372EAD44" w14:textId="77777777" w:rsidR="00FD47A9" w:rsidRPr="00C1585A" w:rsidRDefault="00FD47A9" w:rsidP="00FD47A9">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2B4C0FFB" w14:textId="77777777" w:rsidR="00106B99" w:rsidRDefault="00106B99" w:rsidP="00106B99">
      <w:pPr>
        <w:spacing w:after="0"/>
        <w:jc w:val="both"/>
        <w:rPr>
          <w:lang w:val="mk-MK"/>
        </w:rPr>
      </w:pPr>
    </w:p>
    <w:tbl>
      <w:tblPr>
        <w:tblStyle w:val="TableGrid"/>
        <w:tblW w:w="0" w:type="auto"/>
        <w:tblLook w:val="04A0" w:firstRow="1" w:lastRow="0" w:firstColumn="1" w:lastColumn="0" w:noHBand="0" w:noVBand="1"/>
      </w:tblPr>
      <w:tblGrid>
        <w:gridCol w:w="5395"/>
        <w:gridCol w:w="1350"/>
        <w:gridCol w:w="1260"/>
        <w:gridCol w:w="1345"/>
      </w:tblGrid>
      <w:tr w:rsidR="00FD47A9" w:rsidRPr="00B82585" w14:paraId="63CD6F54" w14:textId="77777777" w:rsidTr="00092885">
        <w:tc>
          <w:tcPr>
            <w:tcW w:w="9350" w:type="dxa"/>
            <w:gridSpan w:val="4"/>
            <w:tcBorders>
              <w:top w:val="single" w:sz="12" w:space="0" w:color="auto"/>
            </w:tcBorders>
            <w:shd w:val="clear" w:color="auto" w:fill="D9E2F3" w:themeFill="accent1" w:themeFillTint="33"/>
          </w:tcPr>
          <w:p w14:paraId="505EE6EA" w14:textId="77777777" w:rsidR="00FD47A9" w:rsidRPr="00B82585" w:rsidRDefault="00FD47A9" w:rsidP="00EC7C0D">
            <w:pPr>
              <w:jc w:val="both"/>
              <w:rPr>
                <w:b/>
                <w:bCs/>
                <w:highlight w:val="yellow"/>
                <w:lang w:val="mk-MK"/>
              </w:rPr>
            </w:pPr>
            <w:r w:rsidRPr="00B82585">
              <w:rPr>
                <w:rFonts w:cstheme="minorHAnsi"/>
                <w:b/>
                <w:bCs/>
                <w:lang w:val="mk-MK"/>
              </w:rPr>
              <w:t>Посебна цел 3.1. Кохерентна и оптимизирана државна управа</w:t>
            </w:r>
          </w:p>
        </w:tc>
      </w:tr>
      <w:tr w:rsidR="00FD47A9" w:rsidRPr="00933133" w14:paraId="0285D1D3" w14:textId="77777777" w:rsidTr="00092885">
        <w:tc>
          <w:tcPr>
            <w:tcW w:w="5395" w:type="dxa"/>
            <w:vMerge w:val="restart"/>
            <w:shd w:val="clear" w:color="auto" w:fill="D9E2F3" w:themeFill="accent1" w:themeFillTint="33"/>
            <w:vAlign w:val="center"/>
          </w:tcPr>
          <w:p w14:paraId="5B34DEED" w14:textId="77777777" w:rsidR="00FD47A9" w:rsidRPr="00933133" w:rsidRDefault="00FD47A9" w:rsidP="00EC7C0D">
            <w:pPr>
              <w:jc w:val="center"/>
              <w:rPr>
                <w:rFonts w:ascii="Calibri" w:hAnsi="Calibri" w:cs="Calibri"/>
                <w:color w:val="000000"/>
                <w:lang w:val="mk-MK"/>
              </w:rPr>
            </w:pPr>
          </w:p>
          <w:p w14:paraId="16591C24"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 исход:</w:t>
            </w:r>
          </w:p>
        </w:tc>
        <w:tc>
          <w:tcPr>
            <w:tcW w:w="1350" w:type="dxa"/>
            <w:tcBorders>
              <w:bottom w:val="nil"/>
              <w:right w:val="nil"/>
            </w:tcBorders>
            <w:shd w:val="clear" w:color="auto" w:fill="D9E2F3" w:themeFill="accent1" w:themeFillTint="33"/>
          </w:tcPr>
          <w:p w14:paraId="73995616" w14:textId="77777777" w:rsidR="00FD47A9" w:rsidRPr="00933133" w:rsidRDefault="00FD47A9" w:rsidP="00EC7C0D">
            <w:pPr>
              <w:jc w:val="center"/>
              <w:rPr>
                <w:rFonts w:ascii="Calibri" w:hAnsi="Calibri" w:cs="Calibri"/>
                <w:color w:val="000000"/>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5C886EFE" w14:textId="77777777" w:rsidR="00FD47A9" w:rsidRPr="00933133" w:rsidRDefault="00FD47A9" w:rsidP="00EC7C0D">
            <w:pPr>
              <w:jc w:val="center"/>
              <w:rPr>
                <w:rFonts w:ascii="Calibri" w:hAnsi="Calibri" w:cs="Calibri"/>
                <w:color w:val="000000"/>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791700C7" w14:textId="77777777" w:rsidR="00FD47A9" w:rsidRPr="00933133" w:rsidRDefault="00FD47A9" w:rsidP="00EC7C0D">
            <w:pPr>
              <w:jc w:val="center"/>
              <w:rPr>
                <w:highlight w:val="yellow"/>
                <w:lang w:val="mk-MK"/>
              </w:rPr>
            </w:pPr>
            <w:r w:rsidRPr="00933133">
              <w:rPr>
                <w:b/>
                <w:bCs/>
                <w:lang w:val="mk-MK"/>
              </w:rPr>
              <w:t>Крајна вредност</w:t>
            </w:r>
          </w:p>
        </w:tc>
      </w:tr>
      <w:tr w:rsidR="00FD47A9" w:rsidRPr="0033370A" w14:paraId="0B416999" w14:textId="77777777" w:rsidTr="00092885">
        <w:tc>
          <w:tcPr>
            <w:tcW w:w="5395" w:type="dxa"/>
            <w:vMerge/>
            <w:shd w:val="clear" w:color="auto" w:fill="D9E2F3" w:themeFill="accent1" w:themeFillTint="33"/>
          </w:tcPr>
          <w:p w14:paraId="62CF451F" w14:textId="77777777" w:rsidR="00FD47A9" w:rsidRPr="00933133" w:rsidRDefault="00FD47A9" w:rsidP="00EC7C0D">
            <w:pPr>
              <w:rPr>
                <w:rFonts w:ascii="Calibri" w:hAnsi="Calibri" w:cs="Calibri"/>
                <w:color w:val="000000"/>
              </w:rPr>
            </w:pPr>
          </w:p>
        </w:tc>
        <w:tc>
          <w:tcPr>
            <w:tcW w:w="1350" w:type="dxa"/>
            <w:tcBorders>
              <w:top w:val="nil"/>
              <w:right w:val="nil"/>
            </w:tcBorders>
            <w:shd w:val="clear" w:color="auto" w:fill="D9E2F3" w:themeFill="accent1" w:themeFillTint="33"/>
          </w:tcPr>
          <w:p w14:paraId="449B9C51"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2021</w:t>
            </w:r>
          </w:p>
        </w:tc>
        <w:tc>
          <w:tcPr>
            <w:tcW w:w="1260" w:type="dxa"/>
            <w:tcBorders>
              <w:top w:val="nil"/>
              <w:left w:val="nil"/>
              <w:right w:val="nil"/>
            </w:tcBorders>
            <w:shd w:val="clear" w:color="auto" w:fill="D9E2F3" w:themeFill="accent1" w:themeFillTint="33"/>
          </w:tcPr>
          <w:p w14:paraId="20C8A90B"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4D09C7C3" w14:textId="77777777" w:rsidR="00FD47A9" w:rsidRPr="0033370A" w:rsidRDefault="00FD47A9" w:rsidP="00EC7C0D">
            <w:pPr>
              <w:jc w:val="center"/>
              <w:rPr>
                <w:b/>
                <w:bCs/>
                <w:lang w:val="mk-MK"/>
              </w:rPr>
            </w:pPr>
            <w:r w:rsidRPr="0033370A">
              <w:rPr>
                <w:b/>
                <w:bCs/>
                <w:lang w:val="mk-MK"/>
              </w:rPr>
              <w:t>2030</w:t>
            </w:r>
          </w:p>
        </w:tc>
      </w:tr>
      <w:tr w:rsidR="00FD47A9" w:rsidRPr="00B82585" w14:paraId="1B730538" w14:textId="77777777" w:rsidTr="00092885">
        <w:trPr>
          <w:trHeight w:val="503"/>
        </w:trPr>
        <w:tc>
          <w:tcPr>
            <w:tcW w:w="5395" w:type="dxa"/>
            <w:shd w:val="clear" w:color="auto" w:fill="D9E2F3" w:themeFill="accent1" w:themeFillTint="33"/>
          </w:tcPr>
          <w:p w14:paraId="677CB951" w14:textId="77777777" w:rsidR="00FD47A9" w:rsidRPr="00B82585" w:rsidRDefault="00FD47A9" w:rsidP="00EC7C0D">
            <w:pPr>
              <w:rPr>
                <w:rFonts w:ascii="Calibri" w:hAnsi="Calibri" w:cs="Calibri"/>
                <w:color w:val="000000"/>
                <w:sz w:val="20"/>
                <w:szCs w:val="20"/>
              </w:rPr>
            </w:pPr>
            <w:r w:rsidRPr="00B82585">
              <w:rPr>
                <w:rFonts w:cstheme="minorHAnsi"/>
                <w:sz w:val="20"/>
                <w:szCs w:val="20"/>
                <w:lang w:val="mk-MK"/>
              </w:rPr>
              <w:t>Отчетност и организација на централната власт (Оценка на СИГМА)</w:t>
            </w:r>
          </w:p>
        </w:tc>
        <w:tc>
          <w:tcPr>
            <w:tcW w:w="1350" w:type="dxa"/>
            <w:shd w:val="clear" w:color="auto" w:fill="D9E2F3" w:themeFill="accent1" w:themeFillTint="33"/>
            <w:vAlign w:val="center"/>
          </w:tcPr>
          <w:p w14:paraId="36DE551B" w14:textId="77777777" w:rsidR="00FD47A9" w:rsidRPr="00B82585" w:rsidRDefault="00FD47A9" w:rsidP="00EC7C0D">
            <w:pPr>
              <w:jc w:val="center"/>
              <w:rPr>
                <w:rFonts w:ascii="Calibri" w:hAnsi="Calibri" w:cs="Calibri"/>
                <w:color w:val="000000"/>
                <w:sz w:val="20"/>
                <w:szCs w:val="20"/>
                <w:lang w:val="en-US"/>
              </w:rPr>
            </w:pPr>
            <w:r>
              <w:rPr>
                <w:rFonts w:ascii="Calibri" w:hAnsi="Calibri" w:cs="Calibri"/>
                <w:color w:val="000000"/>
                <w:sz w:val="20"/>
                <w:szCs w:val="20"/>
                <w:lang w:val="en-US"/>
              </w:rPr>
              <w:t>2</w:t>
            </w:r>
          </w:p>
        </w:tc>
        <w:tc>
          <w:tcPr>
            <w:tcW w:w="1260" w:type="dxa"/>
            <w:shd w:val="clear" w:color="auto" w:fill="D9E2F3" w:themeFill="accent1" w:themeFillTint="33"/>
            <w:vAlign w:val="center"/>
          </w:tcPr>
          <w:p w14:paraId="0A73D03E" w14:textId="77777777" w:rsidR="00FD47A9" w:rsidRPr="00B82585" w:rsidRDefault="00FD47A9" w:rsidP="00EC7C0D">
            <w:pPr>
              <w:jc w:val="center"/>
              <w:rPr>
                <w:rFonts w:ascii="Calibri" w:hAnsi="Calibri" w:cs="Calibri"/>
                <w:color w:val="000000"/>
                <w:sz w:val="20"/>
                <w:szCs w:val="20"/>
                <w:lang w:val="en-US"/>
              </w:rPr>
            </w:pPr>
            <w:r>
              <w:rPr>
                <w:rFonts w:ascii="Calibri" w:hAnsi="Calibri" w:cs="Calibri"/>
                <w:color w:val="000000"/>
                <w:sz w:val="20"/>
                <w:szCs w:val="20"/>
                <w:lang w:val="en-US"/>
              </w:rPr>
              <w:t>4</w:t>
            </w:r>
          </w:p>
        </w:tc>
        <w:tc>
          <w:tcPr>
            <w:tcW w:w="1345" w:type="dxa"/>
            <w:shd w:val="clear" w:color="auto" w:fill="D9E2F3" w:themeFill="accent1" w:themeFillTint="33"/>
            <w:vAlign w:val="center"/>
          </w:tcPr>
          <w:p w14:paraId="18088F6D" w14:textId="77777777" w:rsidR="00FD47A9" w:rsidRPr="00B82585" w:rsidRDefault="00FD47A9" w:rsidP="00EC7C0D">
            <w:pPr>
              <w:jc w:val="center"/>
              <w:rPr>
                <w:sz w:val="20"/>
                <w:szCs w:val="20"/>
                <w:lang w:val="en-US"/>
              </w:rPr>
            </w:pPr>
            <w:r>
              <w:rPr>
                <w:sz w:val="20"/>
                <w:szCs w:val="20"/>
                <w:lang w:val="en-US"/>
              </w:rPr>
              <w:t>5</w:t>
            </w:r>
          </w:p>
        </w:tc>
      </w:tr>
      <w:tr w:rsidR="00FD47A9" w:rsidRPr="00B82585" w14:paraId="45F1F574" w14:textId="77777777" w:rsidTr="00092885">
        <w:trPr>
          <w:trHeight w:val="413"/>
        </w:trPr>
        <w:tc>
          <w:tcPr>
            <w:tcW w:w="9350" w:type="dxa"/>
            <w:gridSpan w:val="4"/>
            <w:shd w:val="clear" w:color="auto" w:fill="D9E2F3" w:themeFill="accent1" w:themeFillTint="33"/>
          </w:tcPr>
          <w:p w14:paraId="269BE6CC" w14:textId="77777777" w:rsidR="00FD47A9" w:rsidRPr="00B82585" w:rsidRDefault="00FD47A9" w:rsidP="00EC7C0D">
            <w:pPr>
              <w:jc w:val="both"/>
              <w:rPr>
                <w:b/>
                <w:bCs/>
                <w:highlight w:val="yellow"/>
                <w:lang w:val="mk-MK"/>
              </w:rPr>
            </w:pPr>
            <w:r w:rsidRPr="00B82585">
              <w:rPr>
                <w:rFonts w:cstheme="minorHAnsi"/>
                <w:b/>
                <w:bCs/>
                <w:lang w:val="mk-MK"/>
              </w:rPr>
              <w:t>Мерка 3.1.1. Реорганизација на државната управа</w:t>
            </w:r>
          </w:p>
        </w:tc>
      </w:tr>
      <w:tr w:rsidR="00FD47A9" w:rsidRPr="00186921" w14:paraId="5E678A79" w14:textId="77777777" w:rsidTr="00092885">
        <w:tc>
          <w:tcPr>
            <w:tcW w:w="5395" w:type="dxa"/>
            <w:vMerge w:val="restart"/>
            <w:shd w:val="clear" w:color="auto" w:fill="D9E2F3" w:themeFill="accent1" w:themeFillTint="33"/>
            <w:vAlign w:val="center"/>
          </w:tcPr>
          <w:p w14:paraId="6E6238B5" w14:textId="77777777" w:rsidR="00FD47A9" w:rsidRPr="00186921" w:rsidRDefault="00FD47A9" w:rsidP="00EC7C0D">
            <w:pPr>
              <w:jc w:val="center"/>
              <w:rPr>
                <w:rFonts w:cstheme="minorHAnsi"/>
                <w:b/>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4926623A" w14:textId="77777777" w:rsidR="00FD47A9" w:rsidRPr="00186921"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60932941" w14:textId="77777777" w:rsidR="00FD47A9" w:rsidRPr="00186921"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8A288D2"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33370A" w14:paraId="75734922" w14:textId="77777777" w:rsidTr="00092885">
        <w:tc>
          <w:tcPr>
            <w:tcW w:w="5395" w:type="dxa"/>
            <w:vMerge/>
            <w:shd w:val="clear" w:color="auto" w:fill="D9E2F3" w:themeFill="accent1" w:themeFillTint="33"/>
          </w:tcPr>
          <w:p w14:paraId="453827E9" w14:textId="77777777" w:rsidR="00FD47A9" w:rsidRPr="00186921" w:rsidRDefault="00FD47A9" w:rsidP="00EC7C0D">
            <w:pPr>
              <w:rPr>
                <w:rFonts w:cstheme="minorHAnsi"/>
                <w:b/>
              </w:rPr>
            </w:pPr>
          </w:p>
        </w:tc>
        <w:tc>
          <w:tcPr>
            <w:tcW w:w="1350" w:type="dxa"/>
            <w:tcBorders>
              <w:top w:val="nil"/>
              <w:right w:val="nil"/>
            </w:tcBorders>
            <w:shd w:val="clear" w:color="auto" w:fill="D9E2F3" w:themeFill="accent1" w:themeFillTint="33"/>
          </w:tcPr>
          <w:p w14:paraId="165FFB53" w14:textId="77777777" w:rsidR="00FD47A9" w:rsidRPr="00186921" w:rsidRDefault="00FD47A9" w:rsidP="00EC7C0D">
            <w:pPr>
              <w:jc w:val="center"/>
              <w:rPr>
                <w:rFonts w:ascii="Calibri" w:hAnsi="Calibri" w:cs="Calibri"/>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60" w:type="dxa"/>
            <w:tcBorders>
              <w:top w:val="nil"/>
              <w:left w:val="nil"/>
              <w:right w:val="nil"/>
            </w:tcBorders>
            <w:shd w:val="clear" w:color="auto" w:fill="D9E2F3" w:themeFill="accent1" w:themeFillTint="33"/>
          </w:tcPr>
          <w:p w14:paraId="7B396548" w14:textId="77777777" w:rsidR="00FD47A9" w:rsidRPr="00186921"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63EF7BF5" w14:textId="77777777" w:rsidR="00FD47A9" w:rsidRPr="0033370A" w:rsidRDefault="00FD47A9" w:rsidP="00EC7C0D">
            <w:pPr>
              <w:jc w:val="center"/>
              <w:rPr>
                <w:lang w:val="mk-MK"/>
              </w:rPr>
            </w:pPr>
            <w:r w:rsidRPr="0033370A">
              <w:rPr>
                <w:b/>
                <w:bCs/>
                <w:lang w:val="mk-MK"/>
              </w:rPr>
              <w:t>2030</w:t>
            </w:r>
          </w:p>
        </w:tc>
      </w:tr>
      <w:tr w:rsidR="00FD47A9" w:rsidRPr="00B82585" w14:paraId="10E1B8C8" w14:textId="77777777" w:rsidTr="00092885">
        <w:trPr>
          <w:trHeight w:val="377"/>
        </w:trPr>
        <w:tc>
          <w:tcPr>
            <w:tcW w:w="5395" w:type="dxa"/>
            <w:shd w:val="clear" w:color="auto" w:fill="D9E2F3" w:themeFill="accent1" w:themeFillTint="33"/>
          </w:tcPr>
          <w:p w14:paraId="62C9831A" w14:textId="77777777" w:rsidR="00FD47A9" w:rsidRPr="00362050" w:rsidRDefault="00FD47A9" w:rsidP="00EC7C0D">
            <w:pPr>
              <w:rPr>
                <w:rFonts w:cstheme="minorHAnsi"/>
                <w:b/>
                <w:sz w:val="20"/>
                <w:szCs w:val="20"/>
              </w:rPr>
            </w:pPr>
            <w:r w:rsidRPr="00362050">
              <w:rPr>
                <w:rFonts w:cstheme="minorHAnsi"/>
                <w:sz w:val="20"/>
                <w:szCs w:val="20"/>
                <w:lang w:val="mk-MK"/>
              </w:rPr>
              <w:t>Вкупен број на органи на државна управа</w:t>
            </w:r>
          </w:p>
        </w:tc>
        <w:tc>
          <w:tcPr>
            <w:tcW w:w="1350" w:type="dxa"/>
            <w:shd w:val="clear" w:color="auto" w:fill="D9E2F3" w:themeFill="accent1" w:themeFillTint="33"/>
            <w:vAlign w:val="center"/>
          </w:tcPr>
          <w:p w14:paraId="67B7700F" w14:textId="77777777" w:rsidR="00FD47A9" w:rsidRPr="00B82585" w:rsidRDefault="00FD47A9" w:rsidP="00EC7C0D">
            <w:pPr>
              <w:jc w:val="center"/>
              <w:rPr>
                <w:rFonts w:ascii="Calibri" w:hAnsi="Calibri" w:cs="Calibri"/>
                <w:color w:val="000000"/>
                <w:sz w:val="20"/>
                <w:szCs w:val="20"/>
                <w:lang w:val="en-US"/>
              </w:rPr>
            </w:pPr>
            <w:r>
              <w:rPr>
                <w:rFonts w:ascii="Calibri" w:hAnsi="Calibri" w:cs="Calibri"/>
                <w:color w:val="000000"/>
                <w:sz w:val="20"/>
                <w:szCs w:val="20"/>
                <w:lang w:val="en-US"/>
              </w:rPr>
              <w:t>139</w:t>
            </w:r>
          </w:p>
        </w:tc>
        <w:tc>
          <w:tcPr>
            <w:tcW w:w="1260" w:type="dxa"/>
            <w:shd w:val="clear" w:color="auto" w:fill="D9E2F3" w:themeFill="accent1" w:themeFillTint="33"/>
            <w:vAlign w:val="center"/>
          </w:tcPr>
          <w:p w14:paraId="0352D3B5" w14:textId="77777777" w:rsidR="00FD47A9" w:rsidRPr="00B82585" w:rsidRDefault="00FD47A9" w:rsidP="00EC7C0D">
            <w:pPr>
              <w:jc w:val="center"/>
              <w:rPr>
                <w:rFonts w:ascii="Calibri" w:hAnsi="Calibri" w:cs="Calibri"/>
                <w:color w:val="000000"/>
                <w:sz w:val="20"/>
                <w:szCs w:val="20"/>
                <w:lang w:val="en-US"/>
              </w:rPr>
            </w:pPr>
            <w:r>
              <w:rPr>
                <w:rFonts w:ascii="Calibri" w:hAnsi="Calibri" w:cs="Calibri"/>
                <w:color w:val="000000"/>
                <w:sz w:val="20"/>
                <w:szCs w:val="20"/>
                <w:lang w:val="en-US"/>
              </w:rPr>
              <w:t>110</w:t>
            </w:r>
          </w:p>
        </w:tc>
        <w:tc>
          <w:tcPr>
            <w:tcW w:w="1345" w:type="dxa"/>
            <w:shd w:val="clear" w:color="auto" w:fill="D9E2F3" w:themeFill="accent1" w:themeFillTint="33"/>
            <w:vAlign w:val="center"/>
          </w:tcPr>
          <w:p w14:paraId="1B907B95" w14:textId="77777777" w:rsidR="00FD47A9" w:rsidRPr="00B82585" w:rsidRDefault="00FD47A9" w:rsidP="00EC7C0D">
            <w:pPr>
              <w:jc w:val="center"/>
              <w:rPr>
                <w:sz w:val="20"/>
                <w:szCs w:val="20"/>
                <w:lang w:val="en-US"/>
              </w:rPr>
            </w:pPr>
            <w:r>
              <w:rPr>
                <w:sz w:val="20"/>
                <w:szCs w:val="20"/>
                <w:lang w:val="en-US"/>
              </w:rPr>
              <w:t>&lt;110</w:t>
            </w:r>
          </w:p>
        </w:tc>
      </w:tr>
    </w:tbl>
    <w:p w14:paraId="21FD4503" w14:textId="77777777" w:rsidR="00FD47A9" w:rsidRDefault="00FD47A9" w:rsidP="00106B99">
      <w:pPr>
        <w:spacing w:after="0"/>
        <w:jc w:val="both"/>
        <w:rPr>
          <w:b/>
          <w:bCs/>
          <w:iCs/>
          <w:u w:val="single"/>
          <w:lang w:val="mk-MK"/>
        </w:rPr>
      </w:pPr>
    </w:p>
    <w:p w14:paraId="0A8FF962" w14:textId="77777777" w:rsidR="00FD47A9" w:rsidRDefault="00FD47A9" w:rsidP="00106B99">
      <w:pPr>
        <w:spacing w:after="0"/>
        <w:jc w:val="both"/>
        <w:rPr>
          <w:b/>
          <w:bCs/>
          <w:iCs/>
          <w:u w:val="single"/>
          <w:lang w:val="mk-MK"/>
        </w:rPr>
      </w:pPr>
    </w:p>
    <w:p w14:paraId="200DED2C" w14:textId="0C4D3FA9" w:rsidR="00106B99" w:rsidRDefault="00106B99" w:rsidP="00106B99">
      <w:pPr>
        <w:spacing w:after="0"/>
        <w:jc w:val="both"/>
        <w:rPr>
          <w:b/>
          <w:bCs/>
          <w:i/>
          <w:iCs/>
          <w:u w:val="single"/>
          <w:lang w:val="mk-MK"/>
        </w:rPr>
      </w:pPr>
      <w:r w:rsidRPr="00293F18">
        <w:rPr>
          <w:b/>
          <w:bCs/>
          <w:iCs/>
          <w:u w:val="single"/>
          <w:lang w:val="mk-MK"/>
        </w:rPr>
        <w:t>П</w:t>
      </w:r>
      <w:r w:rsidRPr="006D5ECF">
        <w:rPr>
          <w:b/>
          <w:bCs/>
          <w:u w:val="single"/>
          <w:lang w:val="mk-MK"/>
        </w:rPr>
        <w:t xml:space="preserve">осебна цел </w:t>
      </w:r>
      <w:r w:rsidR="00FD47A9">
        <w:rPr>
          <w:b/>
          <w:bCs/>
          <w:u w:val="single"/>
          <w:lang w:val="mk-MK"/>
        </w:rPr>
        <w:t>3.</w:t>
      </w:r>
      <w:r w:rsidRPr="006D5ECF">
        <w:rPr>
          <w:b/>
          <w:bCs/>
          <w:u w:val="single"/>
          <w:lang w:val="mk-MK"/>
        </w:rPr>
        <w:t>2: Подобрена ефикасност на управните постапки</w:t>
      </w:r>
    </w:p>
    <w:p w14:paraId="1852B9F9" w14:textId="77777777" w:rsidR="00AC4875" w:rsidRDefault="00AC4875" w:rsidP="00106B99">
      <w:pPr>
        <w:spacing w:after="0"/>
        <w:jc w:val="both"/>
        <w:rPr>
          <w:lang w:val="mk-MK"/>
        </w:rPr>
      </w:pPr>
    </w:p>
    <w:p w14:paraId="5150746B" w14:textId="67DEE81B" w:rsidR="00106B99" w:rsidRDefault="00106B99" w:rsidP="00106B99">
      <w:pPr>
        <w:spacing w:after="0"/>
        <w:jc w:val="both"/>
        <w:rPr>
          <w:lang w:val="mk-MK"/>
        </w:rPr>
      </w:pPr>
      <w:r>
        <w:rPr>
          <w:lang w:val="mk-MK"/>
        </w:rPr>
        <w:t xml:space="preserve">Доследната примена на ЗОУП неминовно ќе доведе до поефикасни управни постапки, а со тоа и до поголема заштита на граѓаните и нивна зајакната правна сигурност. Основа за реализација на оваа цел е подобрување на имплементација на овој општ </w:t>
      </w:r>
      <w:r w:rsidR="001519F5">
        <w:rPr>
          <w:lang w:val="mk-MK"/>
        </w:rPr>
        <w:t>процесен закон</w:t>
      </w:r>
      <w:r>
        <w:rPr>
          <w:lang w:val="mk-MK"/>
        </w:rPr>
        <w:t xml:space="preserve"> за управно постапување на јавните органи, како на централно, така и на локално ниво, и продолжување на проц</w:t>
      </w:r>
      <w:r w:rsidR="00964535">
        <w:rPr>
          <w:lang w:val="mk-MK"/>
        </w:rPr>
        <w:t>е</w:t>
      </w:r>
      <w:r>
        <w:rPr>
          <w:lang w:val="mk-MK"/>
        </w:rPr>
        <w:t xml:space="preserve">сот на хармонизација на посебни закони со кои се уредуваат одредени процесни прашања од областа на посебните управни постапки со ЗОУП. Истовремено, </w:t>
      </w:r>
      <w:r w:rsidR="003C7510">
        <w:rPr>
          <w:lang w:val="mk-MK"/>
        </w:rPr>
        <w:t>ЗОУП</w:t>
      </w:r>
      <w:r>
        <w:rPr>
          <w:lang w:val="mk-MK"/>
        </w:rPr>
        <w:t xml:space="preserve"> во делот на дигитализацијата потребно е да се имплементира преку користење на податоци од ажурираната верзија на Каталогот на услуги, од каде граѓаните се информираат за услугите што ги нуди јавниот сектор, кој се одржува преку Националниот портал за е-услуги, поопширно опфатен</w:t>
      </w:r>
      <w:r w:rsidR="00964535">
        <w:rPr>
          <w:lang w:val="mk-MK"/>
        </w:rPr>
        <w:t>о во Приоритетна област</w:t>
      </w:r>
      <w:r w:rsidR="00B06659">
        <w:rPr>
          <w:lang w:val="mk-MK"/>
        </w:rPr>
        <w:t xml:space="preserve"> 4</w:t>
      </w:r>
      <w:r w:rsidR="00964535">
        <w:rPr>
          <w:lang w:val="en-US"/>
        </w:rPr>
        <w:t>:</w:t>
      </w:r>
      <w:r>
        <w:rPr>
          <w:lang w:val="mk-MK"/>
        </w:rPr>
        <w:t xml:space="preserve"> </w:t>
      </w:r>
      <w:r w:rsidR="003C7510">
        <w:rPr>
          <w:lang w:val="mk-MK"/>
        </w:rPr>
        <w:t xml:space="preserve">давање </w:t>
      </w:r>
      <w:r w:rsidR="00964535">
        <w:rPr>
          <w:lang w:val="mk-MK"/>
        </w:rPr>
        <w:t xml:space="preserve">услуги и </w:t>
      </w:r>
      <w:r w:rsidR="00B06659">
        <w:rPr>
          <w:lang w:val="mk-MK"/>
        </w:rPr>
        <w:t>д</w:t>
      </w:r>
      <w:r>
        <w:rPr>
          <w:lang w:val="mk-MK"/>
        </w:rPr>
        <w:t>игитална трансформација.</w:t>
      </w:r>
    </w:p>
    <w:p w14:paraId="168F18FF" w14:textId="77777777" w:rsidR="00106B99" w:rsidRDefault="00106B99" w:rsidP="00106B99">
      <w:pPr>
        <w:spacing w:after="0"/>
        <w:jc w:val="both"/>
        <w:rPr>
          <w:lang w:val="mk-MK"/>
        </w:rPr>
      </w:pPr>
    </w:p>
    <w:p w14:paraId="43066B09" w14:textId="50B0E1D3" w:rsidR="00AE1B6D" w:rsidRPr="006139F2" w:rsidRDefault="00106B99" w:rsidP="00AE1B6D">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2.</w:t>
      </w:r>
      <w:r w:rsidRPr="006D5ECF">
        <w:rPr>
          <w:b/>
          <w:bCs/>
          <w:lang w:val="mk-MK"/>
        </w:rPr>
        <w:t>1</w:t>
      </w:r>
      <w:r w:rsidR="00AC4875">
        <w:rPr>
          <w:b/>
          <w:bCs/>
          <w:lang w:val="mk-MK"/>
        </w:rPr>
        <w:t>.</w:t>
      </w:r>
      <w:r w:rsidRPr="006D5ECF">
        <w:rPr>
          <w:b/>
          <w:bCs/>
          <w:lang w:val="mk-MK"/>
        </w:rPr>
        <w:t>: Унапредена имплементација на Законот за општата управна постапка (ЗОУП)</w:t>
      </w:r>
      <w:r w:rsidR="00AE1B6D" w:rsidRPr="00AE1B6D">
        <w:rPr>
          <w:b/>
          <w:bCs/>
          <w:lang w:val="mk-MK"/>
        </w:rPr>
        <w:t xml:space="preserve"> </w:t>
      </w:r>
      <w:r w:rsidR="00AE1B6D">
        <w:rPr>
          <w:b/>
          <w:bCs/>
          <w:lang w:val="mk-MK"/>
        </w:rPr>
        <w:t>и зајакнати капацитети за водење на управните постапки</w:t>
      </w:r>
    </w:p>
    <w:p w14:paraId="63E0115D" w14:textId="77777777" w:rsidR="00964535" w:rsidRDefault="00964535" w:rsidP="00106B99">
      <w:pPr>
        <w:spacing w:after="0"/>
        <w:jc w:val="both"/>
        <w:rPr>
          <w:lang w:val="mk-MK"/>
        </w:rPr>
      </w:pPr>
    </w:p>
    <w:p w14:paraId="38F4FEA1" w14:textId="042D29A7" w:rsidR="00106B99" w:rsidRDefault="00106B99" w:rsidP="00106B99">
      <w:pPr>
        <w:spacing w:after="0"/>
        <w:jc w:val="both"/>
        <w:rPr>
          <w:lang w:val="mk-MK"/>
        </w:rPr>
      </w:pPr>
      <w:r>
        <w:rPr>
          <w:lang w:val="mk-MK"/>
        </w:rPr>
        <w:t>Најпрво, ќе се подготви анализа за статусот на примената на ЗОУП за периодот 2018-2022, од која ќе произлезат насоки за понатамошна примена на ЗОУП, особено на законската обврска за јавните органи да спроведат делегирање на надлежноста за одлучување во управите постапки, почитување на рок</w:t>
      </w:r>
      <w:r w:rsidR="00B06659">
        <w:rPr>
          <w:lang w:val="mk-MK"/>
        </w:rPr>
        <w:t>от</w:t>
      </w:r>
      <w:r>
        <w:rPr>
          <w:lang w:val="mk-MK"/>
        </w:rPr>
        <w:t xml:space="preserve"> за изјавување на жалба</w:t>
      </w:r>
      <w:r w:rsidR="00B06659">
        <w:rPr>
          <w:lang w:val="mk-MK"/>
        </w:rPr>
        <w:t xml:space="preserve"> согласно ЗОУП</w:t>
      </w:r>
      <w:r>
        <w:rPr>
          <w:lang w:val="mk-MK"/>
        </w:rPr>
        <w:t>, како и за обврската за прибавување на докази по службена должност и размена на податоци по електронски пат, а воедно ќе се идентификуваат посебните закони што треба да се усогласат со ЗОУП. Ќе се зајакнат капацитетите за следење на имплементацијата на ЗОУП во рамките на органот надлежен за негово спроведување. Воедно, ќе се спроведе информативна кампања за правата на учесниците во управната постапка, која ќе опфаќа: укажувања на законските рокови за постапување на јавните органи, можноста за добивање на електронска услуга, обврската на јавните органи да ги употребуваат службените евиденции и одбивање на странките тоа да го прават самостојно и на своја сметка, укажувања каде да ги поднесуваат жалбите и на кој начин (електронски или физички) и сл.</w:t>
      </w:r>
    </w:p>
    <w:p w14:paraId="0FDE98AC" w14:textId="00D9E490" w:rsidR="00106B99" w:rsidRDefault="00106B99" w:rsidP="00106B99">
      <w:pPr>
        <w:spacing w:after="0"/>
        <w:jc w:val="both"/>
        <w:rPr>
          <w:lang w:val="mk-MK"/>
        </w:rPr>
      </w:pPr>
      <w:r>
        <w:rPr>
          <w:lang w:val="mk-MK"/>
        </w:rPr>
        <w:t xml:space="preserve">Преку новоформираната Академија за професионален развој на администрацијата (утврдена како активност во </w:t>
      </w:r>
      <w:r w:rsidR="00B06659">
        <w:rPr>
          <w:lang w:val="mk-MK"/>
        </w:rPr>
        <w:t>П</w:t>
      </w:r>
      <w:r>
        <w:rPr>
          <w:lang w:val="mk-MK"/>
        </w:rPr>
        <w:t>риоритетна област</w:t>
      </w:r>
      <w:r w:rsidR="00B06659">
        <w:rPr>
          <w:lang w:val="mk-MK"/>
        </w:rPr>
        <w:t xml:space="preserve"> 2</w:t>
      </w:r>
      <w:r>
        <w:rPr>
          <w:lang w:val="mk-MK"/>
        </w:rPr>
        <w:t xml:space="preserve">) ќе се вршат </w:t>
      </w:r>
      <w:r w:rsidR="00B06659">
        <w:rPr>
          <w:lang w:val="mk-MK"/>
        </w:rPr>
        <w:t xml:space="preserve">континуирани </w:t>
      </w:r>
      <w:r>
        <w:rPr>
          <w:lang w:val="mk-MK"/>
        </w:rPr>
        <w:t>обуки</w:t>
      </w:r>
      <w:r w:rsidR="00B06659">
        <w:rPr>
          <w:lang w:val="mk-MK"/>
        </w:rPr>
        <w:t xml:space="preserve">, од страна на </w:t>
      </w:r>
      <w:r>
        <w:rPr>
          <w:lang w:val="mk-MK"/>
        </w:rPr>
        <w:t>искусни инспектори од Државниот управен инспекторат, долгогодишни практичари за водење управни постапки во клучните јавни органи во кои се спроведуваат најголем број управни постапки и претставници од академската јавност. Истовремено ќе се спроведуваат и редовни советувања помеѓу претставници на јавните органи за споделување на искуствата од најдобрите практики.</w:t>
      </w:r>
    </w:p>
    <w:p w14:paraId="6993B5B4" w14:textId="77777777" w:rsidR="00106B99" w:rsidRDefault="00106B99" w:rsidP="00106B99">
      <w:pPr>
        <w:spacing w:after="0"/>
        <w:jc w:val="both"/>
        <w:rPr>
          <w:lang w:val="mk-MK"/>
        </w:rPr>
      </w:pPr>
    </w:p>
    <w:p w14:paraId="6378938E" w14:textId="1FBAFF5B" w:rsidR="00106B99" w:rsidRPr="00AE1B6D" w:rsidRDefault="00AE1B6D" w:rsidP="00106B99">
      <w:pPr>
        <w:spacing w:after="0"/>
        <w:jc w:val="both"/>
        <w:rPr>
          <w:b/>
          <w:bCs/>
          <w:lang w:val="mk-MK"/>
        </w:rPr>
      </w:pPr>
      <w:r w:rsidRPr="00FD47A9">
        <w:rPr>
          <w:lang w:val="mk-MK"/>
        </w:rPr>
        <w:t>Воедно,</w:t>
      </w:r>
      <w:r>
        <w:rPr>
          <w:b/>
          <w:bCs/>
          <w:lang w:val="mk-MK"/>
        </w:rPr>
        <w:t xml:space="preserve"> </w:t>
      </w:r>
      <w:r>
        <w:rPr>
          <w:lang w:val="mk-MK"/>
        </w:rPr>
        <w:t>с</w:t>
      </w:r>
      <w:r w:rsidR="00106B99">
        <w:rPr>
          <w:lang w:val="mk-MK"/>
        </w:rPr>
        <w:t xml:space="preserve">о оваа мерка се воведува управната статистика за предметите од првостепената и второстепената управна постапка. </w:t>
      </w:r>
      <w:r w:rsidR="00DF0807">
        <w:rPr>
          <w:lang w:val="mk-MK"/>
        </w:rPr>
        <w:t>Управната статистика</w:t>
      </w:r>
      <w:r w:rsidR="00106B99">
        <w:rPr>
          <w:lang w:val="mk-MK"/>
        </w:rPr>
        <w:t xml:space="preserve"> ќе овозможи расположливост, достапност и видливост на податоците во врска со постапувањето на јавните органи надлежни за решавање на предмети од управна постапка во прв и втор степен, од аспект на нивната ефикасност. Од анализа</w:t>
      </w:r>
      <w:r w:rsidR="0025143B">
        <w:rPr>
          <w:lang w:val="mk-MK"/>
        </w:rPr>
        <w:t>та</w:t>
      </w:r>
      <w:r w:rsidR="00106B99">
        <w:rPr>
          <w:lang w:val="mk-MK"/>
        </w:rPr>
        <w:t xml:space="preserve"> на извештаите ќе произлезат препораки за унапредување на ефикасноста на управните постапки.</w:t>
      </w:r>
    </w:p>
    <w:p w14:paraId="23C18F8C" w14:textId="77777777" w:rsidR="00106B99" w:rsidRDefault="00106B99" w:rsidP="00106B99">
      <w:pPr>
        <w:spacing w:after="0"/>
        <w:jc w:val="both"/>
        <w:rPr>
          <w:lang w:val="mk-MK"/>
        </w:rPr>
      </w:pPr>
    </w:p>
    <w:p w14:paraId="30B9EF0C" w14:textId="77777777" w:rsidR="00FD47A9" w:rsidRPr="00C1585A" w:rsidRDefault="00FD47A9" w:rsidP="00FD47A9">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7425D4AB" w14:textId="77777777" w:rsidR="00FD47A9" w:rsidRDefault="00FD47A9" w:rsidP="00106B99">
      <w:pPr>
        <w:spacing w:after="0"/>
        <w:jc w:val="both"/>
        <w:rPr>
          <w:b/>
          <w:bCs/>
          <w:u w:val="single"/>
          <w:lang w:val="mk-MK"/>
        </w:rPr>
      </w:pPr>
    </w:p>
    <w:tbl>
      <w:tblPr>
        <w:tblStyle w:val="TableGrid"/>
        <w:tblW w:w="0" w:type="auto"/>
        <w:tblLook w:val="04A0" w:firstRow="1" w:lastRow="0" w:firstColumn="1" w:lastColumn="0" w:noHBand="0" w:noVBand="1"/>
      </w:tblPr>
      <w:tblGrid>
        <w:gridCol w:w="5395"/>
        <w:gridCol w:w="1350"/>
        <w:gridCol w:w="1260"/>
        <w:gridCol w:w="1345"/>
      </w:tblGrid>
      <w:tr w:rsidR="00FD47A9" w:rsidRPr="00B82585" w14:paraId="50D4F4A3" w14:textId="77777777" w:rsidTr="00092885">
        <w:trPr>
          <w:trHeight w:val="413"/>
        </w:trPr>
        <w:tc>
          <w:tcPr>
            <w:tcW w:w="9350" w:type="dxa"/>
            <w:gridSpan w:val="4"/>
            <w:shd w:val="clear" w:color="auto" w:fill="D9E2F3" w:themeFill="accent1" w:themeFillTint="33"/>
            <w:vAlign w:val="center"/>
          </w:tcPr>
          <w:p w14:paraId="3A1B9FF9" w14:textId="77777777" w:rsidR="00FD47A9" w:rsidRPr="00B82585" w:rsidRDefault="00FD47A9" w:rsidP="00EC7C0D">
            <w:pPr>
              <w:rPr>
                <w:rFonts w:cstheme="minorHAnsi"/>
                <w:b/>
                <w:bCs/>
                <w:lang w:val="mk-MK"/>
              </w:rPr>
            </w:pPr>
            <w:r w:rsidRPr="00B82585">
              <w:rPr>
                <w:rFonts w:cstheme="minorHAnsi"/>
                <w:b/>
                <w:bCs/>
                <w:lang w:val="mk-MK"/>
              </w:rPr>
              <w:t xml:space="preserve">Посебна цел 3.2.: Подобрена ефикасност на управните постапки </w:t>
            </w:r>
          </w:p>
        </w:tc>
      </w:tr>
      <w:tr w:rsidR="00FD47A9" w:rsidRPr="00186921" w14:paraId="5D8D1132" w14:textId="77777777" w:rsidTr="00092885">
        <w:tc>
          <w:tcPr>
            <w:tcW w:w="5395" w:type="dxa"/>
            <w:vMerge w:val="restart"/>
            <w:shd w:val="clear" w:color="auto" w:fill="D9E2F3" w:themeFill="accent1" w:themeFillTint="33"/>
            <w:vAlign w:val="center"/>
          </w:tcPr>
          <w:p w14:paraId="14BA019C"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 xml:space="preserve">Показател на </w:t>
            </w:r>
            <w:r>
              <w:rPr>
                <w:rFonts w:ascii="Calibri" w:hAnsi="Calibri" w:cs="Calibri"/>
                <w:b/>
                <w:bCs/>
                <w:color w:val="000000"/>
                <w:lang w:val="mk-MK"/>
              </w:rPr>
              <w:t>исход</w:t>
            </w:r>
            <w:r w:rsidRPr="00186921">
              <w:rPr>
                <w:rFonts w:ascii="Calibri" w:hAnsi="Calibri" w:cs="Calibri"/>
                <w:b/>
                <w:bCs/>
                <w:color w:val="000000"/>
                <w:lang w:val="mk-MK"/>
              </w:rPr>
              <w:t>:</w:t>
            </w:r>
          </w:p>
        </w:tc>
        <w:tc>
          <w:tcPr>
            <w:tcW w:w="1350" w:type="dxa"/>
            <w:tcBorders>
              <w:bottom w:val="nil"/>
              <w:right w:val="nil"/>
            </w:tcBorders>
            <w:shd w:val="clear" w:color="auto" w:fill="D9E2F3" w:themeFill="accent1" w:themeFillTint="33"/>
          </w:tcPr>
          <w:p w14:paraId="3EDC82D5"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2C93F1F5"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42B60FE8"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33370A" w14:paraId="5BFFD59C" w14:textId="77777777" w:rsidTr="00092885">
        <w:tc>
          <w:tcPr>
            <w:tcW w:w="5395" w:type="dxa"/>
            <w:vMerge/>
            <w:shd w:val="clear" w:color="auto" w:fill="D9E2F3" w:themeFill="accent1" w:themeFillTint="33"/>
          </w:tcPr>
          <w:p w14:paraId="07D983CF"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3EA24B1B" w14:textId="77777777" w:rsidR="00FD47A9" w:rsidRPr="0005454D" w:rsidRDefault="00FD47A9" w:rsidP="00EC7C0D">
            <w:pPr>
              <w:jc w:val="center"/>
              <w:rPr>
                <w:rFonts w:ascii="Calibri" w:hAnsi="Calibri" w:cs="Calibri"/>
                <w:color w:val="000000"/>
                <w:lang w:val="en-US"/>
              </w:rPr>
            </w:pPr>
            <w:r w:rsidRPr="00933133">
              <w:rPr>
                <w:rFonts w:ascii="Calibri" w:hAnsi="Calibri" w:cs="Calibri"/>
                <w:b/>
                <w:bCs/>
                <w:color w:val="000000"/>
                <w:lang w:val="mk-MK"/>
              </w:rPr>
              <w:t>20</w:t>
            </w:r>
            <w:r>
              <w:rPr>
                <w:rFonts w:ascii="Calibri" w:hAnsi="Calibri" w:cs="Calibri"/>
                <w:b/>
                <w:bCs/>
                <w:color w:val="000000"/>
                <w:lang w:val="en-US"/>
              </w:rPr>
              <w:t>21</w:t>
            </w:r>
          </w:p>
        </w:tc>
        <w:tc>
          <w:tcPr>
            <w:tcW w:w="1260" w:type="dxa"/>
            <w:tcBorders>
              <w:top w:val="nil"/>
              <w:left w:val="nil"/>
              <w:right w:val="nil"/>
            </w:tcBorders>
            <w:shd w:val="clear" w:color="auto" w:fill="D9E2F3" w:themeFill="accent1" w:themeFillTint="33"/>
          </w:tcPr>
          <w:p w14:paraId="73281968"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64639960" w14:textId="77777777" w:rsidR="00FD47A9" w:rsidRPr="0033370A" w:rsidRDefault="00FD47A9" w:rsidP="00EC7C0D">
            <w:pPr>
              <w:jc w:val="center"/>
              <w:rPr>
                <w:lang w:val="mk-MK"/>
              </w:rPr>
            </w:pPr>
            <w:r w:rsidRPr="0033370A">
              <w:rPr>
                <w:b/>
                <w:bCs/>
                <w:lang w:val="mk-MK"/>
              </w:rPr>
              <w:t>2030</w:t>
            </w:r>
          </w:p>
        </w:tc>
      </w:tr>
      <w:tr w:rsidR="00FD47A9" w:rsidRPr="0005454D" w14:paraId="1F12E2C6" w14:textId="77777777" w:rsidTr="00092885">
        <w:trPr>
          <w:trHeight w:val="602"/>
        </w:trPr>
        <w:tc>
          <w:tcPr>
            <w:tcW w:w="5395" w:type="dxa"/>
            <w:shd w:val="clear" w:color="auto" w:fill="D9E2F3" w:themeFill="accent1" w:themeFillTint="33"/>
          </w:tcPr>
          <w:p w14:paraId="00B2A46E" w14:textId="77777777" w:rsidR="00FD47A9" w:rsidRPr="0005454D" w:rsidRDefault="00FD47A9" w:rsidP="00EC7C0D">
            <w:pPr>
              <w:rPr>
                <w:rFonts w:cstheme="minorHAnsi"/>
                <w:sz w:val="20"/>
                <w:szCs w:val="20"/>
              </w:rPr>
            </w:pPr>
            <w:r w:rsidRPr="0005454D">
              <w:rPr>
                <w:rFonts w:cstheme="minorHAnsi"/>
                <w:sz w:val="20"/>
                <w:szCs w:val="20"/>
                <w:lang w:val="mk-MK"/>
              </w:rPr>
              <w:t>Процент на уважени жалби од областа на управната постапка од страна на Државната комисија за одлучување во управна постапка и постапка од работен однос во втор степен</w:t>
            </w:r>
          </w:p>
        </w:tc>
        <w:tc>
          <w:tcPr>
            <w:tcW w:w="1350" w:type="dxa"/>
            <w:shd w:val="clear" w:color="auto" w:fill="D9E2F3" w:themeFill="accent1" w:themeFillTint="33"/>
            <w:vAlign w:val="center"/>
          </w:tcPr>
          <w:p w14:paraId="605AD2DF" w14:textId="77777777" w:rsidR="00FD47A9" w:rsidRPr="0005454D" w:rsidRDefault="00FD47A9" w:rsidP="00EC7C0D">
            <w:pPr>
              <w:jc w:val="center"/>
              <w:rPr>
                <w:rFonts w:ascii="Calibri" w:hAnsi="Calibri" w:cs="Calibri"/>
                <w:color w:val="000000"/>
                <w:sz w:val="20"/>
                <w:szCs w:val="20"/>
                <w:lang w:val="en-US"/>
              </w:rPr>
            </w:pPr>
            <w:r>
              <w:rPr>
                <w:rFonts w:ascii="Calibri" w:hAnsi="Calibri" w:cs="Calibri"/>
                <w:color w:val="000000"/>
                <w:sz w:val="20"/>
                <w:szCs w:val="20"/>
                <w:lang w:val="en-US"/>
              </w:rPr>
              <w:t>27%</w:t>
            </w:r>
          </w:p>
        </w:tc>
        <w:tc>
          <w:tcPr>
            <w:tcW w:w="1260" w:type="dxa"/>
            <w:shd w:val="clear" w:color="auto" w:fill="D9E2F3" w:themeFill="accent1" w:themeFillTint="33"/>
            <w:vAlign w:val="center"/>
          </w:tcPr>
          <w:p w14:paraId="175896B9"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en-US"/>
              </w:rPr>
              <w:t>20</w:t>
            </w:r>
            <w:r w:rsidRPr="000D20B1">
              <w:rPr>
                <w:rFonts w:ascii="Calibri" w:hAnsi="Calibri" w:cs="Calibri"/>
                <w:color w:val="000000"/>
                <w:sz w:val="20"/>
                <w:szCs w:val="20"/>
                <w:lang w:val="mk-MK"/>
              </w:rPr>
              <w:t>%</w:t>
            </w:r>
          </w:p>
        </w:tc>
        <w:tc>
          <w:tcPr>
            <w:tcW w:w="1345" w:type="dxa"/>
            <w:shd w:val="clear" w:color="auto" w:fill="D9E2F3" w:themeFill="accent1" w:themeFillTint="33"/>
            <w:vAlign w:val="center"/>
          </w:tcPr>
          <w:p w14:paraId="3C9AF0C1" w14:textId="77777777" w:rsidR="00FD47A9" w:rsidRPr="0005454D" w:rsidRDefault="00FD47A9" w:rsidP="00EC7C0D">
            <w:pPr>
              <w:jc w:val="center"/>
              <w:rPr>
                <w:sz w:val="20"/>
                <w:szCs w:val="20"/>
                <w:lang w:val="mk-MK"/>
              </w:rPr>
            </w:pPr>
            <w:r w:rsidRPr="0005454D">
              <w:rPr>
                <w:sz w:val="20"/>
                <w:szCs w:val="20"/>
                <w:lang w:val="en-US"/>
              </w:rPr>
              <w:t>15</w:t>
            </w:r>
            <w:r w:rsidRPr="0005454D">
              <w:rPr>
                <w:sz w:val="20"/>
                <w:szCs w:val="20"/>
                <w:lang w:val="mk-MK"/>
              </w:rPr>
              <w:t>%</w:t>
            </w:r>
          </w:p>
        </w:tc>
      </w:tr>
      <w:tr w:rsidR="00FD47A9" w:rsidRPr="0005454D" w14:paraId="39EEE971" w14:textId="77777777" w:rsidTr="00092885">
        <w:tc>
          <w:tcPr>
            <w:tcW w:w="9350" w:type="dxa"/>
            <w:gridSpan w:val="4"/>
            <w:shd w:val="clear" w:color="auto" w:fill="D9E2F3" w:themeFill="accent1" w:themeFillTint="33"/>
            <w:vAlign w:val="center"/>
          </w:tcPr>
          <w:p w14:paraId="3292846C" w14:textId="77777777" w:rsidR="00FD47A9" w:rsidRPr="0005454D" w:rsidRDefault="00FD47A9" w:rsidP="00EC7C0D">
            <w:pPr>
              <w:rPr>
                <w:b/>
                <w:bCs/>
                <w:highlight w:val="yellow"/>
                <w:lang w:val="mk-MK"/>
              </w:rPr>
            </w:pPr>
            <w:r w:rsidRPr="0005454D">
              <w:rPr>
                <w:rFonts w:cstheme="minorHAnsi"/>
                <w:b/>
                <w:bCs/>
                <w:lang w:val="mk-MK"/>
              </w:rPr>
              <w:t>Мерка 3.2.1. Унапредена имплементација на Законот за општа управна постапка и зајакнати капацитети за водење на управните постапки</w:t>
            </w:r>
          </w:p>
        </w:tc>
      </w:tr>
      <w:tr w:rsidR="00FD47A9" w:rsidRPr="00933133" w14:paraId="3EB7BA1B" w14:textId="77777777" w:rsidTr="00092885">
        <w:tc>
          <w:tcPr>
            <w:tcW w:w="5395" w:type="dxa"/>
            <w:vMerge w:val="restart"/>
            <w:shd w:val="clear" w:color="auto" w:fill="D9E2F3" w:themeFill="accent1" w:themeFillTint="33"/>
            <w:vAlign w:val="center"/>
          </w:tcPr>
          <w:p w14:paraId="1D7E7576" w14:textId="77777777" w:rsidR="00FD47A9" w:rsidRPr="002068B9" w:rsidRDefault="00FD47A9" w:rsidP="00EC7C0D">
            <w:pPr>
              <w:jc w:val="center"/>
              <w:rPr>
                <w:rFonts w:cstheme="minorHAnsi"/>
                <w:bCs/>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176CE871" w14:textId="77777777" w:rsidR="00FD47A9" w:rsidRPr="006869D0"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481DEFD9" w14:textId="77777777" w:rsidR="00FD47A9" w:rsidRPr="006869D0"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3F872588" w14:textId="77777777" w:rsidR="00FD47A9" w:rsidRPr="00933133" w:rsidRDefault="00FD47A9" w:rsidP="00EC7C0D">
            <w:pPr>
              <w:jc w:val="center"/>
              <w:rPr>
                <w:b/>
                <w:bCs/>
                <w:highlight w:val="yellow"/>
                <w:lang w:val="mk-MK"/>
              </w:rPr>
            </w:pPr>
            <w:r w:rsidRPr="00933133">
              <w:rPr>
                <w:b/>
                <w:bCs/>
                <w:lang w:val="mk-MK"/>
              </w:rPr>
              <w:t>Крајна вредност</w:t>
            </w:r>
          </w:p>
        </w:tc>
      </w:tr>
      <w:tr w:rsidR="00FD47A9" w:rsidRPr="00823E83" w14:paraId="339D0905" w14:textId="77777777" w:rsidTr="00092885">
        <w:tc>
          <w:tcPr>
            <w:tcW w:w="5395" w:type="dxa"/>
            <w:vMerge/>
            <w:shd w:val="clear" w:color="auto" w:fill="D9E2F3" w:themeFill="accent1" w:themeFillTint="33"/>
          </w:tcPr>
          <w:p w14:paraId="296B86A3" w14:textId="77777777" w:rsidR="00FD47A9" w:rsidRPr="002068B9" w:rsidRDefault="00FD47A9" w:rsidP="00EC7C0D">
            <w:pPr>
              <w:rPr>
                <w:rFonts w:cstheme="minorHAnsi"/>
                <w:bCs/>
                <w:sz w:val="18"/>
                <w:szCs w:val="18"/>
              </w:rPr>
            </w:pPr>
          </w:p>
        </w:tc>
        <w:tc>
          <w:tcPr>
            <w:tcW w:w="1350" w:type="dxa"/>
            <w:tcBorders>
              <w:top w:val="nil"/>
              <w:right w:val="nil"/>
            </w:tcBorders>
            <w:shd w:val="clear" w:color="auto" w:fill="D9E2F3" w:themeFill="accent1" w:themeFillTint="33"/>
          </w:tcPr>
          <w:p w14:paraId="1D18D31D"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5C67C657"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1430EA66" w14:textId="77777777" w:rsidR="00FD47A9" w:rsidRPr="00823E83" w:rsidRDefault="00FD47A9" w:rsidP="00EC7C0D">
            <w:pPr>
              <w:jc w:val="center"/>
              <w:rPr>
                <w:b/>
                <w:bCs/>
                <w:lang w:val="mk-MK"/>
              </w:rPr>
            </w:pPr>
            <w:r w:rsidRPr="00823E83">
              <w:rPr>
                <w:b/>
                <w:bCs/>
                <w:lang w:val="mk-MK"/>
              </w:rPr>
              <w:t>2030</w:t>
            </w:r>
          </w:p>
        </w:tc>
      </w:tr>
      <w:tr w:rsidR="00FD47A9" w:rsidRPr="00823E83" w14:paraId="10FC0FE4" w14:textId="77777777" w:rsidTr="00092885">
        <w:trPr>
          <w:trHeight w:val="413"/>
        </w:trPr>
        <w:tc>
          <w:tcPr>
            <w:tcW w:w="5395" w:type="dxa"/>
            <w:shd w:val="clear" w:color="auto" w:fill="D9E2F3" w:themeFill="accent1" w:themeFillTint="33"/>
          </w:tcPr>
          <w:p w14:paraId="2A6FE6F9" w14:textId="77777777" w:rsidR="00FD47A9" w:rsidRPr="00362050" w:rsidRDefault="00FD47A9" w:rsidP="00EC7C0D">
            <w:pPr>
              <w:rPr>
                <w:rFonts w:cstheme="minorHAnsi"/>
                <w:bCs/>
                <w:sz w:val="20"/>
                <w:szCs w:val="20"/>
              </w:rPr>
            </w:pPr>
            <w:r w:rsidRPr="00362050">
              <w:rPr>
                <w:rFonts w:cstheme="minorHAnsi"/>
                <w:sz w:val="20"/>
                <w:szCs w:val="20"/>
                <w:lang w:val="mk-MK"/>
              </w:rPr>
              <w:lastRenderedPageBreak/>
              <w:t>Процент на институции кои имаат обучени вработени за спроведување и примена на ЗОУП</w:t>
            </w:r>
          </w:p>
        </w:tc>
        <w:tc>
          <w:tcPr>
            <w:tcW w:w="1350" w:type="dxa"/>
            <w:shd w:val="clear" w:color="auto" w:fill="D9E2F3" w:themeFill="accent1" w:themeFillTint="33"/>
            <w:vAlign w:val="center"/>
          </w:tcPr>
          <w:p w14:paraId="21FCB65A"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3%</w:t>
            </w:r>
          </w:p>
        </w:tc>
        <w:tc>
          <w:tcPr>
            <w:tcW w:w="1260" w:type="dxa"/>
            <w:shd w:val="clear" w:color="auto" w:fill="D9E2F3" w:themeFill="accent1" w:themeFillTint="33"/>
            <w:vAlign w:val="center"/>
          </w:tcPr>
          <w:p w14:paraId="76EC50A4"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25%</w:t>
            </w:r>
          </w:p>
        </w:tc>
        <w:tc>
          <w:tcPr>
            <w:tcW w:w="1345" w:type="dxa"/>
            <w:shd w:val="clear" w:color="auto" w:fill="D9E2F3" w:themeFill="accent1" w:themeFillTint="33"/>
            <w:vAlign w:val="center"/>
          </w:tcPr>
          <w:p w14:paraId="62DE9B63" w14:textId="77777777" w:rsidR="00FD47A9" w:rsidRPr="00823E83" w:rsidRDefault="00FD47A9" w:rsidP="00EC7C0D">
            <w:pPr>
              <w:jc w:val="center"/>
              <w:rPr>
                <w:sz w:val="20"/>
                <w:szCs w:val="20"/>
                <w:lang w:val="mk-MK"/>
              </w:rPr>
            </w:pPr>
            <w:r>
              <w:rPr>
                <w:sz w:val="20"/>
                <w:szCs w:val="20"/>
                <w:lang w:val="mk-MK"/>
              </w:rPr>
              <w:t>65%</w:t>
            </w:r>
          </w:p>
        </w:tc>
      </w:tr>
    </w:tbl>
    <w:p w14:paraId="43DEE2C3" w14:textId="77777777" w:rsidR="002E4B8F" w:rsidRDefault="002E4B8F" w:rsidP="00106B99">
      <w:pPr>
        <w:spacing w:after="0"/>
        <w:jc w:val="both"/>
        <w:rPr>
          <w:b/>
          <w:bCs/>
          <w:u w:val="single"/>
          <w:lang w:val="mk-MK"/>
        </w:rPr>
      </w:pPr>
    </w:p>
    <w:p w14:paraId="53ACA2FC" w14:textId="0D0CECA3" w:rsidR="00106B99" w:rsidRPr="006D5ECF" w:rsidRDefault="00106B99" w:rsidP="00106B99">
      <w:pPr>
        <w:spacing w:after="0"/>
        <w:jc w:val="both"/>
        <w:rPr>
          <w:b/>
          <w:bCs/>
          <w:u w:val="single"/>
          <w:lang w:val="mk-MK"/>
        </w:rPr>
      </w:pPr>
      <w:r w:rsidRPr="006D5ECF">
        <w:rPr>
          <w:b/>
          <w:bCs/>
          <w:u w:val="single"/>
          <w:lang w:val="mk-MK"/>
        </w:rPr>
        <w:t>Посебна цел 3</w:t>
      </w:r>
      <w:r w:rsidR="00FD47A9">
        <w:rPr>
          <w:b/>
          <w:bCs/>
          <w:u w:val="single"/>
          <w:lang w:val="mk-MK"/>
        </w:rPr>
        <w:t>.3.</w:t>
      </w:r>
      <w:r w:rsidRPr="006D5ECF">
        <w:rPr>
          <w:b/>
          <w:bCs/>
          <w:u w:val="single"/>
          <w:lang w:val="mk-MK"/>
        </w:rPr>
        <w:t>: Зајакнат интегритет на институциите</w:t>
      </w:r>
    </w:p>
    <w:p w14:paraId="5D813BE2" w14:textId="77777777" w:rsidR="001A6A43" w:rsidRDefault="001A6A43" w:rsidP="00106B99">
      <w:pPr>
        <w:spacing w:after="0"/>
        <w:jc w:val="both"/>
        <w:rPr>
          <w:lang w:val="mk-MK"/>
        </w:rPr>
      </w:pPr>
    </w:p>
    <w:p w14:paraId="20F56F12" w14:textId="651B25AD" w:rsidR="00106B99" w:rsidRDefault="00106B99" w:rsidP="00106B99">
      <w:pPr>
        <w:spacing w:after="0"/>
        <w:jc w:val="both"/>
        <w:rPr>
          <w:lang w:val="mk-MK"/>
        </w:rPr>
      </w:pPr>
      <w:r>
        <w:rPr>
          <w:lang w:val="mk-MK"/>
        </w:rPr>
        <w:t xml:space="preserve">Процесот на јакнење на интегритетот е важен процес кој подразбира активна вклученост на сите засегнати страни, односно преземање на активности за континуирано унапредување на личните и професионални вредности и етички стандарди. Оттука, зајакнатиот интегритет на институциите претставува посебна стратешка цел. </w:t>
      </w:r>
    </w:p>
    <w:p w14:paraId="02B2D0FF" w14:textId="77777777" w:rsidR="00106B99" w:rsidRDefault="00106B99" w:rsidP="00106B99">
      <w:pPr>
        <w:spacing w:after="0"/>
        <w:jc w:val="both"/>
        <w:rPr>
          <w:lang w:val="mk-MK"/>
        </w:rPr>
      </w:pPr>
    </w:p>
    <w:p w14:paraId="210876BE" w14:textId="11AE873B"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3.</w:t>
      </w:r>
      <w:r w:rsidRPr="006D5ECF">
        <w:rPr>
          <w:b/>
          <w:bCs/>
          <w:lang w:val="mk-MK"/>
        </w:rPr>
        <w:t>1</w:t>
      </w:r>
      <w:r w:rsidR="00AC4875">
        <w:rPr>
          <w:b/>
          <w:bCs/>
          <w:lang w:val="mk-MK"/>
        </w:rPr>
        <w:t>.</w:t>
      </w:r>
      <w:r w:rsidRPr="006D5ECF">
        <w:rPr>
          <w:b/>
          <w:bCs/>
          <w:lang w:val="mk-MK"/>
        </w:rPr>
        <w:t xml:space="preserve">: </w:t>
      </w:r>
      <w:r w:rsidRPr="006D5ECF">
        <w:rPr>
          <w:b/>
        </w:rPr>
        <w:t>Jaкнење на интегритетoт</w:t>
      </w:r>
      <w:r w:rsidRPr="006D5ECF">
        <w:rPr>
          <w:b/>
          <w:lang w:val="mk-MK"/>
        </w:rPr>
        <w:t xml:space="preserve"> </w:t>
      </w:r>
      <w:r w:rsidRPr="006D5ECF">
        <w:rPr>
          <w:b/>
        </w:rPr>
        <w:t>на носителите на извршната власт од највисоко ниво</w:t>
      </w:r>
      <w:r w:rsidRPr="006D5ECF">
        <w:rPr>
          <w:b/>
          <w:bCs/>
          <w:sz w:val="28"/>
          <w:lang w:val="mk-MK"/>
        </w:rPr>
        <w:t xml:space="preserve"> </w:t>
      </w:r>
    </w:p>
    <w:p w14:paraId="18A90A61" w14:textId="77777777" w:rsidR="002E4B8F" w:rsidRDefault="002E4B8F" w:rsidP="00106B99">
      <w:pPr>
        <w:spacing w:after="0"/>
        <w:jc w:val="both"/>
        <w:rPr>
          <w:lang w:val="mk-MK"/>
        </w:rPr>
      </w:pPr>
    </w:p>
    <w:p w14:paraId="5CC02207" w14:textId="2D338135" w:rsidR="00106B99" w:rsidRDefault="00106B99" w:rsidP="00106B99">
      <w:pPr>
        <w:spacing w:after="0"/>
        <w:jc w:val="both"/>
        <w:rPr>
          <w:lang w:val="mk-MK"/>
        </w:rPr>
      </w:pPr>
      <w:r>
        <w:rPr>
          <w:lang w:val="mk-MK"/>
        </w:rPr>
        <w:t xml:space="preserve">Мерката ќе се реализира преку континуирано подигнување на свеста и јакнење на индивидуалниот интегритет на носителите на извршната власт од највисоко ниво, што ќе придонесе и кон јакнење на интегритетот на </w:t>
      </w:r>
      <w:r w:rsidR="00202BF0">
        <w:rPr>
          <w:lang w:val="mk-MK"/>
        </w:rPr>
        <w:t xml:space="preserve">ВРСМ </w:t>
      </w:r>
      <w:r>
        <w:rPr>
          <w:lang w:val="mk-MK"/>
        </w:rPr>
        <w:t xml:space="preserve">како орган. Во таа насока е неопходно продолжување со  континуираните проверки на интегритетот на постојните, како и започнување на проверка на интегритетот на новите носители на </w:t>
      </w:r>
      <w:r w:rsidR="003850F5">
        <w:rPr>
          <w:lang w:val="mk-MK"/>
        </w:rPr>
        <w:t>извршни</w:t>
      </w:r>
      <w:r>
        <w:rPr>
          <w:lang w:val="mk-MK"/>
        </w:rPr>
        <w:t xml:space="preserve"> функции; продолжување со обуките за интегритет на носителите на највисоки функции на извршната власт и доследна примена на Етичкиот кодекс.</w:t>
      </w:r>
      <w:r w:rsidR="0094070D">
        <w:rPr>
          <w:lang w:val="mk-MK"/>
        </w:rPr>
        <w:t xml:space="preserve"> Преку јакнење на капацитетите на административните службеници, вработени во ГС, во рамки на кабинетот на </w:t>
      </w:r>
      <w:r w:rsidR="0094070D" w:rsidRPr="0094070D">
        <w:rPr>
          <w:lang w:val="mk-MK"/>
        </w:rPr>
        <w:t>ЗПВРСМ</w:t>
      </w:r>
      <w:r w:rsidR="0094070D">
        <w:rPr>
          <w:lang w:val="mk-MK"/>
        </w:rPr>
        <w:t xml:space="preserve">, КПВРСМ ќе се продолжи со спроведување на обуките за етички кодекс/интегритет на </w:t>
      </w:r>
      <w:r w:rsidR="003850F5">
        <w:rPr>
          <w:lang w:val="mk-MK"/>
        </w:rPr>
        <w:t xml:space="preserve">носители на </w:t>
      </w:r>
      <w:r w:rsidR="0094070D">
        <w:rPr>
          <w:lang w:val="mk-MK"/>
        </w:rPr>
        <w:t>извршни функции</w:t>
      </w:r>
      <w:r w:rsidR="003850F5">
        <w:rPr>
          <w:lang w:val="mk-MK"/>
        </w:rPr>
        <w:t>.</w:t>
      </w:r>
      <w:r>
        <w:rPr>
          <w:lang w:val="mk-MK"/>
        </w:rPr>
        <w:t xml:space="preserve"> На овој начин</w:t>
      </w:r>
      <w:r w:rsidR="001A6A43">
        <w:rPr>
          <w:lang w:val="mk-MK"/>
        </w:rPr>
        <w:t>,</w:t>
      </w:r>
      <w:r w:rsidR="003850F5">
        <w:rPr>
          <w:lang w:val="mk-MK"/>
        </w:rPr>
        <w:t xml:space="preserve"> секој носител на извршна функција </w:t>
      </w:r>
      <w:r>
        <w:rPr>
          <w:lang w:val="mk-MK"/>
        </w:rPr>
        <w:t>ќе мора да има поминато проверка на личниот интегритет пред стапување на функција</w:t>
      </w:r>
      <w:r w:rsidR="001A6A43">
        <w:rPr>
          <w:lang w:val="mk-MK"/>
        </w:rPr>
        <w:t>,</w:t>
      </w:r>
      <w:r>
        <w:rPr>
          <w:lang w:val="mk-MK"/>
        </w:rPr>
        <w:t xml:space="preserve"> како и за време на нивното вршење.</w:t>
      </w:r>
      <w:r w:rsidR="0094070D">
        <w:rPr>
          <w:lang w:val="mk-MK"/>
        </w:rPr>
        <w:t xml:space="preserve"> </w:t>
      </w:r>
    </w:p>
    <w:p w14:paraId="51E65091" w14:textId="77777777" w:rsidR="00106B99" w:rsidRDefault="00106B99" w:rsidP="00106B99">
      <w:pPr>
        <w:spacing w:after="0"/>
        <w:jc w:val="both"/>
        <w:rPr>
          <w:lang w:val="mk-MK"/>
        </w:rPr>
      </w:pPr>
    </w:p>
    <w:p w14:paraId="0BADA558" w14:textId="5D73C689"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3.</w:t>
      </w:r>
      <w:r w:rsidRPr="006D5ECF">
        <w:rPr>
          <w:b/>
          <w:bCs/>
          <w:lang w:val="mk-MK"/>
        </w:rPr>
        <w:t>2</w:t>
      </w:r>
      <w:r w:rsidR="00AC4875">
        <w:rPr>
          <w:b/>
          <w:bCs/>
          <w:lang w:val="mk-MK"/>
        </w:rPr>
        <w:t>.</w:t>
      </w:r>
      <w:r w:rsidRPr="006D5ECF">
        <w:rPr>
          <w:b/>
          <w:bCs/>
          <w:lang w:val="mk-MK"/>
        </w:rPr>
        <w:t>: Jaкнење на индивидуалниот и институционалниот интегритет на органите во состав на министерствата, самостојните државни органи, самостојните органи на државната управа, инспе</w:t>
      </w:r>
      <w:r w:rsidR="00B26212">
        <w:rPr>
          <w:b/>
          <w:bCs/>
          <w:lang w:val="mk-MK"/>
        </w:rPr>
        <w:t>кторатите, секретаријатите во В</w:t>
      </w:r>
      <w:r w:rsidRPr="006D5ECF">
        <w:rPr>
          <w:b/>
          <w:bCs/>
          <w:lang w:val="mk-MK"/>
        </w:rPr>
        <w:t>РСМ и СОЗР и единиците на локална самоуправа</w:t>
      </w:r>
    </w:p>
    <w:p w14:paraId="78FE60D8" w14:textId="77777777" w:rsidR="00AC4875" w:rsidRDefault="00AC4875" w:rsidP="00106B99">
      <w:pPr>
        <w:spacing w:after="0"/>
        <w:jc w:val="both"/>
        <w:rPr>
          <w:lang w:val="mk-MK"/>
        </w:rPr>
      </w:pPr>
    </w:p>
    <w:p w14:paraId="1FACCC34" w14:textId="610ADE48" w:rsidR="00106B99" w:rsidRDefault="00106B99" w:rsidP="00106B99">
      <w:pPr>
        <w:spacing w:after="0"/>
        <w:jc w:val="both"/>
        <w:rPr>
          <w:lang w:val="mk-MK"/>
        </w:rPr>
      </w:pPr>
      <w:r>
        <w:rPr>
          <w:lang w:val="mk-MK"/>
        </w:rPr>
        <w:t>Мерката ќе се остварува преку имплементација на елементите од системот за интегритет вклучувајќи и потпишување на Политика за интегритет,  назначување на лица за интегритет, утврдување на ризици од корупција во секоја институција одделно, спроведување обуки за интегритет, судир на интереси, примање подароци и сл.</w:t>
      </w:r>
    </w:p>
    <w:p w14:paraId="4322B950" w14:textId="77777777" w:rsidR="00106B99" w:rsidRDefault="00106B99" w:rsidP="00106B99">
      <w:pPr>
        <w:spacing w:after="0"/>
        <w:jc w:val="both"/>
        <w:rPr>
          <w:lang w:val="mk-MK"/>
        </w:rPr>
      </w:pPr>
    </w:p>
    <w:p w14:paraId="262C0469" w14:textId="6FD545AF"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3.</w:t>
      </w:r>
      <w:r w:rsidRPr="006D5ECF">
        <w:rPr>
          <w:b/>
          <w:bCs/>
          <w:lang w:val="mk-MK"/>
        </w:rPr>
        <w:t>3</w:t>
      </w:r>
      <w:r w:rsidR="00AC4875">
        <w:rPr>
          <w:b/>
          <w:bCs/>
          <w:lang w:val="mk-MK"/>
        </w:rPr>
        <w:t>.</w:t>
      </w:r>
      <w:r w:rsidRPr="006D5ECF">
        <w:rPr>
          <w:b/>
          <w:bCs/>
          <w:lang w:val="mk-MK"/>
        </w:rPr>
        <w:t>: Целосно воспоставување и развој на електронскиот систем за дигитализација на инспекциската постапка и инспекциското работење – „Е-инспектор“</w:t>
      </w:r>
    </w:p>
    <w:p w14:paraId="128B345E" w14:textId="77777777" w:rsidR="001A6A43" w:rsidRDefault="001A6A43" w:rsidP="00106B99">
      <w:pPr>
        <w:spacing w:after="0"/>
        <w:jc w:val="both"/>
        <w:rPr>
          <w:lang w:val="mk-MK"/>
        </w:rPr>
      </w:pPr>
    </w:p>
    <w:p w14:paraId="01B1FB87" w14:textId="0F2AD03E" w:rsidR="00106B99" w:rsidRDefault="00106B99" w:rsidP="00106B99">
      <w:pPr>
        <w:spacing w:after="0"/>
        <w:jc w:val="both"/>
        <w:rPr>
          <w:lang w:val="mk-MK"/>
        </w:rPr>
      </w:pPr>
      <w:r>
        <w:rPr>
          <w:lang w:val="mk-MK"/>
        </w:rPr>
        <w:t>Согласно Акцискиот план за приклучување на нови и</w:t>
      </w:r>
      <w:r w:rsidR="00B26212">
        <w:rPr>
          <w:lang w:val="mk-MK"/>
        </w:rPr>
        <w:t>нспекторати усвоен од В</w:t>
      </w:r>
      <w:r>
        <w:rPr>
          <w:lang w:val="mk-MK"/>
        </w:rPr>
        <w:t xml:space="preserve">РСМ предвидено е системот Е-инспектор да се реализира во три фази. Мерката содржи развој на модули за вклучување во електронскиот систем „Е-инспектор“ за сите 28 државни инспекциски служби кои се под јурисдикција на Инспекцискиот совет, како и осовременување на хардверска подготовка на службите за користење на системот Е-инспектор. Првата пилот фаза со која се опфатени три инспекциски служби е целосно завршена во 2021 година, втората фаза со која се опфатени тринаесет инспекциски служби е започната со реализација во февруари 2022 година и се очекува да заврши до крај на 2023 година, а третата фаза во која се опфатени дванаесет инспекциски служби е предвидено да започне со реализација во 2023 година, но тоа ќе зависи од Проектот за </w:t>
      </w:r>
      <w:r w:rsidR="00261154">
        <w:rPr>
          <w:lang w:val="mk-MK"/>
        </w:rPr>
        <w:t xml:space="preserve">државна </w:t>
      </w:r>
      <w:r w:rsidR="00261154">
        <w:rPr>
          <w:lang w:val="mk-MK"/>
        </w:rPr>
        <w:lastRenderedPageBreak/>
        <w:t xml:space="preserve">реорганизација </w:t>
      </w:r>
      <w:r>
        <w:rPr>
          <w:lang w:val="mk-MK"/>
        </w:rPr>
        <w:t>од причина што инспекциските служби предвидени за приклучување во оваа фаза немаат својство на правно лице.</w:t>
      </w:r>
    </w:p>
    <w:p w14:paraId="240B132E" w14:textId="77777777" w:rsidR="00106B99" w:rsidRDefault="00106B99" w:rsidP="00106B99">
      <w:pPr>
        <w:spacing w:after="0"/>
        <w:jc w:val="both"/>
        <w:rPr>
          <w:lang w:val="mk-MK"/>
        </w:rPr>
      </w:pPr>
    </w:p>
    <w:p w14:paraId="04E62CD7" w14:textId="303E0AE8" w:rsidR="00FD47A9" w:rsidRPr="001A6A43" w:rsidRDefault="00FD47A9" w:rsidP="00106B99">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42D2968C" w14:textId="77777777" w:rsidR="00FD47A9" w:rsidRDefault="00FD47A9" w:rsidP="00106B99">
      <w:pPr>
        <w:spacing w:after="0"/>
        <w:jc w:val="both"/>
        <w:rPr>
          <w:b/>
          <w:bCs/>
          <w:u w:val="single"/>
          <w:lang w:val="mk-MK"/>
        </w:rPr>
      </w:pPr>
    </w:p>
    <w:p w14:paraId="29272A04" w14:textId="77777777" w:rsidR="00FD47A9" w:rsidRDefault="00FD47A9" w:rsidP="00106B99">
      <w:pPr>
        <w:spacing w:after="0"/>
        <w:jc w:val="both"/>
        <w:rPr>
          <w:b/>
          <w:bCs/>
          <w:u w:val="single"/>
          <w:lang w:val="mk-MK"/>
        </w:rPr>
      </w:pPr>
    </w:p>
    <w:tbl>
      <w:tblPr>
        <w:tblStyle w:val="TableGrid"/>
        <w:tblW w:w="0" w:type="auto"/>
        <w:tblLook w:val="04A0" w:firstRow="1" w:lastRow="0" w:firstColumn="1" w:lastColumn="0" w:noHBand="0" w:noVBand="1"/>
      </w:tblPr>
      <w:tblGrid>
        <w:gridCol w:w="5395"/>
        <w:gridCol w:w="1350"/>
        <w:gridCol w:w="1260"/>
        <w:gridCol w:w="1345"/>
      </w:tblGrid>
      <w:tr w:rsidR="00FD47A9" w:rsidRPr="000D20B1" w14:paraId="1538F5AE" w14:textId="77777777" w:rsidTr="00092885">
        <w:trPr>
          <w:trHeight w:val="422"/>
        </w:trPr>
        <w:tc>
          <w:tcPr>
            <w:tcW w:w="9350" w:type="dxa"/>
            <w:gridSpan w:val="4"/>
            <w:shd w:val="clear" w:color="auto" w:fill="D9E2F3" w:themeFill="accent1" w:themeFillTint="33"/>
            <w:vAlign w:val="center"/>
          </w:tcPr>
          <w:p w14:paraId="4E079DAE" w14:textId="77777777" w:rsidR="00FD47A9" w:rsidRPr="000D20B1" w:rsidRDefault="00FD47A9" w:rsidP="00EC7C0D">
            <w:pPr>
              <w:rPr>
                <w:b/>
                <w:bCs/>
                <w:highlight w:val="yellow"/>
                <w:lang w:val="mk-MK"/>
              </w:rPr>
            </w:pPr>
            <w:r w:rsidRPr="0005454D">
              <w:rPr>
                <w:rFonts w:cstheme="minorHAnsi"/>
                <w:b/>
                <w:bCs/>
                <w:lang w:val="mk-MK"/>
              </w:rPr>
              <w:t>Посебна цел 3.3: Зајакнат интегритет на институциите</w:t>
            </w:r>
          </w:p>
        </w:tc>
      </w:tr>
      <w:tr w:rsidR="00FD47A9" w:rsidRPr="00933133" w14:paraId="779FFC81" w14:textId="77777777" w:rsidTr="00092885">
        <w:tc>
          <w:tcPr>
            <w:tcW w:w="5395" w:type="dxa"/>
            <w:vMerge w:val="restart"/>
            <w:shd w:val="clear" w:color="auto" w:fill="D9E2F3" w:themeFill="accent1" w:themeFillTint="33"/>
            <w:vAlign w:val="center"/>
          </w:tcPr>
          <w:p w14:paraId="4535C30B" w14:textId="77777777" w:rsidR="00FD47A9" w:rsidRPr="002068B9" w:rsidRDefault="00FD47A9" w:rsidP="00EC7C0D">
            <w:pPr>
              <w:jc w:val="center"/>
              <w:rPr>
                <w:rFonts w:cstheme="minorHAnsi"/>
                <w:bCs/>
                <w:sz w:val="18"/>
                <w:szCs w:val="18"/>
              </w:rPr>
            </w:pPr>
            <w:r w:rsidRPr="00186921">
              <w:rPr>
                <w:rFonts w:ascii="Calibri" w:hAnsi="Calibri" w:cs="Calibri"/>
                <w:b/>
                <w:bCs/>
                <w:color w:val="000000"/>
                <w:lang w:val="mk-MK"/>
              </w:rPr>
              <w:t xml:space="preserve">Показател на </w:t>
            </w:r>
            <w:r>
              <w:rPr>
                <w:rFonts w:ascii="Calibri" w:hAnsi="Calibri" w:cs="Calibri"/>
                <w:b/>
                <w:bCs/>
                <w:color w:val="000000"/>
                <w:lang w:val="mk-MK"/>
              </w:rPr>
              <w:t>исход</w:t>
            </w:r>
            <w:r w:rsidRPr="00186921">
              <w:rPr>
                <w:rFonts w:ascii="Calibri" w:hAnsi="Calibri" w:cs="Calibri"/>
                <w:b/>
                <w:bCs/>
                <w:color w:val="000000"/>
                <w:lang w:val="mk-MK"/>
              </w:rPr>
              <w:t>:</w:t>
            </w:r>
          </w:p>
        </w:tc>
        <w:tc>
          <w:tcPr>
            <w:tcW w:w="1350" w:type="dxa"/>
            <w:tcBorders>
              <w:bottom w:val="nil"/>
              <w:right w:val="nil"/>
            </w:tcBorders>
            <w:shd w:val="clear" w:color="auto" w:fill="D9E2F3" w:themeFill="accent1" w:themeFillTint="33"/>
          </w:tcPr>
          <w:p w14:paraId="3A8844A1" w14:textId="77777777" w:rsidR="00FD47A9" w:rsidRPr="006869D0"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18BDA0D8" w14:textId="77777777" w:rsidR="00FD47A9" w:rsidRPr="006869D0"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3DD03577" w14:textId="77777777" w:rsidR="00FD47A9" w:rsidRPr="00933133" w:rsidRDefault="00FD47A9" w:rsidP="00EC7C0D">
            <w:pPr>
              <w:jc w:val="center"/>
              <w:rPr>
                <w:b/>
                <w:bCs/>
                <w:highlight w:val="yellow"/>
                <w:lang w:val="mk-MK"/>
              </w:rPr>
            </w:pPr>
            <w:r w:rsidRPr="00933133">
              <w:rPr>
                <w:b/>
                <w:bCs/>
                <w:lang w:val="mk-MK"/>
              </w:rPr>
              <w:t>Крајна вредност</w:t>
            </w:r>
          </w:p>
        </w:tc>
      </w:tr>
      <w:tr w:rsidR="00FD47A9" w:rsidRPr="00823E83" w14:paraId="4145D037" w14:textId="77777777" w:rsidTr="00092885">
        <w:tc>
          <w:tcPr>
            <w:tcW w:w="5395" w:type="dxa"/>
            <w:vMerge/>
            <w:tcBorders>
              <w:bottom w:val="single" w:sz="4" w:space="0" w:color="auto"/>
            </w:tcBorders>
            <w:shd w:val="clear" w:color="auto" w:fill="D9E2F3" w:themeFill="accent1" w:themeFillTint="33"/>
          </w:tcPr>
          <w:p w14:paraId="4FA6DEBE" w14:textId="77777777" w:rsidR="00FD47A9" w:rsidRPr="002068B9" w:rsidRDefault="00FD47A9" w:rsidP="00EC7C0D">
            <w:pPr>
              <w:rPr>
                <w:rFonts w:cstheme="minorHAnsi"/>
                <w:bCs/>
                <w:sz w:val="18"/>
                <w:szCs w:val="18"/>
              </w:rPr>
            </w:pPr>
          </w:p>
        </w:tc>
        <w:tc>
          <w:tcPr>
            <w:tcW w:w="1350" w:type="dxa"/>
            <w:tcBorders>
              <w:top w:val="nil"/>
              <w:bottom w:val="single" w:sz="4" w:space="0" w:color="auto"/>
              <w:right w:val="nil"/>
            </w:tcBorders>
            <w:shd w:val="clear" w:color="auto" w:fill="D9E2F3" w:themeFill="accent1" w:themeFillTint="33"/>
          </w:tcPr>
          <w:p w14:paraId="4FBBFEDB"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bottom w:val="single" w:sz="4" w:space="0" w:color="auto"/>
              <w:right w:val="nil"/>
            </w:tcBorders>
            <w:shd w:val="clear" w:color="auto" w:fill="D9E2F3" w:themeFill="accent1" w:themeFillTint="33"/>
          </w:tcPr>
          <w:p w14:paraId="7A2CFD9C"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bottom w:val="single" w:sz="4" w:space="0" w:color="auto"/>
            </w:tcBorders>
            <w:shd w:val="clear" w:color="auto" w:fill="D9E2F3" w:themeFill="accent1" w:themeFillTint="33"/>
          </w:tcPr>
          <w:p w14:paraId="2B0A32A6" w14:textId="77777777" w:rsidR="00FD47A9" w:rsidRPr="00823E83" w:rsidRDefault="00FD47A9" w:rsidP="00EC7C0D">
            <w:pPr>
              <w:jc w:val="center"/>
              <w:rPr>
                <w:b/>
                <w:bCs/>
                <w:lang w:val="mk-MK"/>
              </w:rPr>
            </w:pPr>
            <w:r w:rsidRPr="00823E83">
              <w:rPr>
                <w:b/>
                <w:bCs/>
                <w:lang w:val="mk-MK"/>
              </w:rPr>
              <w:t>2030</w:t>
            </w:r>
          </w:p>
        </w:tc>
      </w:tr>
      <w:tr w:rsidR="003C1222" w:rsidRPr="0005454D" w14:paraId="74ADB6C5" w14:textId="77777777" w:rsidTr="00092885">
        <w:trPr>
          <w:trHeight w:val="683"/>
        </w:trPr>
        <w:tc>
          <w:tcPr>
            <w:tcW w:w="5395" w:type="dxa"/>
            <w:tcBorders>
              <w:bottom w:val="single" w:sz="12" w:space="0" w:color="auto"/>
            </w:tcBorders>
            <w:shd w:val="clear" w:color="auto" w:fill="D9E2F3" w:themeFill="accent1" w:themeFillTint="33"/>
          </w:tcPr>
          <w:p w14:paraId="0A94F803" w14:textId="2BF08CF8" w:rsidR="003C1222" w:rsidRPr="003C1222" w:rsidRDefault="003C1222" w:rsidP="003C1222">
            <w:pPr>
              <w:rPr>
                <w:rFonts w:cstheme="minorHAnsi"/>
                <w:bCs/>
                <w:sz w:val="20"/>
                <w:szCs w:val="20"/>
                <w:lang w:val="mk-MK"/>
              </w:rPr>
            </w:pPr>
            <w:r w:rsidRPr="003C1222">
              <w:rPr>
                <w:rFonts w:cstheme="minorHAnsi"/>
                <w:sz w:val="20"/>
                <w:szCs w:val="20"/>
                <w:lang w:val="mk-MK"/>
              </w:rPr>
              <w:t xml:space="preserve">Подобрување на годишните рангирања на </w:t>
            </w:r>
            <w:r w:rsidR="003C7510">
              <w:rPr>
                <w:rFonts w:cstheme="minorHAnsi"/>
                <w:sz w:val="20"/>
                <w:szCs w:val="20"/>
                <w:lang w:val="mk-MK"/>
              </w:rPr>
              <w:t>РСМ</w:t>
            </w:r>
            <w:r w:rsidRPr="003C1222">
              <w:rPr>
                <w:rFonts w:cstheme="minorHAnsi"/>
                <w:sz w:val="20"/>
                <w:szCs w:val="20"/>
                <w:lang w:val="mk-MK"/>
              </w:rPr>
              <w:t xml:space="preserve"> за нивото на корупција на мерењата од Транспаренси Интернешнл-ИНДЕКС НА ПЕРЦЕПЦИЈА НА КОРУПЦИЈА </w:t>
            </w:r>
            <w:r w:rsidRPr="003C1222">
              <w:rPr>
                <w:rFonts w:cstheme="minorHAnsi"/>
                <w:sz w:val="20"/>
                <w:szCs w:val="20"/>
                <w:lang w:val="en-US"/>
              </w:rPr>
              <w:t>(CPI)</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FB4264" w14:textId="622FDCC9" w:rsidR="003C1222" w:rsidRPr="003C1222" w:rsidRDefault="003C1222" w:rsidP="003C1222">
            <w:pPr>
              <w:jc w:val="center"/>
              <w:rPr>
                <w:rFonts w:ascii="Calibri" w:hAnsi="Calibri" w:cs="Calibri"/>
                <w:sz w:val="20"/>
                <w:szCs w:val="20"/>
                <w:lang w:val="mk-MK"/>
              </w:rPr>
            </w:pPr>
            <w:r w:rsidRPr="003C1222">
              <w:rPr>
                <w:rFonts w:cstheme="minorHAnsi"/>
                <w:sz w:val="20"/>
                <w:szCs w:val="20"/>
                <w:lang w:val="mk-MK"/>
              </w:rPr>
              <w:t>85/180</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2EABC1" w14:textId="451740F7" w:rsidR="003C1222" w:rsidRPr="003C1222" w:rsidRDefault="003C1222" w:rsidP="003C1222">
            <w:pPr>
              <w:jc w:val="center"/>
              <w:rPr>
                <w:rFonts w:ascii="Calibri" w:hAnsi="Calibri" w:cs="Calibri"/>
                <w:sz w:val="20"/>
                <w:szCs w:val="20"/>
                <w:lang w:val="mk-MK"/>
              </w:rPr>
            </w:pPr>
            <w:r>
              <w:rPr>
                <w:rFonts w:cstheme="minorHAnsi"/>
                <w:sz w:val="20"/>
                <w:szCs w:val="20"/>
                <w:lang w:val="mk-MK"/>
              </w:rPr>
              <w:t>83</w:t>
            </w:r>
            <w:r w:rsidRPr="003C1222">
              <w:rPr>
                <w:rFonts w:cstheme="minorHAnsi"/>
                <w:sz w:val="20"/>
                <w:szCs w:val="20"/>
                <w:lang w:val="mk-MK"/>
              </w:rPr>
              <w:t>/180</w:t>
            </w:r>
          </w:p>
        </w:tc>
        <w:tc>
          <w:tcPr>
            <w:tcW w:w="13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7FD225" w14:textId="002B7D85" w:rsidR="003C1222" w:rsidRPr="003C1222" w:rsidRDefault="003C1222" w:rsidP="003C1222">
            <w:pPr>
              <w:jc w:val="center"/>
              <w:rPr>
                <w:sz w:val="20"/>
                <w:szCs w:val="20"/>
                <w:lang w:val="mk-MK"/>
              </w:rPr>
            </w:pPr>
            <w:r w:rsidRPr="003C1222">
              <w:rPr>
                <w:rFonts w:cstheme="minorHAnsi"/>
                <w:sz w:val="20"/>
                <w:szCs w:val="20"/>
                <w:lang w:val="mk-MK"/>
              </w:rPr>
              <w:t>8</w:t>
            </w:r>
            <w:r>
              <w:rPr>
                <w:rFonts w:cstheme="minorHAnsi"/>
                <w:sz w:val="20"/>
                <w:szCs w:val="20"/>
                <w:lang w:val="mk-MK"/>
              </w:rPr>
              <w:t>1</w:t>
            </w:r>
            <w:r w:rsidRPr="003C1222">
              <w:rPr>
                <w:rFonts w:cstheme="minorHAnsi"/>
                <w:sz w:val="20"/>
                <w:szCs w:val="20"/>
                <w:lang w:val="mk-MK"/>
              </w:rPr>
              <w:t>/180</w:t>
            </w:r>
          </w:p>
        </w:tc>
      </w:tr>
      <w:tr w:rsidR="00FD47A9" w:rsidRPr="00BF5165" w14:paraId="6ED4B19E" w14:textId="77777777" w:rsidTr="00092885">
        <w:tc>
          <w:tcPr>
            <w:tcW w:w="9350" w:type="dxa"/>
            <w:gridSpan w:val="4"/>
            <w:tcBorders>
              <w:top w:val="single" w:sz="12" w:space="0" w:color="auto"/>
            </w:tcBorders>
            <w:shd w:val="clear" w:color="auto" w:fill="D9E2F3" w:themeFill="accent1" w:themeFillTint="33"/>
          </w:tcPr>
          <w:p w14:paraId="4749A1E5" w14:textId="77777777" w:rsidR="00FD47A9" w:rsidRPr="00BF5165" w:rsidRDefault="00FD47A9" w:rsidP="00EC7C0D">
            <w:pPr>
              <w:jc w:val="both"/>
              <w:rPr>
                <w:b/>
                <w:bCs/>
                <w:highlight w:val="yellow"/>
                <w:lang w:val="mk-MK"/>
              </w:rPr>
            </w:pPr>
            <w:r w:rsidRPr="00BF5165">
              <w:rPr>
                <w:rFonts w:cstheme="minorHAnsi"/>
                <w:b/>
                <w:bCs/>
                <w:lang w:val="mk-MK"/>
              </w:rPr>
              <w:t>Мерка 3.3.1. Јакнење на интегритетот на носителите на извршната власт од највисоко ниво</w:t>
            </w:r>
          </w:p>
        </w:tc>
      </w:tr>
      <w:tr w:rsidR="00FD47A9" w:rsidRPr="00933133" w14:paraId="0E3403BE" w14:textId="77777777" w:rsidTr="00092885">
        <w:tc>
          <w:tcPr>
            <w:tcW w:w="5395" w:type="dxa"/>
            <w:vMerge w:val="restart"/>
            <w:shd w:val="clear" w:color="auto" w:fill="D9E2F3" w:themeFill="accent1" w:themeFillTint="33"/>
            <w:vAlign w:val="center"/>
          </w:tcPr>
          <w:p w14:paraId="70AEFC06" w14:textId="77777777" w:rsidR="00FD47A9" w:rsidRPr="00933133" w:rsidRDefault="00FD47A9" w:rsidP="00EC7C0D">
            <w:pPr>
              <w:jc w:val="center"/>
              <w:rPr>
                <w:rFonts w:ascii="Calibri" w:hAnsi="Calibri" w:cs="Calibri"/>
                <w:color w:val="000000"/>
                <w:lang w:val="mk-MK"/>
              </w:rPr>
            </w:pPr>
          </w:p>
          <w:p w14:paraId="04075550"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w:t>
            </w:r>
            <w:r>
              <w:rPr>
                <w:rFonts w:ascii="Calibri" w:hAnsi="Calibri" w:cs="Calibri"/>
                <w:b/>
                <w:bCs/>
                <w:color w:val="000000"/>
                <w:lang w:val="mk-MK"/>
              </w:rPr>
              <w:t xml:space="preserve"> резултат:</w:t>
            </w:r>
          </w:p>
        </w:tc>
        <w:tc>
          <w:tcPr>
            <w:tcW w:w="1350" w:type="dxa"/>
            <w:tcBorders>
              <w:bottom w:val="nil"/>
              <w:right w:val="nil"/>
            </w:tcBorders>
            <w:shd w:val="clear" w:color="auto" w:fill="D9E2F3" w:themeFill="accent1" w:themeFillTint="33"/>
          </w:tcPr>
          <w:p w14:paraId="28609D87" w14:textId="77777777" w:rsidR="00FD47A9" w:rsidRPr="00933133" w:rsidRDefault="00FD47A9" w:rsidP="00EC7C0D">
            <w:pPr>
              <w:jc w:val="center"/>
              <w:rPr>
                <w:rFonts w:ascii="Calibri" w:hAnsi="Calibri" w:cs="Calibri"/>
                <w:color w:val="000000"/>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1D88181D" w14:textId="77777777" w:rsidR="00FD47A9" w:rsidRPr="00933133" w:rsidRDefault="00FD47A9" w:rsidP="00EC7C0D">
            <w:pPr>
              <w:jc w:val="center"/>
              <w:rPr>
                <w:rFonts w:ascii="Calibri" w:hAnsi="Calibri" w:cs="Calibri"/>
                <w:color w:val="000000"/>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911E2BC" w14:textId="77777777" w:rsidR="00FD47A9" w:rsidRPr="00933133" w:rsidRDefault="00FD47A9" w:rsidP="00EC7C0D">
            <w:pPr>
              <w:jc w:val="center"/>
              <w:rPr>
                <w:highlight w:val="yellow"/>
                <w:lang w:val="mk-MK"/>
              </w:rPr>
            </w:pPr>
            <w:r w:rsidRPr="00933133">
              <w:rPr>
                <w:b/>
                <w:bCs/>
                <w:lang w:val="mk-MK"/>
              </w:rPr>
              <w:t>Крајна вредност</w:t>
            </w:r>
          </w:p>
        </w:tc>
      </w:tr>
      <w:tr w:rsidR="00FD47A9" w:rsidRPr="00823E83" w14:paraId="33292FA6" w14:textId="77777777" w:rsidTr="00092885">
        <w:tc>
          <w:tcPr>
            <w:tcW w:w="5395" w:type="dxa"/>
            <w:vMerge/>
            <w:shd w:val="clear" w:color="auto" w:fill="D9E2F3" w:themeFill="accent1" w:themeFillTint="33"/>
          </w:tcPr>
          <w:p w14:paraId="7C804166" w14:textId="77777777" w:rsidR="00FD47A9" w:rsidRPr="00933133" w:rsidRDefault="00FD47A9" w:rsidP="00EC7C0D">
            <w:pPr>
              <w:rPr>
                <w:rFonts w:ascii="Calibri" w:hAnsi="Calibri" w:cs="Calibri"/>
                <w:color w:val="000000"/>
              </w:rPr>
            </w:pPr>
          </w:p>
        </w:tc>
        <w:tc>
          <w:tcPr>
            <w:tcW w:w="1350" w:type="dxa"/>
            <w:tcBorders>
              <w:top w:val="nil"/>
              <w:right w:val="nil"/>
            </w:tcBorders>
            <w:shd w:val="clear" w:color="auto" w:fill="D9E2F3" w:themeFill="accent1" w:themeFillTint="33"/>
          </w:tcPr>
          <w:p w14:paraId="5F59DACB"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60" w:type="dxa"/>
            <w:tcBorders>
              <w:top w:val="nil"/>
              <w:left w:val="nil"/>
              <w:right w:val="nil"/>
            </w:tcBorders>
            <w:shd w:val="clear" w:color="auto" w:fill="D9E2F3" w:themeFill="accent1" w:themeFillTint="33"/>
          </w:tcPr>
          <w:p w14:paraId="152B7797" w14:textId="77777777" w:rsidR="00FD47A9" w:rsidRPr="00933133" w:rsidRDefault="00FD47A9"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3F97872A" w14:textId="77777777" w:rsidR="00FD47A9" w:rsidRPr="00823E83" w:rsidRDefault="00FD47A9" w:rsidP="00EC7C0D">
            <w:pPr>
              <w:jc w:val="center"/>
              <w:rPr>
                <w:b/>
                <w:bCs/>
                <w:lang w:val="mk-MK"/>
              </w:rPr>
            </w:pPr>
            <w:r w:rsidRPr="00823E83">
              <w:rPr>
                <w:b/>
                <w:bCs/>
                <w:lang w:val="mk-MK"/>
              </w:rPr>
              <w:t>2030</w:t>
            </w:r>
          </w:p>
        </w:tc>
      </w:tr>
      <w:tr w:rsidR="00FD47A9" w:rsidRPr="009F309E" w14:paraId="516846B6" w14:textId="77777777" w:rsidTr="00092885">
        <w:trPr>
          <w:trHeight w:val="880"/>
        </w:trPr>
        <w:tc>
          <w:tcPr>
            <w:tcW w:w="5395" w:type="dxa"/>
            <w:shd w:val="clear" w:color="auto" w:fill="D9E2F3" w:themeFill="accent1" w:themeFillTint="33"/>
          </w:tcPr>
          <w:p w14:paraId="4E15C187" w14:textId="77777777" w:rsidR="00FD47A9" w:rsidRPr="00BF5165" w:rsidRDefault="00FD47A9" w:rsidP="00EC7C0D">
            <w:pPr>
              <w:rPr>
                <w:rFonts w:ascii="Calibri" w:hAnsi="Calibri" w:cs="Calibri"/>
                <w:sz w:val="20"/>
                <w:szCs w:val="20"/>
              </w:rPr>
            </w:pPr>
            <w:r w:rsidRPr="00BF5165">
              <w:rPr>
                <w:rFonts w:cstheme="minorHAnsi"/>
                <w:sz w:val="20"/>
                <w:szCs w:val="20"/>
                <w:lang w:val="mk-MK"/>
              </w:rPr>
              <w:t>Процент на носители на јавни функции од извршна власт кои ја посетиле обуката за етички кодекс на носители на јавни функции од извршната власт</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33AE4A29" w14:textId="77777777" w:rsidR="00FD47A9" w:rsidRPr="009F309E" w:rsidRDefault="00FD47A9" w:rsidP="00EC7C0D">
            <w:pPr>
              <w:jc w:val="center"/>
              <w:rPr>
                <w:rFonts w:ascii="Calibri" w:hAnsi="Calibri" w:cs="Calibri"/>
                <w:sz w:val="20"/>
                <w:szCs w:val="20"/>
                <w:lang w:val="mk-MK"/>
              </w:rPr>
            </w:pPr>
            <w:r w:rsidRPr="009F309E">
              <w:rPr>
                <w:rFonts w:cstheme="minorHAnsi"/>
                <w:sz w:val="20"/>
                <w:szCs w:val="20"/>
                <w:lang w:val="mk-MK"/>
              </w:rPr>
              <w:t>70%</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05FD2DF" w14:textId="77777777" w:rsidR="00FD47A9" w:rsidRPr="009F309E" w:rsidRDefault="00FD47A9" w:rsidP="00EC7C0D">
            <w:pPr>
              <w:jc w:val="center"/>
              <w:rPr>
                <w:rFonts w:ascii="Calibri" w:hAnsi="Calibri" w:cs="Calibri"/>
                <w:sz w:val="20"/>
                <w:szCs w:val="20"/>
                <w:lang w:val="mk-MK"/>
              </w:rPr>
            </w:pPr>
            <w:r w:rsidRPr="009F309E">
              <w:rPr>
                <w:rFonts w:cstheme="minorHAnsi"/>
                <w:sz w:val="20"/>
                <w:szCs w:val="20"/>
                <w:lang w:val="mk-MK"/>
              </w:rPr>
              <w:t>80%</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372995E5" w14:textId="77777777" w:rsidR="00FD47A9" w:rsidRPr="009F309E" w:rsidRDefault="00FD47A9" w:rsidP="00EC7C0D">
            <w:pPr>
              <w:jc w:val="center"/>
              <w:rPr>
                <w:sz w:val="20"/>
                <w:szCs w:val="20"/>
                <w:lang w:val="mk-MK"/>
              </w:rPr>
            </w:pPr>
            <w:r w:rsidRPr="009F309E">
              <w:rPr>
                <w:rFonts w:cstheme="minorHAnsi"/>
                <w:sz w:val="20"/>
                <w:szCs w:val="20"/>
                <w:lang w:val="mk-MK"/>
              </w:rPr>
              <w:t>100%</w:t>
            </w:r>
          </w:p>
        </w:tc>
      </w:tr>
      <w:tr w:rsidR="00FD47A9" w:rsidRPr="00BF5165" w14:paraId="0D4AC8EC" w14:textId="77777777" w:rsidTr="00092885">
        <w:tc>
          <w:tcPr>
            <w:tcW w:w="9350" w:type="dxa"/>
            <w:gridSpan w:val="4"/>
            <w:shd w:val="clear" w:color="auto" w:fill="D9E2F3" w:themeFill="accent1" w:themeFillTint="33"/>
          </w:tcPr>
          <w:p w14:paraId="286D89C3" w14:textId="7438834B" w:rsidR="00FD47A9" w:rsidRPr="00BF5165" w:rsidRDefault="00FD47A9" w:rsidP="00EC7C0D">
            <w:pPr>
              <w:rPr>
                <w:b/>
                <w:bCs/>
                <w:highlight w:val="yellow"/>
                <w:lang w:val="mk-MK"/>
              </w:rPr>
            </w:pPr>
            <w:r w:rsidRPr="00BF5165">
              <w:rPr>
                <w:rFonts w:cstheme="minorHAnsi"/>
                <w:b/>
                <w:bCs/>
                <w:lang w:val="mk-MK"/>
              </w:rPr>
              <w:t xml:space="preserve">Мерка 3.3.2 Jaкнење на индивидуалниот и институционалниот интегритет на органите во состав на министерствата, самостојните државни органи, самостојните органи на државна управа,  секретаријатите во </w:t>
            </w:r>
            <w:r w:rsidR="00202BF0">
              <w:rPr>
                <w:rFonts w:cstheme="minorHAnsi"/>
                <w:b/>
                <w:bCs/>
                <w:lang w:val="mk-MK"/>
              </w:rPr>
              <w:t>ВРСМ</w:t>
            </w:r>
            <w:r w:rsidRPr="00BF5165">
              <w:rPr>
                <w:rFonts w:cstheme="minorHAnsi"/>
                <w:b/>
                <w:bCs/>
                <w:lang w:val="mk-MK"/>
              </w:rPr>
              <w:t xml:space="preserve"> и СОЗР и единиците на локална самоуправа</w:t>
            </w:r>
          </w:p>
        </w:tc>
      </w:tr>
      <w:tr w:rsidR="00FD47A9" w:rsidRPr="00186921" w14:paraId="319ECC78" w14:textId="77777777" w:rsidTr="00092885">
        <w:tc>
          <w:tcPr>
            <w:tcW w:w="5395" w:type="dxa"/>
            <w:vMerge w:val="restart"/>
            <w:shd w:val="clear" w:color="auto" w:fill="D9E2F3" w:themeFill="accent1" w:themeFillTint="33"/>
            <w:vAlign w:val="center"/>
          </w:tcPr>
          <w:p w14:paraId="090AB95D"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7B75DE07"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73D3AA0D"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1A2FAA23"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6557700E" w14:textId="77777777" w:rsidTr="00092885">
        <w:tc>
          <w:tcPr>
            <w:tcW w:w="5395" w:type="dxa"/>
            <w:vMerge/>
            <w:shd w:val="clear" w:color="auto" w:fill="D9E2F3" w:themeFill="accent1" w:themeFillTint="33"/>
          </w:tcPr>
          <w:p w14:paraId="3416E392"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6D2538EB"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48058A41"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1795B542" w14:textId="77777777" w:rsidR="00FD47A9" w:rsidRPr="00823E83" w:rsidRDefault="00FD47A9" w:rsidP="00EC7C0D">
            <w:pPr>
              <w:jc w:val="center"/>
              <w:rPr>
                <w:lang w:val="mk-MK"/>
              </w:rPr>
            </w:pPr>
            <w:r w:rsidRPr="00823E83">
              <w:rPr>
                <w:b/>
                <w:bCs/>
                <w:lang w:val="mk-MK"/>
              </w:rPr>
              <w:t>2030</w:t>
            </w:r>
          </w:p>
        </w:tc>
      </w:tr>
      <w:tr w:rsidR="00FD47A9" w:rsidRPr="00BF5165" w14:paraId="7CDA5C12" w14:textId="77777777" w:rsidTr="00092885">
        <w:trPr>
          <w:trHeight w:val="593"/>
        </w:trPr>
        <w:tc>
          <w:tcPr>
            <w:tcW w:w="5395" w:type="dxa"/>
            <w:shd w:val="clear" w:color="auto" w:fill="D9E2F3" w:themeFill="accent1" w:themeFillTint="33"/>
          </w:tcPr>
          <w:p w14:paraId="6672A313" w14:textId="77777777" w:rsidR="00FD47A9" w:rsidRPr="009F309E" w:rsidRDefault="00FD47A9" w:rsidP="00EC7C0D">
            <w:pPr>
              <w:rPr>
                <w:rFonts w:cstheme="minorHAnsi"/>
                <w:sz w:val="20"/>
                <w:szCs w:val="20"/>
              </w:rPr>
            </w:pPr>
            <w:r w:rsidRPr="001A6A43">
              <w:rPr>
                <w:rFonts w:cstheme="minorHAnsi"/>
                <w:sz w:val="20"/>
                <w:szCs w:val="20"/>
                <w:lang w:val="mk-MK"/>
              </w:rPr>
              <w:t>Број на институции кои ги имплементирале елементите од системот на интегритет</w:t>
            </w:r>
          </w:p>
        </w:tc>
        <w:tc>
          <w:tcPr>
            <w:tcW w:w="1350" w:type="dxa"/>
            <w:shd w:val="clear" w:color="auto" w:fill="D9E2F3" w:themeFill="accent1" w:themeFillTint="33"/>
            <w:vAlign w:val="center"/>
          </w:tcPr>
          <w:p w14:paraId="56E6EF83"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85</w:t>
            </w:r>
          </w:p>
        </w:tc>
        <w:tc>
          <w:tcPr>
            <w:tcW w:w="1260" w:type="dxa"/>
            <w:shd w:val="clear" w:color="auto" w:fill="D9E2F3" w:themeFill="accent1" w:themeFillTint="33"/>
            <w:vAlign w:val="center"/>
          </w:tcPr>
          <w:p w14:paraId="747F45BC"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150</w:t>
            </w:r>
          </w:p>
        </w:tc>
        <w:tc>
          <w:tcPr>
            <w:tcW w:w="1345" w:type="dxa"/>
            <w:shd w:val="clear" w:color="auto" w:fill="D9E2F3" w:themeFill="accent1" w:themeFillTint="33"/>
            <w:vAlign w:val="center"/>
          </w:tcPr>
          <w:p w14:paraId="51A332A2" w14:textId="77777777" w:rsidR="00FD47A9" w:rsidRPr="00BF5165" w:rsidRDefault="00FD47A9" w:rsidP="00EC7C0D">
            <w:pPr>
              <w:jc w:val="center"/>
              <w:rPr>
                <w:sz w:val="20"/>
                <w:szCs w:val="20"/>
                <w:lang w:val="mk-MK"/>
              </w:rPr>
            </w:pPr>
            <w:r w:rsidRPr="00BF5165">
              <w:rPr>
                <w:sz w:val="20"/>
                <w:szCs w:val="20"/>
                <w:lang w:val="mk-MK"/>
              </w:rPr>
              <w:t>169</w:t>
            </w:r>
          </w:p>
        </w:tc>
      </w:tr>
      <w:tr w:rsidR="00FD47A9" w:rsidRPr="00BF5165" w14:paraId="253CD5A2" w14:textId="77777777" w:rsidTr="00092885">
        <w:tc>
          <w:tcPr>
            <w:tcW w:w="9350" w:type="dxa"/>
            <w:gridSpan w:val="4"/>
            <w:shd w:val="clear" w:color="auto" w:fill="D9E2F3" w:themeFill="accent1" w:themeFillTint="33"/>
          </w:tcPr>
          <w:p w14:paraId="600B1BF8" w14:textId="77777777" w:rsidR="00FD47A9" w:rsidRPr="00BF5165" w:rsidRDefault="00FD47A9" w:rsidP="00EC7C0D">
            <w:pPr>
              <w:jc w:val="both"/>
              <w:rPr>
                <w:b/>
                <w:bCs/>
                <w:highlight w:val="yellow"/>
                <w:lang w:val="mk-MK"/>
              </w:rPr>
            </w:pPr>
            <w:r w:rsidRPr="00BF5165">
              <w:rPr>
                <w:rFonts w:cstheme="minorHAnsi"/>
                <w:b/>
                <w:bCs/>
                <w:lang w:val="mk-MK"/>
              </w:rPr>
              <w:t>Мерка 3.3.3.  Целосно воспоставување и развој на електронскиот систем за дигитализација на инспекциската постапка и инспекциското работење – „Е-инспектор“</w:t>
            </w:r>
          </w:p>
        </w:tc>
      </w:tr>
      <w:tr w:rsidR="00FD47A9" w:rsidRPr="00186921" w14:paraId="3D6628E6" w14:textId="77777777" w:rsidTr="00092885">
        <w:tc>
          <w:tcPr>
            <w:tcW w:w="5395" w:type="dxa"/>
            <w:vMerge w:val="restart"/>
            <w:shd w:val="clear" w:color="auto" w:fill="D9E2F3" w:themeFill="accent1" w:themeFillTint="33"/>
            <w:vAlign w:val="center"/>
          </w:tcPr>
          <w:p w14:paraId="29DC67D8"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07888198"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1AE05992"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2BD8F61B"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78F20FF4" w14:textId="77777777" w:rsidTr="00092885">
        <w:tc>
          <w:tcPr>
            <w:tcW w:w="5395" w:type="dxa"/>
            <w:vMerge/>
            <w:shd w:val="clear" w:color="auto" w:fill="D9E2F3" w:themeFill="accent1" w:themeFillTint="33"/>
          </w:tcPr>
          <w:p w14:paraId="133BD726"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79B98D3D"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21</w:t>
            </w:r>
          </w:p>
        </w:tc>
        <w:tc>
          <w:tcPr>
            <w:tcW w:w="1260" w:type="dxa"/>
            <w:tcBorders>
              <w:top w:val="nil"/>
              <w:left w:val="nil"/>
              <w:right w:val="nil"/>
            </w:tcBorders>
            <w:shd w:val="clear" w:color="auto" w:fill="D9E2F3" w:themeFill="accent1" w:themeFillTint="33"/>
          </w:tcPr>
          <w:p w14:paraId="5E6C6574"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7F7CFC90" w14:textId="77777777" w:rsidR="00FD47A9" w:rsidRPr="00823E83" w:rsidRDefault="00FD47A9" w:rsidP="00EC7C0D">
            <w:pPr>
              <w:jc w:val="center"/>
              <w:rPr>
                <w:lang w:val="mk-MK"/>
              </w:rPr>
            </w:pPr>
            <w:r w:rsidRPr="00823E83">
              <w:rPr>
                <w:b/>
                <w:bCs/>
                <w:lang w:val="mk-MK"/>
              </w:rPr>
              <w:t>2030</w:t>
            </w:r>
          </w:p>
        </w:tc>
      </w:tr>
      <w:tr w:rsidR="00FD47A9" w:rsidRPr="00BF5165" w14:paraId="41A9A5B7" w14:textId="77777777" w:rsidTr="00092885">
        <w:trPr>
          <w:trHeight w:val="593"/>
        </w:trPr>
        <w:tc>
          <w:tcPr>
            <w:tcW w:w="5395" w:type="dxa"/>
            <w:shd w:val="clear" w:color="auto" w:fill="D9E2F3" w:themeFill="accent1" w:themeFillTint="33"/>
          </w:tcPr>
          <w:p w14:paraId="795AF65A" w14:textId="77777777" w:rsidR="00FD47A9" w:rsidRPr="009F309E" w:rsidRDefault="00FD47A9" w:rsidP="00EC7C0D">
            <w:pPr>
              <w:rPr>
                <w:rFonts w:cstheme="minorHAnsi"/>
                <w:sz w:val="20"/>
                <w:szCs w:val="20"/>
              </w:rPr>
            </w:pPr>
            <w:r w:rsidRPr="001A6A43">
              <w:rPr>
                <w:rFonts w:cstheme="minorHAnsi"/>
                <w:sz w:val="20"/>
                <w:szCs w:val="20"/>
                <w:lang w:val="mk-MK"/>
              </w:rPr>
              <w:t>Процент на инспекциски служби кои се вклучени во системот Е-инспектор</w:t>
            </w:r>
          </w:p>
        </w:tc>
        <w:tc>
          <w:tcPr>
            <w:tcW w:w="1350" w:type="dxa"/>
            <w:shd w:val="clear" w:color="auto" w:fill="D9E2F3" w:themeFill="accent1" w:themeFillTint="33"/>
            <w:vAlign w:val="center"/>
          </w:tcPr>
          <w:p w14:paraId="31A9DE7F"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10,7%</w:t>
            </w:r>
          </w:p>
        </w:tc>
        <w:tc>
          <w:tcPr>
            <w:tcW w:w="1260" w:type="dxa"/>
            <w:shd w:val="clear" w:color="auto" w:fill="D9E2F3" w:themeFill="accent1" w:themeFillTint="33"/>
            <w:vAlign w:val="center"/>
          </w:tcPr>
          <w:p w14:paraId="5CC97518"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100%</w:t>
            </w:r>
          </w:p>
        </w:tc>
        <w:tc>
          <w:tcPr>
            <w:tcW w:w="1345" w:type="dxa"/>
            <w:shd w:val="clear" w:color="auto" w:fill="D9E2F3" w:themeFill="accent1" w:themeFillTint="33"/>
            <w:vAlign w:val="center"/>
          </w:tcPr>
          <w:p w14:paraId="379DF415" w14:textId="77777777" w:rsidR="00FD47A9" w:rsidRPr="00BF5165" w:rsidRDefault="00FD47A9" w:rsidP="00EC7C0D">
            <w:pPr>
              <w:jc w:val="center"/>
              <w:rPr>
                <w:sz w:val="20"/>
                <w:szCs w:val="20"/>
                <w:lang w:val="mk-MK"/>
              </w:rPr>
            </w:pPr>
            <w:r w:rsidRPr="00BF5165">
              <w:rPr>
                <w:sz w:val="20"/>
                <w:szCs w:val="20"/>
                <w:lang w:val="mk-MK"/>
              </w:rPr>
              <w:t>100%</w:t>
            </w:r>
          </w:p>
        </w:tc>
      </w:tr>
    </w:tbl>
    <w:p w14:paraId="789BEBCB" w14:textId="77777777" w:rsidR="00FD47A9" w:rsidRDefault="00FD47A9" w:rsidP="00106B99">
      <w:pPr>
        <w:spacing w:after="0"/>
        <w:jc w:val="both"/>
        <w:rPr>
          <w:b/>
          <w:bCs/>
          <w:u w:val="single"/>
          <w:lang w:val="mk-MK"/>
        </w:rPr>
      </w:pPr>
    </w:p>
    <w:p w14:paraId="570AC2AC" w14:textId="77777777" w:rsidR="00FD47A9" w:rsidRDefault="00FD47A9" w:rsidP="00106B99">
      <w:pPr>
        <w:spacing w:after="0"/>
        <w:jc w:val="both"/>
        <w:rPr>
          <w:b/>
          <w:bCs/>
          <w:u w:val="single"/>
          <w:lang w:val="mk-MK"/>
        </w:rPr>
      </w:pPr>
    </w:p>
    <w:p w14:paraId="5E03F63F" w14:textId="77777777" w:rsidR="00981BC4" w:rsidRDefault="00981BC4" w:rsidP="00106B99">
      <w:pPr>
        <w:spacing w:after="0"/>
        <w:jc w:val="both"/>
        <w:rPr>
          <w:b/>
          <w:bCs/>
          <w:u w:val="single"/>
          <w:lang w:val="mk-MK"/>
        </w:rPr>
      </w:pPr>
    </w:p>
    <w:p w14:paraId="57EB9AD6" w14:textId="3ED7206E" w:rsidR="00106B99" w:rsidRPr="006D5ECF" w:rsidRDefault="00106B99" w:rsidP="00106B99">
      <w:pPr>
        <w:spacing w:after="0"/>
        <w:jc w:val="both"/>
        <w:rPr>
          <w:b/>
          <w:bCs/>
          <w:u w:val="single"/>
          <w:lang w:val="mk-MK"/>
        </w:rPr>
      </w:pPr>
      <w:r w:rsidRPr="006D5ECF">
        <w:rPr>
          <w:b/>
          <w:bCs/>
          <w:u w:val="single"/>
          <w:lang w:val="mk-MK"/>
        </w:rPr>
        <w:t xml:space="preserve">Посебна цел </w:t>
      </w:r>
      <w:r w:rsidR="00FD47A9">
        <w:rPr>
          <w:b/>
          <w:bCs/>
          <w:u w:val="single"/>
          <w:lang w:val="mk-MK"/>
        </w:rPr>
        <w:t>3.</w:t>
      </w:r>
      <w:r w:rsidRPr="006D5ECF">
        <w:rPr>
          <w:b/>
          <w:bCs/>
          <w:u w:val="single"/>
          <w:lang w:val="mk-MK"/>
        </w:rPr>
        <w:t>4</w:t>
      </w:r>
      <w:r w:rsidR="00FD47A9">
        <w:rPr>
          <w:b/>
          <w:bCs/>
          <w:u w:val="single"/>
          <w:lang w:val="mk-MK"/>
        </w:rPr>
        <w:t>.</w:t>
      </w:r>
      <w:r w:rsidRPr="006D5ECF">
        <w:rPr>
          <w:b/>
          <w:bCs/>
          <w:u w:val="single"/>
          <w:lang w:val="mk-MK"/>
        </w:rPr>
        <w:t>: Зголемена транспарентност на институциите на државно и локално ниво</w:t>
      </w:r>
    </w:p>
    <w:p w14:paraId="689C38A0" w14:textId="77777777" w:rsidR="00AC4875" w:rsidRDefault="00AC4875" w:rsidP="00106B99">
      <w:pPr>
        <w:spacing w:after="0"/>
        <w:jc w:val="both"/>
        <w:rPr>
          <w:lang w:val="mk-MK"/>
        </w:rPr>
      </w:pPr>
    </w:p>
    <w:p w14:paraId="049FED65" w14:textId="6E91C0BE" w:rsidR="00106B99" w:rsidRDefault="00106B99" w:rsidP="00106B99">
      <w:pPr>
        <w:spacing w:after="0"/>
        <w:jc w:val="both"/>
        <w:rPr>
          <w:lang w:val="mk-MK"/>
        </w:rPr>
      </w:pPr>
      <w:r>
        <w:rPr>
          <w:lang w:val="mk-MK"/>
        </w:rPr>
        <w:t xml:space="preserve">Афирмирање на правото на пристап до информациите од јавен карактер на уште повисоко општествено ниво и континуирано поттикнување на проактивната транспарентност на институциите на државата со што ќе се зголеми довербата во институциите, а на граѓаните ќе им се овозможи </w:t>
      </w:r>
      <w:r>
        <w:rPr>
          <w:lang w:val="mk-MK"/>
        </w:rPr>
        <w:lastRenderedPageBreak/>
        <w:t>зголемена партиципативност во креирањето на политиките и поттикнување за користење на правото на слободен пристап до информациите од јавен карактер.</w:t>
      </w:r>
    </w:p>
    <w:p w14:paraId="0662F384" w14:textId="77777777" w:rsidR="00106B99" w:rsidRDefault="00106B99" w:rsidP="00106B99">
      <w:pPr>
        <w:spacing w:after="0"/>
        <w:jc w:val="both"/>
        <w:rPr>
          <w:lang w:val="mk-MK"/>
        </w:rPr>
      </w:pPr>
    </w:p>
    <w:p w14:paraId="1D24CECB" w14:textId="3E8EF42B" w:rsidR="00106B99" w:rsidRDefault="00106B99" w:rsidP="00106B99">
      <w:pPr>
        <w:spacing w:after="0"/>
        <w:jc w:val="both"/>
        <w:rPr>
          <w:lang w:val="mk-MK"/>
        </w:rPr>
      </w:pPr>
      <w:r>
        <w:rPr>
          <w:lang w:val="mk-MK"/>
        </w:rPr>
        <w:t>Со поддршка и зајакнување на капацитетите на АЗПСПИЈК</w:t>
      </w:r>
      <w:r w:rsidR="001A6A43">
        <w:rPr>
          <w:lang w:val="mk-MK"/>
        </w:rPr>
        <w:t>,</w:t>
      </w:r>
      <w:r>
        <w:rPr>
          <w:lang w:val="mk-MK"/>
        </w:rPr>
        <w:t xml:space="preserve"> како и примената на препораките од „Анализата на примената на Законот за слободен пристап до информации од јавен карактер со препораки за унапредување на системот за слободен пристап до информациите“ и препораките од СИГМА, ќе се унапреди остварувањето на правото за слободен пристап до информации  како еден од начините за градење на отворени, транспарентни и отчетни институции и информирани баратели</w:t>
      </w:r>
    </w:p>
    <w:p w14:paraId="281E124C" w14:textId="77777777" w:rsidR="00106B99" w:rsidRDefault="00106B99" w:rsidP="00106B99">
      <w:pPr>
        <w:spacing w:after="0"/>
        <w:jc w:val="both"/>
        <w:rPr>
          <w:lang w:val="mk-MK"/>
        </w:rPr>
      </w:pPr>
    </w:p>
    <w:p w14:paraId="24B0AB34" w14:textId="288EE4CF"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4.</w:t>
      </w:r>
      <w:r w:rsidRPr="006D5ECF">
        <w:rPr>
          <w:b/>
          <w:bCs/>
          <w:lang w:val="mk-MK"/>
        </w:rPr>
        <w:t>1</w:t>
      </w:r>
      <w:r w:rsidR="00AC4875">
        <w:rPr>
          <w:b/>
          <w:bCs/>
          <w:lang w:val="mk-MK"/>
        </w:rPr>
        <w:t>.</w:t>
      </w:r>
      <w:r w:rsidRPr="006D5ECF">
        <w:rPr>
          <w:b/>
          <w:bCs/>
          <w:lang w:val="mk-MK"/>
        </w:rPr>
        <w:t>: Унапредување на алатките за достапност на информациите од јавен карактер</w:t>
      </w:r>
    </w:p>
    <w:p w14:paraId="1AA8A718" w14:textId="77777777" w:rsidR="001A6A43" w:rsidRDefault="001A6A43" w:rsidP="00106B99">
      <w:pPr>
        <w:spacing w:after="0"/>
        <w:jc w:val="both"/>
        <w:rPr>
          <w:lang w:val="mk-MK"/>
        </w:rPr>
      </w:pPr>
    </w:p>
    <w:p w14:paraId="28A4A935" w14:textId="3FA61EC1" w:rsidR="00106B99" w:rsidRDefault="00106B99" w:rsidP="00106B99">
      <w:pPr>
        <w:spacing w:after="0"/>
        <w:jc w:val="both"/>
        <w:rPr>
          <w:lang w:val="mk-MK"/>
        </w:rPr>
      </w:pPr>
      <w:r>
        <w:rPr>
          <w:lang w:val="mk-MK"/>
        </w:rPr>
        <w:t>Во рамките на оваа мерка ќе се изработат процедури (упатства) за проактивно објавување на информациите кои ги создаваат или со кои располагаат институциите на државно и локално ниво, за унифицирано уредување на нивните веб страни</w:t>
      </w:r>
      <w:r w:rsidR="00261154">
        <w:rPr>
          <w:lang w:val="mk-MK"/>
        </w:rPr>
        <w:t>ци</w:t>
      </w:r>
      <w:r>
        <w:rPr>
          <w:lang w:val="mk-MK"/>
        </w:rPr>
        <w:t xml:space="preserve"> и правилно водење и ажурирање на податоците  што во голема мера ќе придонесе кон остварување на целта. Воедно ќе се организираат обуки за новите процедури и ќе продолжат обуките на имателите на информации, како и активностите за подобрување на информираноста на јавноста за користење на правото на слободен пристап до информации.</w:t>
      </w:r>
    </w:p>
    <w:p w14:paraId="4FFC1C63" w14:textId="77777777" w:rsidR="00106B99" w:rsidRDefault="00106B99" w:rsidP="00106B99">
      <w:pPr>
        <w:spacing w:after="0"/>
        <w:jc w:val="both"/>
        <w:rPr>
          <w:lang w:val="mk-MK"/>
        </w:rPr>
      </w:pPr>
    </w:p>
    <w:p w14:paraId="15D9DC68" w14:textId="6FC5967E"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4.</w:t>
      </w:r>
      <w:r w:rsidRPr="006D5ECF">
        <w:rPr>
          <w:b/>
          <w:bCs/>
        </w:rPr>
        <w:t>2</w:t>
      </w:r>
      <w:r w:rsidR="00AC4875">
        <w:rPr>
          <w:b/>
          <w:bCs/>
          <w:lang w:val="mk-MK"/>
        </w:rPr>
        <w:t>.</w:t>
      </w:r>
      <w:r w:rsidRPr="006D5ECF">
        <w:rPr>
          <w:b/>
          <w:bCs/>
          <w:lang w:val="mk-MK"/>
        </w:rPr>
        <w:t>: Зголемена транспарентност на инспекциските служби</w:t>
      </w:r>
    </w:p>
    <w:p w14:paraId="6302BE89" w14:textId="77777777" w:rsidR="003B62C1" w:rsidRDefault="003B62C1" w:rsidP="00106B99">
      <w:pPr>
        <w:spacing w:after="0"/>
        <w:jc w:val="both"/>
        <w:rPr>
          <w:lang w:val="mk-MK"/>
        </w:rPr>
      </w:pPr>
    </w:p>
    <w:p w14:paraId="61E93E79" w14:textId="1AE50589" w:rsidR="00106B99" w:rsidRDefault="00106B99" w:rsidP="00106B99">
      <w:pPr>
        <w:spacing w:after="0"/>
        <w:jc w:val="both"/>
        <w:rPr>
          <w:lang w:val="mk-MK"/>
        </w:rPr>
      </w:pPr>
      <w:r>
        <w:rPr>
          <w:lang w:val="mk-MK"/>
        </w:rPr>
        <w:t>Преку унифицирање на веб страни</w:t>
      </w:r>
      <w:r w:rsidR="00261154">
        <w:rPr>
          <w:lang w:val="mk-MK"/>
        </w:rPr>
        <w:t>ци</w:t>
      </w:r>
      <w:r>
        <w:rPr>
          <w:lang w:val="mk-MK"/>
        </w:rPr>
        <w:t>те на сите инспекциски служби и нивно автоматизирано поврзување со системот Е-инспектор, ќе се овозможи поголема транспарентност во работ</w:t>
      </w:r>
      <w:r w:rsidR="003B62C1">
        <w:rPr>
          <w:lang w:val="mk-MK"/>
        </w:rPr>
        <w:t xml:space="preserve">ењето на инспекциските служби и </w:t>
      </w:r>
      <w:r>
        <w:rPr>
          <w:lang w:val="mk-MK"/>
        </w:rPr>
        <w:t>тоа преку:</w:t>
      </w:r>
    </w:p>
    <w:p w14:paraId="4C0E86BE" w14:textId="019B48CF" w:rsidR="00106B99" w:rsidRPr="006D5ECF" w:rsidRDefault="00106B99" w:rsidP="00106B99">
      <w:pPr>
        <w:pStyle w:val="ListParagraph"/>
        <w:numPr>
          <w:ilvl w:val="0"/>
          <w:numId w:val="3"/>
        </w:numPr>
        <w:spacing w:after="0"/>
        <w:jc w:val="both"/>
        <w:rPr>
          <w:lang w:val="mk-MK"/>
        </w:rPr>
      </w:pPr>
      <w:r w:rsidRPr="006D5ECF">
        <w:rPr>
          <w:lang w:val="mk-MK"/>
        </w:rPr>
        <w:t>Автоматизирано објавување на сите документи (записници и решенија од спроведени инспекциски надзори, месечни планови за инспекциски надзори, годишни планови за инспекциски надзори, шестмесечни извештаи за инспекциски надзор, годишен извештај за работа на инспекциските служби и други типови на извештаи ) кои се внесуваат во системот Е-инспектор при спроведување на инспекциската постапка директно на веб страниците на инспекциските служби.</w:t>
      </w:r>
    </w:p>
    <w:p w14:paraId="6453F83E" w14:textId="77777777" w:rsidR="00106B99" w:rsidRPr="006D5ECF" w:rsidRDefault="00106B99" w:rsidP="00106B99">
      <w:pPr>
        <w:pStyle w:val="ListParagraph"/>
        <w:numPr>
          <w:ilvl w:val="0"/>
          <w:numId w:val="3"/>
        </w:numPr>
        <w:spacing w:after="0"/>
        <w:jc w:val="both"/>
        <w:rPr>
          <w:lang w:val="mk-MK"/>
        </w:rPr>
      </w:pPr>
      <w:r w:rsidRPr="006D5ECF">
        <w:rPr>
          <w:lang w:val="mk-MK"/>
        </w:rPr>
        <w:t>Поголема функционалност на веб страниците на инспекциската служба, со постоење на линкови до обрасци поврзани со прописите со кои е утврдено нивното постоење, а особено водичи или упатства за нивно пополнување и поставување на истите на доволно видливи места.</w:t>
      </w:r>
    </w:p>
    <w:p w14:paraId="04675ED5" w14:textId="77831F16" w:rsidR="00106B99" w:rsidRPr="006D5ECF" w:rsidRDefault="00106B99" w:rsidP="00106B99">
      <w:pPr>
        <w:pStyle w:val="ListParagraph"/>
        <w:numPr>
          <w:ilvl w:val="0"/>
          <w:numId w:val="3"/>
        </w:numPr>
        <w:spacing w:after="0"/>
        <w:jc w:val="both"/>
        <w:rPr>
          <w:lang w:val="mk-MK"/>
        </w:rPr>
      </w:pPr>
      <w:r w:rsidRPr="006D5ECF">
        <w:rPr>
          <w:lang w:val="mk-MK"/>
        </w:rPr>
        <w:t>Поставување на воедначени веб страници</w:t>
      </w:r>
      <w:r w:rsidR="00DF0807">
        <w:rPr>
          <w:lang w:val="mk-MK"/>
        </w:rPr>
        <w:t>, почнувајќи од нивниот дизајн</w:t>
      </w:r>
      <w:r w:rsidRPr="006D5ECF">
        <w:rPr>
          <w:lang w:val="mk-MK"/>
        </w:rPr>
        <w:t>, па се до видот на податоци кои ја сочинуваат нивната содржина, со што ќе се овозможи олеснување на пребарувањето од страна на субјектите коишто се заинтересирани да го усогласат своето работење согласно сите прописи кои треба да ги применуваат, а над чија примена, надзор спроведуваат различни инспекциски служби.</w:t>
      </w:r>
    </w:p>
    <w:p w14:paraId="0CADD1F8" w14:textId="77777777" w:rsidR="00106B99" w:rsidRDefault="00106B99" w:rsidP="00106B99">
      <w:pPr>
        <w:spacing w:after="0"/>
        <w:jc w:val="both"/>
        <w:rPr>
          <w:lang w:val="mk-MK"/>
        </w:rPr>
      </w:pPr>
    </w:p>
    <w:p w14:paraId="1CAA26E7" w14:textId="77777777" w:rsidR="00FD47A9" w:rsidRPr="00C1585A" w:rsidRDefault="00FD47A9" w:rsidP="00FD47A9">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035CE09A" w14:textId="77777777" w:rsidR="00106B99" w:rsidRDefault="00106B99" w:rsidP="00106B99">
      <w:pPr>
        <w:spacing w:after="0"/>
        <w:jc w:val="both"/>
        <w:rPr>
          <w:lang w:val="mk-MK"/>
        </w:rPr>
      </w:pPr>
    </w:p>
    <w:tbl>
      <w:tblPr>
        <w:tblStyle w:val="TableGrid"/>
        <w:tblW w:w="0" w:type="auto"/>
        <w:tblLook w:val="04A0" w:firstRow="1" w:lastRow="0" w:firstColumn="1" w:lastColumn="0" w:noHBand="0" w:noVBand="1"/>
      </w:tblPr>
      <w:tblGrid>
        <w:gridCol w:w="5395"/>
        <w:gridCol w:w="1350"/>
        <w:gridCol w:w="1260"/>
        <w:gridCol w:w="1345"/>
      </w:tblGrid>
      <w:tr w:rsidR="00FD47A9" w:rsidRPr="00BF5165" w14:paraId="0BBB1A72" w14:textId="77777777" w:rsidTr="00092885">
        <w:trPr>
          <w:trHeight w:val="422"/>
        </w:trPr>
        <w:tc>
          <w:tcPr>
            <w:tcW w:w="9350" w:type="dxa"/>
            <w:gridSpan w:val="4"/>
            <w:shd w:val="clear" w:color="auto" w:fill="D9E2F3" w:themeFill="accent1" w:themeFillTint="33"/>
            <w:vAlign w:val="center"/>
          </w:tcPr>
          <w:p w14:paraId="0BC7D175" w14:textId="77777777" w:rsidR="00FD47A9" w:rsidRPr="00BF5165" w:rsidRDefault="00FD47A9" w:rsidP="00EC7C0D">
            <w:pPr>
              <w:rPr>
                <w:b/>
                <w:bCs/>
                <w:highlight w:val="yellow"/>
                <w:lang w:val="mk-MK"/>
              </w:rPr>
            </w:pPr>
            <w:r w:rsidRPr="00BF5165">
              <w:rPr>
                <w:rFonts w:cstheme="minorHAnsi"/>
                <w:b/>
                <w:bCs/>
                <w:lang w:val="mk-MK"/>
              </w:rPr>
              <w:lastRenderedPageBreak/>
              <w:t>Посебна цел 3.4.: Зголемена транспарентност на институциите на државно и локално ниво</w:t>
            </w:r>
          </w:p>
        </w:tc>
      </w:tr>
      <w:tr w:rsidR="00FD47A9" w:rsidRPr="00933133" w14:paraId="63D48586" w14:textId="77777777" w:rsidTr="00092885">
        <w:tc>
          <w:tcPr>
            <w:tcW w:w="5395" w:type="dxa"/>
            <w:vMerge w:val="restart"/>
            <w:shd w:val="clear" w:color="auto" w:fill="D9E2F3" w:themeFill="accent1" w:themeFillTint="33"/>
            <w:vAlign w:val="center"/>
          </w:tcPr>
          <w:p w14:paraId="23F24FF2" w14:textId="77777777" w:rsidR="00FD47A9" w:rsidRPr="002068B9" w:rsidRDefault="00FD47A9" w:rsidP="00EC7C0D">
            <w:pPr>
              <w:jc w:val="center"/>
              <w:rPr>
                <w:rFonts w:cstheme="minorHAnsi"/>
                <w:bCs/>
                <w:sz w:val="18"/>
                <w:szCs w:val="18"/>
              </w:rPr>
            </w:pPr>
            <w:r w:rsidRPr="00186921">
              <w:rPr>
                <w:rFonts w:ascii="Calibri" w:hAnsi="Calibri" w:cs="Calibri"/>
                <w:b/>
                <w:bCs/>
                <w:color w:val="000000"/>
                <w:lang w:val="mk-MK"/>
              </w:rPr>
              <w:t xml:space="preserve">Показател на </w:t>
            </w:r>
            <w:r>
              <w:rPr>
                <w:rFonts w:ascii="Calibri" w:hAnsi="Calibri" w:cs="Calibri"/>
                <w:b/>
                <w:bCs/>
                <w:color w:val="000000"/>
                <w:lang w:val="mk-MK"/>
              </w:rPr>
              <w:t>исход</w:t>
            </w:r>
            <w:r w:rsidRPr="00186921">
              <w:rPr>
                <w:rFonts w:ascii="Calibri" w:hAnsi="Calibri" w:cs="Calibri"/>
                <w:b/>
                <w:bCs/>
                <w:color w:val="000000"/>
                <w:lang w:val="mk-MK"/>
              </w:rPr>
              <w:t>:</w:t>
            </w:r>
          </w:p>
        </w:tc>
        <w:tc>
          <w:tcPr>
            <w:tcW w:w="1350" w:type="dxa"/>
            <w:tcBorders>
              <w:bottom w:val="nil"/>
              <w:right w:val="nil"/>
            </w:tcBorders>
            <w:shd w:val="clear" w:color="auto" w:fill="D9E2F3" w:themeFill="accent1" w:themeFillTint="33"/>
          </w:tcPr>
          <w:p w14:paraId="21F1CA29" w14:textId="77777777" w:rsidR="00FD47A9" w:rsidRPr="006869D0"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53E5592A" w14:textId="77777777" w:rsidR="00FD47A9" w:rsidRPr="006869D0"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209A8B08" w14:textId="77777777" w:rsidR="00FD47A9" w:rsidRPr="00933133" w:rsidRDefault="00FD47A9" w:rsidP="00EC7C0D">
            <w:pPr>
              <w:jc w:val="center"/>
              <w:rPr>
                <w:b/>
                <w:bCs/>
                <w:highlight w:val="yellow"/>
                <w:lang w:val="mk-MK"/>
              </w:rPr>
            </w:pPr>
            <w:r w:rsidRPr="00933133">
              <w:rPr>
                <w:b/>
                <w:bCs/>
                <w:lang w:val="mk-MK"/>
              </w:rPr>
              <w:t>Крајна вредност</w:t>
            </w:r>
          </w:p>
        </w:tc>
      </w:tr>
      <w:tr w:rsidR="00FD47A9" w:rsidRPr="00823E83" w14:paraId="3DF8BB60" w14:textId="77777777" w:rsidTr="00092885">
        <w:tc>
          <w:tcPr>
            <w:tcW w:w="5395" w:type="dxa"/>
            <w:vMerge/>
            <w:tcBorders>
              <w:bottom w:val="single" w:sz="4" w:space="0" w:color="auto"/>
            </w:tcBorders>
            <w:shd w:val="clear" w:color="auto" w:fill="D9E2F3" w:themeFill="accent1" w:themeFillTint="33"/>
          </w:tcPr>
          <w:p w14:paraId="6B135ACA" w14:textId="77777777" w:rsidR="00FD47A9" w:rsidRPr="002068B9" w:rsidRDefault="00FD47A9" w:rsidP="00EC7C0D">
            <w:pPr>
              <w:rPr>
                <w:rFonts w:cstheme="minorHAnsi"/>
                <w:bCs/>
                <w:sz w:val="18"/>
                <w:szCs w:val="18"/>
              </w:rPr>
            </w:pPr>
          </w:p>
        </w:tc>
        <w:tc>
          <w:tcPr>
            <w:tcW w:w="1350" w:type="dxa"/>
            <w:tcBorders>
              <w:top w:val="nil"/>
              <w:bottom w:val="single" w:sz="4" w:space="0" w:color="auto"/>
              <w:right w:val="nil"/>
            </w:tcBorders>
            <w:shd w:val="clear" w:color="auto" w:fill="D9E2F3" w:themeFill="accent1" w:themeFillTint="33"/>
          </w:tcPr>
          <w:p w14:paraId="608EF3E9"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bottom w:val="single" w:sz="4" w:space="0" w:color="auto"/>
              <w:right w:val="nil"/>
            </w:tcBorders>
            <w:shd w:val="clear" w:color="auto" w:fill="D9E2F3" w:themeFill="accent1" w:themeFillTint="33"/>
          </w:tcPr>
          <w:p w14:paraId="67302DA6"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bottom w:val="single" w:sz="4" w:space="0" w:color="auto"/>
            </w:tcBorders>
            <w:shd w:val="clear" w:color="auto" w:fill="D9E2F3" w:themeFill="accent1" w:themeFillTint="33"/>
          </w:tcPr>
          <w:p w14:paraId="3E542ABF" w14:textId="77777777" w:rsidR="00FD47A9" w:rsidRPr="00823E83" w:rsidRDefault="00FD47A9" w:rsidP="00EC7C0D">
            <w:pPr>
              <w:jc w:val="center"/>
              <w:rPr>
                <w:b/>
                <w:bCs/>
                <w:lang w:val="mk-MK"/>
              </w:rPr>
            </w:pPr>
            <w:r w:rsidRPr="00823E83">
              <w:rPr>
                <w:b/>
                <w:bCs/>
                <w:lang w:val="mk-MK"/>
              </w:rPr>
              <w:t>2030</w:t>
            </w:r>
          </w:p>
        </w:tc>
      </w:tr>
      <w:tr w:rsidR="00FD47A9" w:rsidRPr="009F309E" w14:paraId="72586796" w14:textId="77777777" w:rsidTr="00092885">
        <w:trPr>
          <w:trHeight w:val="520"/>
        </w:trPr>
        <w:tc>
          <w:tcPr>
            <w:tcW w:w="5395" w:type="dxa"/>
            <w:shd w:val="clear" w:color="auto" w:fill="D9E2F3" w:themeFill="accent1" w:themeFillTint="33"/>
          </w:tcPr>
          <w:p w14:paraId="0A39317D" w14:textId="77777777" w:rsidR="00FD47A9" w:rsidRPr="009F309E" w:rsidRDefault="00FD47A9" w:rsidP="00EC7C0D">
            <w:pPr>
              <w:rPr>
                <w:rFonts w:cstheme="minorHAnsi"/>
                <w:bCs/>
                <w:sz w:val="20"/>
                <w:szCs w:val="20"/>
              </w:rPr>
            </w:pPr>
            <w:r w:rsidRPr="003B62C1">
              <w:rPr>
                <w:rFonts w:cstheme="minorHAnsi"/>
                <w:sz w:val="20"/>
                <w:szCs w:val="20"/>
                <w:lang w:val="mk-MK"/>
              </w:rPr>
              <w:t>Процент на неодговорени барања за пристап до информации од јавен карактер од државни институции</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4F2C3332" w14:textId="77777777" w:rsidR="00FD47A9" w:rsidRPr="003B62C1" w:rsidRDefault="00FD47A9" w:rsidP="00EC7C0D">
            <w:pPr>
              <w:jc w:val="center"/>
              <w:rPr>
                <w:rFonts w:ascii="Calibri" w:hAnsi="Calibri" w:cs="Calibri"/>
                <w:sz w:val="20"/>
                <w:szCs w:val="20"/>
                <w:lang w:val="mk-MK"/>
              </w:rPr>
            </w:pPr>
            <w:r w:rsidRPr="003B62C1">
              <w:rPr>
                <w:rFonts w:cstheme="minorHAnsi"/>
                <w:sz w:val="20"/>
                <w:szCs w:val="20"/>
                <w:lang w:val="mk-MK"/>
              </w:rPr>
              <w:t>66,8%</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DB4D423" w14:textId="77777777" w:rsidR="00FD47A9" w:rsidRPr="003B62C1" w:rsidRDefault="00FD47A9" w:rsidP="00EC7C0D">
            <w:pPr>
              <w:jc w:val="center"/>
              <w:rPr>
                <w:rFonts w:ascii="Calibri" w:hAnsi="Calibri" w:cs="Calibri"/>
                <w:sz w:val="20"/>
                <w:szCs w:val="20"/>
                <w:lang w:val="mk-MK"/>
              </w:rPr>
            </w:pPr>
            <w:r w:rsidRPr="003B62C1">
              <w:rPr>
                <w:rFonts w:cstheme="minorHAnsi"/>
                <w:sz w:val="20"/>
                <w:szCs w:val="20"/>
                <w:lang w:val="mk-MK"/>
              </w:rPr>
              <w:t>59,5%</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D3B2DC9" w14:textId="77777777" w:rsidR="00FD47A9" w:rsidRPr="003B62C1" w:rsidRDefault="00FD47A9" w:rsidP="00EC7C0D">
            <w:pPr>
              <w:jc w:val="center"/>
              <w:rPr>
                <w:sz w:val="20"/>
                <w:szCs w:val="20"/>
                <w:lang w:val="mk-MK"/>
              </w:rPr>
            </w:pPr>
            <w:r w:rsidRPr="003B62C1">
              <w:rPr>
                <w:rFonts w:cstheme="minorHAnsi"/>
                <w:sz w:val="20"/>
                <w:szCs w:val="20"/>
                <w:lang w:val="mk-MK"/>
              </w:rPr>
              <w:t>54%</w:t>
            </w:r>
          </w:p>
        </w:tc>
      </w:tr>
      <w:tr w:rsidR="00FD47A9" w:rsidRPr="009F309E" w14:paraId="1C8432E7" w14:textId="77777777" w:rsidTr="00092885">
        <w:tc>
          <w:tcPr>
            <w:tcW w:w="9350" w:type="dxa"/>
            <w:gridSpan w:val="4"/>
            <w:shd w:val="clear" w:color="auto" w:fill="D9E2F3" w:themeFill="accent1" w:themeFillTint="33"/>
          </w:tcPr>
          <w:p w14:paraId="448AD117" w14:textId="77777777" w:rsidR="00FD47A9" w:rsidRPr="009F309E" w:rsidRDefault="00FD47A9" w:rsidP="00EC7C0D">
            <w:pPr>
              <w:rPr>
                <w:b/>
                <w:bCs/>
                <w:highlight w:val="yellow"/>
                <w:lang w:val="mk-MK"/>
              </w:rPr>
            </w:pPr>
            <w:r w:rsidRPr="009F309E">
              <w:rPr>
                <w:rFonts w:eastAsia="Calibri" w:cstheme="minorHAnsi"/>
                <w:b/>
                <w:bCs/>
                <w:lang w:val="mk-MK"/>
              </w:rPr>
              <w:t>Мерка 3.4.1.  Унапредување на алатките за достапност на информациите од јавен карактер</w:t>
            </w:r>
          </w:p>
        </w:tc>
      </w:tr>
      <w:tr w:rsidR="00FD47A9" w:rsidRPr="00186921" w14:paraId="2E33AC27" w14:textId="77777777" w:rsidTr="00092885">
        <w:tc>
          <w:tcPr>
            <w:tcW w:w="5395" w:type="dxa"/>
            <w:vMerge w:val="restart"/>
            <w:shd w:val="clear" w:color="auto" w:fill="D9E2F3" w:themeFill="accent1" w:themeFillTint="33"/>
            <w:vAlign w:val="center"/>
          </w:tcPr>
          <w:p w14:paraId="16A18FB4"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4F12A051"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189D188C"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5DC37385"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6802E1B2" w14:textId="77777777" w:rsidTr="00092885">
        <w:tc>
          <w:tcPr>
            <w:tcW w:w="5395" w:type="dxa"/>
            <w:vMerge/>
            <w:shd w:val="clear" w:color="auto" w:fill="D9E2F3" w:themeFill="accent1" w:themeFillTint="33"/>
          </w:tcPr>
          <w:p w14:paraId="0F603128"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784A8EF7"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5F5B85DA"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552ADA3B" w14:textId="77777777" w:rsidR="00FD47A9" w:rsidRPr="00823E83" w:rsidRDefault="00FD47A9" w:rsidP="00EC7C0D">
            <w:pPr>
              <w:jc w:val="center"/>
              <w:rPr>
                <w:lang w:val="mk-MK"/>
              </w:rPr>
            </w:pPr>
            <w:r w:rsidRPr="00823E83">
              <w:rPr>
                <w:b/>
                <w:bCs/>
                <w:lang w:val="mk-MK"/>
              </w:rPr>
              <w:t>2030</w:t>
            </w:r>
          </w:p>
        </w:tc>
      </w:tr>
      <w:tr w:rsidR="00FD47A9" w:rsidRPr="00BF5165" w14:paraId="162047ED" w14:textId="77777777" w:rsidTr="00092885">
        <w:trPr>
          <w:trHeight w:val="755"/>
        </w:trPr>
        <w:tc>
          <w:tcPr>
            <w:tcW w:w="5395" w:type="dxa"/>
            <w:shd w:val="clear" w:color="auto" w:fill="D9E2F3" w:themeFill="accent1" w:themeFillTint="33"/>
          </w:tcPr>
          <w:p w14:paraId="519968D1" w14:textId="77777777" w:rsidR="00FD47A9" w:rsidRPr="009F309E" w:rsidRDefault="00FD47A9" w:rsidP="00EC7C0D">
            <w:pPr>
              <w:rPr>
                <w:rFonts w:cstheme="minorHAnsi"/>
                <w:sz w:val="20"/>
                <w:szCs w:val="20"/>
              </w:rPr>
            </w:pPr>
            <w:r w:rsidRPr="003B62C1">
              <w:rPr>
                <w:rFonts w:eastAsia="Calibri" w:cstheme="minorHAnsi"/>
                <w:sz w:val="20"/>
                <w:szCs w:val="20"/>
                <w:lang w:val="mk-MK"/>
              </w:rPr>
              <w:t>Процент на државни институции  кои на своите веб страници редовно ги објавуваат и  ажурираат документите согласно ЗСПИЈК</w:t>
            </w:r>
          </w:p>
        </w:tc>
        <w:tc>
          <w:tcPr>
            <w:tcW w:w="1350" w:type="dxa"/>
            <w:shd w:val="clear" w:color="auto" w:fill="D9E2F3" w:themeFill="accent1" w:themeFillTint="33"/>
            <w:vAlign w:val="center"/>
          </w:tcPr>
          <w:p w14:paraId="0556FD22"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67%</w:t>
            </w:r>
          </w:p>
        </w:tc>
        <w:tc>
          <w:tcPr>
            <w:tcW w:w="1260" w:type="dxa"/>
            <w:shd w:val="clear" w:color="auto" w:fill="D9E2F3" w:themeFill="accent1" w:themeFillTint="33"/>
            <w:vAlign w:val="center"/>
          </w:tcPr>
          <w:p w14:paraId="7539C7B5" w14:textId="77777777" w:rsidR="00FD47A9" w:rsidRPr="000D20B1" w:rsidRDefault="00FD47A9" w:rsidP="00EC7C0D">
            <w:pPr>
              <w:jc w:val="center"/>
              <w:rPr>
                <w:rFonts w:ascii="Calibri" w:hAnsi="Calibri" w:cs="Calibri"/>
                <w:color w:val="000000"/>
                <w:sz w:val="20"/>
                <w:szCs w:val="20"/>
                <w:lang w:val="mk-MK"/>
              </w:rPr>
            </w:pPr>
            <w:r>
              <w:rPr>
                <w:rFonts w:ascii="Calibri" w:hAnsi="Calibri" w:cs="Calibri"/>
                <w:color w:val="000000"/>
                <w:sz w:val="20"/>
                <w:szCs w:val="20"/>
                <w:lang w:val="mk-MK"/>
              </w:rPr>
              <w:t>74%</w:t>
            </w:r>
          </w:p>
        </w:tc>
        <w:tc>
          <w:tcPr>
            <w:tcW w:w="1345" w:type="dxa"/>
            <w:shd w:val="clear" w:color="auto" w:fill="D9E2F3" w:themeFill="accent1" w:themeFillTint="33"/>
            <w:vAlign w:val="center"/>
          </w:tcPr>
          <w:p w14:paraId="44AF5A19" w14:textId="77777777" w:rsidR="00FD47A9" w:rsidRPr="00BF5165" w:rsidRDefault="00FD47A9" w:rsidP="00EC7C0D">
            <w:pPr>
              <w:jc w:val="center"/>
              <w:rPr>
                <w:sz w:val="20"/>
                <w:szCs w:val="20"/>
                <w:lang w:val="mk-MK"/>
              </w:rPr>
            </w:pPr>
            <w:r>
              <w:rPr>
                <w:sz w:val="20"/>
                <w:szCs w:val="20"/>
                <w:lang w:val="mk-MK"/>
              </w:rPr>
              <w:t>80%</w:t>
            </w:r>
          </w:p>
        </w:tc>
      </w:tr>
      <w:tr w:rsidR="00976FFF" w:rsidRPr="00BF5165" w14:paraId="0CE66E17" w14:textId="77777777" w:rsidTr="00092885">
        <w:trPr>
          <w:trHeight w:val="755"/>
        </w:trPr>
        <w:tc>
          <w:tcPr>
            <w:tcW w:w="5395" w:type="dxa"/>
            <w:shd w:val="clear" w:color="auto" w:fill="D9E2F3" w:themeFill="accent1" w:themeFillTint="33"/>
          </w:tcPr>
          <w:p w14:paraId="66372540" w14:textId="50CE5927" w:rsidR="00976FFF" w:rsidRPr="003B62C1" w:rsidRDefault="00976FFF" w:rsidP="00EC7C0D">
            <w:pPr>
              <w:rPr>
                <w:rFonts w:eastAsia="Calibri" w:cstheme="minorHAnsi"/>
                <w:sz w:val="20"/>
                <w:szCs w:val="20"/>
                <w:lang w:val="mk-MK"/>
              </w:rPr>
            </w:pPr>
            <w:r>
              <w:rPr>
                <w:rFonts w:eastAsia="Calibri" w:cstheme="minorHAnsi"/>
                <w:sz w:val="20"/>
                <w:szCs w:val="20"/>
                <w:lang w:val="mk-MK"/>
              </w:rPr>
              <w:t xml:space="preserve">Број на реализирани обуки за </w:t>
            </w:r>
            <w:r w:rsidRPr="003B62C1">
              <w:rPr>
                <w:rFonts w:eastAsia="Calibri" w:cstheme="minorHAnsi"/>
                <w:sz w:val="20"/>
                <w:szCs w:val="20"/>
                <w:lang w:val="mk-MK"/>
              </w:rPr>
              <w:t>ЗСПИЈК</w:t>
            </w:r>
            <w:r>
              <w:rPr>
                <w:rFonts w:eastAsia="Calibri" w:cstheme="minorHAnsi"/>
                <w:sz w:val="20"/>
                <w:szCs w:val="20"/>
                <w:lang w:val="mk-MK"/>
              </w:rPr>
              <w:t xml:space="preserve"> на локално и регионално ниво</w:t>
            </w:r>
          </w:p>
        </w:tc>
        <w:tc>
          <w:tcPr>
            <w:tcW w:w="1350" w:type="dxa"/>
            <w:shd w:val="clear" w:color="auto" w:fill="D9E2F3" w:themeFill="accent1" w:themeFillTint="33"/>
            <w:vAlign w:val="center"/>
          </w:tcPr>
          <w:p w14:paraId="6C9CFFC2" w14:textId="73D53205" w:rsidR="00976FFF" w:rsidRDefault="00976FFF" w:rsidP="00EC7C0D">
            <w:pPr>
              <w:jc w:val="center"/>
              <w:rPr>
                <w:rFonts w:ascii="Calibri" w:hAnsi="Calibri" w:cs="Calibri"/>
                <w:color w:val="000000"/>
                <w:sz w:val="20"/>
                <w:szCs w:val="20"/>
                <w:lang w:val="mk-MK"/>
              </w:rPr>
            </w:pPr>
            <w:r>
              <w:rPr>
                <w:rFonts w:ascii="Calibri" w:hAnsi="Calibri" w:cs="Calibri"/>
                <w:color w:val="000000"/>
                <w:sz w:val="20"/>
                <w:szCs w:val="20"/>
                <w:lang w:val="mk-MK"/>
              </w:rPr>
              <w:t>19</w:t>
            </w:r>
          </w:p>
        </w:tc>
        <w:tc>
          <w:tcPr>
            <w:tcW w:w="1260" w:type="dxa"/>
            <w:shd w:val="clear" w:color="auto" w:fill="D9E2F3" w:themeFill="accent1" w:themeFillTint="33"/>
            <w:vAlign w:val="center"/>
          </w:tcPr>
          <w:p w14:paraId="5E0CAAD0" w14:textId="6E924F15" w:rsidR="00976FFF" w:rsidRDefault="00976FFF" w:rsidP="00EC7C0D">
            <w:pPr>
              <w:jc w:val="center"/>
              <w:rPr>
                <w:rFonts w:ascii="Calibri" w:hAnsi="Calibri" w:cs="Calibri"/>
                <w:color w:val="000000"/>
                <w:sz w:val="20"/>
                <w:szCs w:val="20"/>
                <w:lang w:val="mk-MK"/>
              </w:rPr>
            </w:pPr>
            <w:r>
              <w:rPr>
                <w:rFonts w:ascii="Calibri" w:hAnsi="Calibri" w:cs="Calibri"/>
                <w:color w:val="000000"/>
                <w:sz w:val="20"/>
                <w:szCs w:val="20"/>
                <w:lang w:val="mk-MK"/>
              </w:rPr>
              <w:t>30</w:t>
            </w:r>
          </w:p>
        </w:tc>
        <w:tc>
          <w:tcPr>
            <w:tcW w:w="1345" w:type="dxa"/>
            <w:shd w:val="clear" w:color="auto" w:fill="D9E2F3" w:themeFill="accent1" w:themeFillTint="33"/>
            <w:vAlign w:val="center"/>
          </w:tcPr>
          <w:p w14:paraId="2701D8C9" w14:textId="50D30ADB" w:rsidR="00976FFF" w:rsidRDefault="00976FFF" w:rsidP="00EC7C0D">
            <w:pPr>
              <w:jc w:val="center"/>
              <w:rPr>
                <w:sz w:val="20"/>
                <w:szCs w:val="20"/>
                <w:lang w:val="mk-MK"/>
              </w:rPr>
            </w:pPr>
            <w:r>
              <w:rPr>
                <w:sz w:val="20"/>
                <w:szCs w:val="20"/>
                <w:lang w:val="mk-MK"/>
              </w:rPr>
              <w:t>45</w:t>
            </w:r>
          </w:p>
        </w:tc>
      </w:tr>
      <w:tr w:rsidR="00FD47A9" w:rsidRPr="009F309E" w14:paraId="5393108B" w14:textId="77777777" w:rsidTr="00092885">
        <w:tc>
          <w:tcPr>
            <w:tcW w:w="9350" w:type="dxa"/>
            <w:gridSpan w:val="4"/>
            <w:shd w:val="clear" w:color="auto" w:fill="D9E2F3" w:themeFill="accent1" w:themeFillTint="33"/>
          </w:tcPr>
          <w:p w14:paraId="6F741694" w14:textId="77777777" w:rsidR="00FD47A9" w:rsidRPr="009F309E" w:rsidRDefault="00FD47A9" w:rsidP="00EC7C0D">
            <w:pPr>
              <w:rPr>
                <w:b/>
                <w:bCs/>
                <w:highlight w:val="yellow"/>
                <w:lang w:val="mk-MK"/>
              </w:rPr>
            </w:pPr>
            <w:r w:rsidRPr="009F309E">
              <w:rPr>
                <w:rFonts w:cstheme="minorHAnsi"/>
                <w:b/>
                <w:bCs/>
                <w:lang w:val="mk-MK"/>
              </w:rPr>
              <w:t>Мерка 3.4.2 Зголемена транспарентност на инспекциските служби</w:t>
            </w:r>
          </w:p>
        </w:tc>
      </w:tr>
      <w:tr w:rsidR="00FD47A9" w:rsidRPr="00186921" w14:paraId="2FE2F936" w14:textId="77777777" w:rsidTr="00092885">
        <w:tc>
          <w:tcPr>
            <w:tcW w:w="5395" w:type="dxa"/>
            <w:vMerge w:val="restart"/>
            <w:shd w:val="clear" w:color="auto" w:fill="D9E2F3" w:themeFill="accent1" w:themeFillTint="33"/>
            <w:vAlign w:val="center"/>
          </w:tcPr>
          <w:p w14:paraId="4BEE8A2C"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1937A67C"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06FA9720"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56846351"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52750799" w14:textId="77777777" w:rsidTr="00092885">
        <w:tc>
          <w:tcPr>
            <w:tcW w:w="5395" w:type="dxa"/>
            <w:vMerge/>
            <w:shd w:val="clear" w:color="auto" w:fill="D9E2F3" w:themeFill="accent1" w:themeFillTint="33"/>
          </w:tcPr>
          <w:p w14:paraId="317F5DD7"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7E3FD70B"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7229CE4F"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48DC9CB8" w14:textId="77777777" w:rsidR="00FD47A9" w:rsidRPr="00823E83" w:rsidRDefault="00FD47A9" w:rsidP="00EC7C0D">
            <w:pPr>
              <w:jc w:val="center"/>
              <w:rPr>
                <w:lang w:val="mk-MK"/>
              </w:rPr>
            </w:pPr>
            <w:r w:rsidRPr="00823E83">
              <w:rPr>
                <w:b/>
                <w:bCs/>
                <w:lang w:val="mk-MK"/>
              </w:rPr>
              <w:t>2030</w:t>
            </w:r>
          </w:p>
        </w:tc>
      </w:tr>
      <w:tr w:rsidR="00FD47A9" w:rsidRPr="009F309E" w14:paraId="5B09263D" w14:textId="77777777" w:rsidTr="00092885">
        <w:trPr>
          <w:trHeight w:val="592"/>
        </w:trPr>
        <w:tc>
          <w:tcPr>
            <w:tcW w:w="5395" w:type="dxa"/>
            <w:shd w:val="clear" w:color="auto" w:fill="D9E2F3" w:themeFill="accent1" w:themeFillTint="33"/>
          </w:tcPr>
          <w:p w14:paraId="6EB160BB" w14:textId="00FA30C6" w:rsidR="00FD47A9" w:rsidRPr="009F309E" w:rsidRDefault="00FD47A9" w:rsidP="00EC7C0D">
            <w:pPr>
              <w:rPr>
                <w:rFonts w:cstheme="minorHAnsi"/>
                <w:sz w:val="20"/>
                <w:szCs w:val="20"/>
              </w:rPr>
            </w:pPr>
            <w:r w:rsidRPr="003B62C1">
              <w:rPr>
                <w:rFonts w:cstheme="minorHAnsi"/>
                <w:sz w:val="20"/>
                <w:szCs w:val="20"/>
                <w:lang w:val="mk-MK"/>
              </w:rPr>
              <w:t>Процент на инспекциски служби коишто ги унифицирале своите веб страни</w:t>
            </w:r>
            <w:r w:rsidR="00261154">
              <w:rPr>
                <w:rFonts w:cstheme="minorHAnsi"/>
                <w:sz w:val="20"/>
                <w:szCs w:val="20"/>
                <w:lang w:val="mk-MK"/>
              </w:rPr>
              <w:t>ци</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25D8D235"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lang w:val="mk-MK"/>
              </w:rPr>
              <w:t>0 %</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A0500DE"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lang w:val="mk-MK"/>
              </w:rPr>
              <w:t>80 %</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CFEEE4E" w14:textId="77777777" w:rsidR="00FD47A9" w:rsidRPr="009F309E" w:rsidRDefault="00FD47A9" w:rsidP="00EC7C0D">
            <w:pPr>
              <w:jc w:val="center"/>
              <w:rPr>
                <w:sz w:val="20"/>
                <w:szCs w:val="20"/>
                <w:lang w:val="mk-MK"/>
              </w:rPr>
            </w:pPr>
            <w:r w:rsidRPr="009F309E">
              <w:rPr>
                <w:rFonts w:cstheme="minorHAnsi"/>
                <w:sz w:val="20"/>
                <w:szCs w:val="20"/>
                <w:lang w:val="mk-MK"/>
              </w:rPr>
              <w:t>100 %</w:t>
            </w:r>
          </w:p>
        </w:tc>
      </w:tr>
    </w:tbl>
    <w:p w14:paraId="7B097696" w14:textId="77777777" w:rsidR="00FD47A9" w:rsidRDefault="00FD47A9" w:rsidP="00106B99">
      <w:pPr>
        <w:spacing w:after="0"/>
        <w:jc w:val="both"/>
        <w:rPr>
          <w:lang w:val="mk-MK"/>
        </w:rPr>
      </w:pPr>
    </w:p>
    <w:p w14:paraId="57ECA1DD" w14:textId="77777777" w:rsidR="00FD47A9" w:rsidRPr="006D5ECF" w:rsidRDefault="00FD47A9" w:rsidP="00106B99">
      <w:pPr>
        <w:spacing w:after="0"/>
        <w:jc w:val="both"/>
        <w:rPr>
          <w:lang w:val="mk-MK"/>
        </w:rPr>
      </w:pPr>
    </w:p>
    <w:p w14:paraId="1D212EB1" w14:textId="3A16EDB6" w:rsidR="00106B99" w:rsidRPr="006D5ECF" w:rsidRDefault="00106B99" w:rsidP="00106B99">
      <w:pPr>
        <w:spacing w:after="0"/>
        <w:jc w:val="both"/>
        <w:rPr>
          <w:b/>
          <w:bCs/>
          <w:u w:val="single"/>
          <w:lang w:val="mk-MK"/>
        </w:rPr>
      </w:pPr>
      <w:r w:rsidRPr="006D5ECF">
        <w:rPr>
          <w:b/>
          <w:bCs/>
          <w:u w:val="single"/>
          <w:lang w:val="mk-MK"/>
        </w:rPr>
        <w:t xml:space="preserve">Посебна цел </w:t>
      </w:r>
      <w:r w:rsidR="00FD47A9">
        <w:rPr>
          <w:b/>
          <w:bCs/>
          <w:u w:val="single"/>
          <w:lang w:val="mk-MK"/>
        </w:rPr>
        <w:t>3.</w:t>
      </w:r>
      <w:r w:rsidRPr="006D5ECF">
        <w:rPr>
          <w:b/>
          <w:bCs/>
          <w:u w:val="single"/>
          <w:lang w:val="mk-MK"/>
        </w:rPr>
        <w:t>5: Создавање на поволно опкружување за користење на податоците од јавниот сектор</w:t>
      </w:r>
    </w:p>
    <w:p w14:paraId="69B9D620" w14:textId="77777777" w:rsidR="00AC4875" w:rsidRDefault="00AC4875" w:rsidP="00106B99">
      <w:pPr>
        <w:spacing w:after="0"/>
        <w:jc w:val="both"/>
        <w:rPr>
          <w:lang w:val="mk-MK"/>
        </w:rPr>
      </w:pPr>
    </w:p>
    <w:p w14:paraId="1D08FF5D" w14:textId="4AED3705" w:rsidR="00106B99" w:rsidRDefault="00106B99" w:rsidP="00106B99">
      <w:pPr>
        <w:spacing w:after="0"/>
        <w:jc w:val="both"/>
        <w:rPr>
          <w:lang w:val="mk-MK"/>
        </w:rPr>
      </w:pPr>
      <w:r>
        <w:rPr>
          <w:lang w:val="mk-MK"/>
        </w:rPr>
        <w:t xml:space="preserve">Барателите на податоци од јавниот сектор не е доволно само да ја добијат потребната информација, туку треба да им </w:t>
      </w:r>
      <w:r w:rsidR="003B62C1">
        <w:rPr>
          <w:lang w:val="mk-MK"/>
        </w:rPr>
        <w:t>биде овозможено податоците да ги</w:t>
      </w:r>
      <w:r>
        <w:rPr>
          <w:lang w:val="mk-MK"/>
        </w:rPr>
        <w:t xml:space="preserve"> добијат во формат што ќе им овозможи нивна прегледност и можност за ефикасно и едноставно користење.</w:t>
      </w:r>
    </w:p>
    <w:p w14:paraId="1C8DC461" w14:textId="3D44DEBA" w:rsidR="00106B99" w:rsidRDefault="00106B99" w:rsidP="00106B99">
      <w:pPr>
        <w:spacing w:after="0"/>
        <w:jc w:val="both"/>
        <w:rPr>
          <w:lang w:val="mk-MK"/>
        </w:rPr>
      </w:pPr>
      <w:r>
        <w:rPr>
          <w:lang w:val="mk-MK"/>
        </w:rPr>
        <w:t xml:space="preserve">Оваа цел и предвидените мерки за нејзина реализацијата се поврзани и со дел од посебните цели утврдени во </w:t>
      </w:r>
      <w:r w:rsidR="001E3A6D">
        <w:rPr>
          <w:lang w:val="mk-MK"/>
        </w:rPr>
        <w:t>П</w:t>
      </w:r>
      <w:r>
        <w:rPr>
          <w:lang w:val="mk-MK"/>
        </w:rPr>
        <w:t>риоритетна област</w:t>
      </w:r>
      <w:r w:rsidR="001E3A6D">
        <w:rPr>
          <w:lang w:val="mk-MK"/>
        </w:rPr>
        <w:t xml:space="preserve"> 1</w:t>
      </w:r>
      <w:r>
        <w:rPr>
          <w:lang w:val="mk-MK"/>
        </w:rPr>
        <w:t>. Имено, штом бројните податоци со кои располагаат јавните органи ќе станат не само отворени, туку и лесно применливи и едноставно употребливи за сите, тие ќе можат да бидат користени како цврсти докази за подготовка на правната регулатива и креирање на политики</w:t>
      </w:r>
      <w:r w:rsidR="003B62C1">
        <w:rPr>
          <w:lang w:val="mk-MK"/>
        </w:rPr>
        <w:t xml:space="preserve">те од страна на министерствата. </w:t>
      </w:r>
      <w:r>
        <w:rPr>
          <w:lang w:val="mk-MK"/>
        </w:rPr>
        <w:t>Ова ќе придонесе во процесот на создавањето на поволно опкружување за отворање на податоците од страна на државните институции, вклучувајќи подобрена регулатива, воспоставени организациски механизми и дефинирана техничка компонента.</w:t>
      </w:r>
    </w:p>
    <w:p w14:paraId="05B38CBE" w14:textId="77777777" w:rsidR="00106B99" w:rsidRDefault="00106B99" w:rsidP="00106B99">
      <w:pPr>
        <w:spacing w:after="0"/>
        <w:jc w:val="both"/>
        <w:rPr>
          <w:lang w:val="mk-MK"/>
        </w:rPr>
      </w:pPr>
    </w:p>
    <w:p w14:paraId="542AFDC9" w14:textId="29C02CD7"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5.</w:t>
      </w:r>
      <w:r w:rsidRPr="006D5ECF">
        <w:rPr>
          <w:b/>
          <w:bCs/>
          <w:lang w:val="mk-MK"/>
        </w:rPr>
        <w:t>1</w:t>
      </w:r>
      <w:r w:rsidR="00AC4875">
        <w:rPr>
          <w:b/>
          <w:bCs/>
          <w:lang w:val="mk-MK"/>
        </w:rPr>
        <w:t>.</w:t>
      </w:r>
      <w:r w:rsidRPr="006D5ECF">
        <w:rPr>
          <w:b/>
          <w:bCs/>
          <w:lang w:val="mk-MK"/>
        </w:rPr>
        <w:t xml:space="preserve">: Воспоставување на организациски механизми за идентификација на отворените податоци и за управување и спроведување на процесот за нивно отварање </w:t>
      </w:r>
    </w:p>
    <w:p w14:paraId="43529FE1" w14:textId="77777777" w:rsidR="00AC4875" w:rsidRDefault="00AC4875" w:rsidP="00106B99">
      <w:pPr>
        <w:spacing w:after="0"/>
        <w:jc w:val="both"/>
        <w:rPr>
          <w:bCs/>
          <w:iCs/>
          <w:lang w:val="mk-MK"/>
        </w:rPr>
      </w:pPr>
    </w:p>
    <w:p w14:paraId="1056DAAB" w14:textId="162161E3" w:rsidR="00106B99" w:rsidRDefault="00106B99" w:rsidP="00106B99">
      <w:pPr>
        <w:spacing w:after="0"/>
        <w:jc w:val="both"/>
        <w:rPr>
          <w:bCs/>
          <w:iCs/>
          <w:lang w:val="mk-MK"/>
        </w:rPr>
      </w:pPr>
      <w:r>
        <w:rPr>
          <w:bCs/>
          <w:iCs/>
          <w:lang w:val="mk-MK"/>
        </w:rPr>
        <w:t xml:space="preserve">Со цел поголема посветеност на институциите во процесот на прибирањето на отворените податоци, ќе се работи со имателите на отворени податоци во насока на идентификација на податоците и податочни сетови кои ги поседуваат и нивна каталогизација на порталот за отворени </w:t>
      </w:r>
      <w:r>
        <w:rPr>
          <w:bCs/>
          <w:iCs/>
          <w:lang w:val="mk-MK"/>
        </w:rPr>
        <w:lastRenderedPageBreak/>
        <w:t>податоци data.gov.mk. Воедно ќе се дефинираат критериумите за приор</w:t>
      </w:r>
      <w:r w:rsidR="001E3A6D">
        <w:rPr>
          <w:bCs/>
          <w:iCs/>
          <w:lang w:val="mk-MK"/>
        </w:rPr>
        <w:t>е</w:t>
      </w:r>
      <w:r>
        <w:rPr>
          <w:bCs/>
          <w:iCs/>
          <w:lang w:val="mk-MK"/>
        </w:rPr>
        <w:t xml:space="preserve">тизирање на отворањето на податоците и податочните сетови, како и </w:t>
      </w:r>
      <w:r w:rsidR="003B62C1">
        <w:rPr>
          <w:bCs/>
          <w:iCs/>
          <w:lang w:val="mk-MK"/>
        </w:rPr>
        <w:t xml:space="preserve">ќе се </w:t>
      </w:r>
      <w:r>
        <w:rPr>
          <w:bCs/>
          <w:iCs/>
          <w:lang w:val="mk-MK"/>
        </w:rPr>
        <w:t xml:space="preserve">подготват и објават насоки за подготвувањето на податоците во дигитално читлив формат со повисок степен на отвореност. </w:t>
      </w:r>
    </w:p>
    <w:p w14:paraId="6F0F9302" w14:textId="77777777" w:rsidR="00106B99" w:rsidRDefault="00106B99" w:rsidP="00106B99">
      <w:pPr>
        <w:spacing w:after="0"/>
        <w:jc w:val="both"/>
        <w:rPr>
          <w:b/>
          <w:bCs/>
          <w:i/>
          <w:iCs/>
          <w:lang w:val="mk-MK"/>
        </w:rPr>
      </w:pPr>
    </w:p>
    <w:p w14:paraId="4387991B" w14:textId="2480D09A" w:rsidR="00106B99" w:rsidRPr="006D5ECF" w:rsidRDefault="00106B99" w:rsidP="00106B99">
      <w:pPr>
        <w:spacing w:after="0"/>
        <w:jc w:val="both"/>
        <w:rPr>
          <w:b/>
          <w:bCs/>
          <w:lang w:val="mk-MK"/>
        </w:rPr>
      </w:pPr>
      <w:r w:rsidRPr="006D5ECF">
        <w:rPr>
          <w:b/>
          <w:bCs/>
          <w:lang w:val="mk-MK"/>
        </w:rPr>
        <w:t>М</w:t>
      </w:r>
      <w:r w:rsidR="00AC4875">
        <w:rPr>
          <w:b/>
          <w:bCs/>
          <w:lang w:val="mk-MK"/>
        </w:rPr>
        <w:t xml:space="preserve"> </w:t>
      </w:r>
      <w:r w:rsidR="00FD47A9">
        <w:rPr>
          <w:b/>
          <w:bCs/>
          <w:lang w:val="mk-MK"/>
        </w:rPr>
        <w:t>3.</w:t>
      </w:r>
      <w:r w:rsidR="00AC4875">
        <w:rPr>
          <w:b/>
          <w:bCs/>
          <w:lang w:val="mk-MK"/>
        </w:rPr>
        <w:t>5.</w:t>
      </w:r>
      <w:r w:rsidRPr="006D5ECF">
        <w:rPr>
          <w:b/>
          <w:bCs/>
          <w:lang w:val="mk-MK"/>
        </w:rPr>
        <w:t>2</w:t>
      </w:r>
      <w:r w:rsidR="00AC4875">
        <w:rPr>
          <w:b/>
          <w:bCs/>
          <w:lang w:val="mk-MK"/>
        </w:rPr>
        <w:t>.</w:t>
      </w:r>
      <w:r w:rsidRPr="006D5ECF">
        <w:rPr>
          <w:b/>
          <w:bCs/>
          <w:lang w:val="mk-MK"/>
        </w:rPr>
        <w:t>: Зголемена употреба на отворените податоци</w:t>
      </w:r>
    </w:p>
    <w:p w14:paraId="3FF47832" w14:textId="77777777" w:rsidR="003B62C1" w:rsidRDefault="003B62C1" w:rsidP="009B106C">
      <w:pPr>
        <w:spacing w:after="0"/>
        <w:jc w:val="both"/>
        <w:rPr>
          <w:bCs/>
          <w:iCs/>
          <w:lang w:val="mk-MK"/>
        </w:rPr>
      </w:pPr>
    </w:p>
    <w:p w14:paraId="1119F7A7" w14:textId="22A21B0D" w:rsidR="00106B99" w:rsidRDefault="00106B99" w:rsidP="009B106C">
      <w:pPr>
        <w:spacing w:after="0"/>
        <w:jc w:val="both"/>
        <w:rPr>
          <w:bCs/>
          <w:iCs/>
          <w:lang w:val="mk-MK"/>
        </w:rPr>
      </w:pPr>
      <w:r>
        <w:rPr>
          <w:bCs/>
          <w:iCs/>
          <w:lang w:val="mk-MK"/>
        </w:rPr>
        <w:t>Од клучно значење за зголемената употреба на отворените податоци е подигањето на свеста кај сите засегнати страни и нивно информирање за придобивките од отворените податоци, со акцент на создавањето на дополнителна општествена вредност во процесот на ре-употреба на отворените податоци. Поголема ангажираност од страна на инволвираните чинители за промовирање и актуелизирање на отворените податоци ќе се постигне преку организирање на соодветни настани (обуки, работилници, хакатони и слично) кои ќе ја зголемат свеста за нивното постоење и придобивките од нивна употреба.</w:t>
      </w:r>
    </w:p>
    <w:p w14:paraId="1DFFCB21" w14:textId="77777777" w:rsidR="009B106C" w:rsidRPr="009B106C" w:rsidRDefault="009B106C" w:rsidP="009B106C">
      <w:pPr>
        <w:spacing w:after="0"/>
        <w:jc w:val="both"/>
        <w:rPr>
          <w:bCs/>
          <w:iCs/>
          <w:lang w:val="mk-MK"/>
        </w:rPr>
      </w:pPr>
    </w:p>
    <w:p w14:paraId="7637B984" w14:textId="77777777" w:rsidR="00FD47A9" w:rsidRDefault="00FD47A9" w:rsidP="00FD47A9">
      <w:pPr>
        <w:spacing w:after="0"/>
        <w:jc w:val="both"/>
        <w:rPr>
          <w:lang w:val="mk-MK"/>
        </w:rPr>
      </w:pPr>
      <w:bookmarkStart w:id="9" w:name="_Hlk134046216"/>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bookmarkEnd w:id="9"/>
    <w:p w14:paraId="734C2FFE" w14:textId="77777777" w:rsidR="00FD47A9" w:rsidRPr="00C1585A" w:rsidRDefault="00FD47A9" w:rsidP="00FD47A9">
      <w:pPr>
        <w:spacing w:after="0"/>
        <w:jc w:val="both"/>
        <w:rPr>
          <w:lang w:val="mk-MK"/>
        </w:rPr>
      </w:pPr>
    </w:p>
    <w:tbl>
      <w:tblPr>
        <w:tblStyle w:val="TableGrid"/>
        <w:tblW w:w="0" w:type="auto"/>
        <w:tblLook w:val="04A0" w:firstRow="1" w:lastRow="0" w:firstColumn="1" w:lastColumn="0" w:noHBand="0" w:noVBand="1"/>
      </w:tblPr>
      <w:tblGrid>
        <w:gridCol w:w="5395"/>
        <w:gridCol w:w="1350"/>
        <w:gridCol w:w="1260"/>
        <w:gridCol w:w="1345"/>
      </w:tblGrid>
      <w:tr w:rsidR="00FD47A9" w:rsidRPr="009F309E" w14:paraId="12EDB637" w14:textId="77777777" w:rsidTr="00092885">
        <w:trPr>
          <w:trHeight w:val="422"/>
        </w:trPr>
        <w:tc>
          <w:tcPr>
            <w:tcW w:w="9350" w:type="dxa"/>
            <w:gridSpan w:val="4"/>
            <w:shd w:val="clear" w:color="auto" w:fill="D9E2F3" w:themeFill="accent1" w:themeFillTint="33"/>
            <w:vAlign w:val="center"/>
          </w:tcPr>
          <w:p w14:paraId="43D9BB28" w14:textId="77777777" w:rsidR="00FD47A9" w:rsidRPr="009F309E" w:rsidRDefault="00FD47A9" w:rsidP="00EC7C0D">
            <w:pPr>
              <w:rPr>
                <w:b/>
                <w:bCs/>
                <w:highlight w:val="yellow"/>
                <w:lang w:val="mk-MK"/>
              </w:rPr>
            </w:pPr>
            <w:r w:rsidRPr="009F309E">
              <w:rPr>
                <w:rFonts w:cstheme="minorHAnsi"/>
                <w:b/>
                <w:bCs/>
                <w:lang w:val="mk-MK"/>
              </w:rPr>
              <w:t>Посебна цел 3.5. Создавање на поволно опкружување за користење на податоците од јавниот сектор</w:t>
            </w:r>
          </w:p>
        </w:tc>
      </w:tr>
      <w:tr w:rsidR="00FD47A9" w:rsidRPr="00933133" w14:paraId="5FFF7261" w14:textId="77777777" w:rsidTr="00092885">
        <w:tc>
          <w:tcPr>
            <w:tcW w:w="5395" w:type="dxa"/>
            <w:vMerge w:val="restart"/>
            <w:shd w:val="clear" w:color="auto" w:fill="D9E2F3" w:themeFill="accent1" w:themeFillTint="33"/>
            <w:vAlign w:val="center"/>
          </w:tcPr>
          <w:p w14:paraId="447416CD" w14:textId="77777777" w:rsidR="00FD47A9" w:rsidRPr="002068B9" w:rsidRDefault="00FD47A9" w:rsidP="00EC7C0D">
            <w:pPr>
              <w:jc w:val="center"/>
              <w:rPr>
                <w:rFonts w:cstheme="minorHAnsi"/>
                <w:bCs/>
                <w:sz w:val="18"/>
                <w:szCs w:val="18"/>
              </w:rPr>
            </w:pPr>
            <w:r w:rsidRPr="00186921">
              <w:rPr>
                <w:rFonts w:ascii="Calibri" w:hAnsi="Calibri" w:cs="Calibri"/>
                <w:b/>
                <w:bCs/>
                <w:color w:val="000000"/>
                <w:lang w:val="mk-MK"/>
              </w:rPr>
              <w:t xml:space="preserve">Показател на </w:t>
            </w:r>
            <w:r>
              <w:rPr>
                <w:rFonts w:ascii="Calibri" w:hAnsi="Calibri" w:cs="Calibri"/>
                <w:b/>
                <w:bCs/>
                <w:color w:val="000000"/>
                <w:lang w:val="mk-MK"/>
              </w:rPr>
              <w:t>исход</w:t>
            </w:r>
            <w:r w:rsidRPr="00186921">
              <w:rPr>
                <w:rFonts w:ascii="Calibri" w:hAnsi="Calibri" w:cs="Calibri"/>
                <w:b/>
                <w:bCs/>
                <w:color w:val="000000"/>
                <w:lang w:val="mk-MK"/>
              </w:rPr>
              <w:t>:</w:t>
            </w:r>
          </w:p>
        </w:tc>
        <w:tc>
          <w:tcPr>
            <w:tcW w:w="1350" w:type="dxa"/>
            <w:tcBorders>
              <w:bottom w:val="nil"/>
              <w:right w:val="nil"/>
            </w:tcBorders>
            <w:shd w:val="clear" w:color="auto" w:fill="D9E2F3" w:themeFill="accent1" w:themeFillTint="33"/>
          </w:tcPr>
          <w:p w14:paraId="349B8081" w14:textId="77777777" w:rsidR="00FD47A9" w:rsidRPr="006869D0"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4C9D9A06" w14:textId="77777777" w:rsidR="00FD47A9" w:rsidRPr="006869D0"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552AA4C1" w14:textId="77777777" w:rsidR="00FD47A9" w:rsidRPr="00933133" w:rsidRDefault="00FD47A9" w:rsidP="00EC7C0D">
            <w:pPr>
              <w:jc w:val="center"/>
              <w:rPr>
                <w:b/>
                <w:bCs/>
                <w:highlight w:val="yellow"/>
                <w:lang w:val="mk-MK"/>
              </w:rPr>
            </w:pPr>
            <w:r w:rsidRPr="00933133">
              <w:rPr>
                <w:b/>
                <w:bCs/>
                <w:lang w:val="mk-MK"/>
              </w:rPr>
              <w:t>Крајна вредност</w:t>
            </w:r>
          </w:p>
        </w:tc>
      </w:tr>
      <w:tr w:rsidR="00FD47A9" w:rsidRPr="00823E83" w14:paraId="0CE29F79" w14:textId="77777777" w:rsidTr="00092885">
        <w:tc>
          <w:tcPr>
            <w:tcW w:w="5395" w:type="dxa"/>
            <w:vMerge/>
            <w:tcBorders>
              <w:bottom w:val="single" w:sz="4" w:space="0" w:color="auto"/>
            </w:tcBorders>
            <w:shd w:val="clear" w:color="auto" w:fill="D9E2F3" w:themeFill="accent1" w:themeFillTint="33"/>
          </w:tcPr>
          <w:p w14:paraId="65D3CD26" w14:textId="77777777" w:rsidR="00FD47A9" w:rsidRPr="002068B9" w:rsidRDefault="00FD47A9" w:rsidP="00EC7C0D">
            <w:pPr>
              <w:rPr>
                <w:rFonts w:cstheme="minorHAnsi"/>
                <w:bCs/>
                <w:sz w:val="18"/>
                <w:szCs w:val="18"/>
              </w:rPr>
            </w:pPr>
          </w:p>
        </w:tc>
        <w:tc>
          <w:tcPr>
            <w:tcW w:w="1350" w:type="dxa"/>
            <w:tcBorders>
              <w:top w:val="nil"/>
              <w:bottom w:val="single" w:sz="4" w:space="0" w:color="auto"/>
              <w:right w:val="nil"/>
            </w:tcBorders>
            <w:shd w:val="clear" w:color="auto" w:fill="D9E2F3" w:themeFill="accent1" w:themeFillTint="33"/>
          </w:tcPr>
          <w:p w14:paraId="097229D0"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bottom w:val="single" w:sz="4" w:space="0" w:color="auto"/>
              <w:right w:val="nil"/>
            </w:tcBorders>
            <w:shd w:val="clear" w:color="auto" w:fill="D9E2F3" w:themeFill="accent1" w:themeFillTint="33"/>
          </w:tcPr>
          <w:p w14:paraId="7BBABF77" w14:textId="77777777" w:rsidR="00FD47A9" w:rsidRPr="006869D0"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bottom w:val="single" w:sz="4" w:space="0" w:color="auto"/>
            </w:tcBorders>
            <w:shd w:val="clear" w:color="auto" w:fill="D9E2F3" w:themeFill="accent1" w:themeFillTint="33"/>
          </w:tcPr>
          <w:p w14:paraId="46502D32" w14:textId="77777777" w:rsidR="00FD47A9" w:rsidRPr="00823E83" w:rsidRDefault="00FD47A9" w:rsidP="00EC7C0D">
            <w:pPr>
              <w:jc w:val="center"/>
              <w:rPr>
                <w:b/>
                <w:bCs/>
                <w:lang w:val="mk-MK"/>
              </w:rPr>
            </w:pPr>
            <w:r w:rsidRPr="00823E83">
              <w:rPr>
                <w:b/>
                <w:bCs/>
                <w:lang w:val="mk-MK"/>
              </w:rPr>
              <w:t>2030</w:t>
            </w:r>
          </w:p>
        </w:tc>
      </w:tr>
      <w:tr w:rsidR="00FD47A9" w:rsidRPr="009F309E" w14:paraId="15B1D0B8" w14:textId="77777777" w:rsidTr="00092885">
        <w:trPr>
          <w:trHeight w:val="683"/>
        </w:trPr>
        <w:tc>
          <w:tcPr>
            <w:tcW w:w="5395" w:type="dxa"/>
            <w:shd w:val="clear" w:color="auto" w:fill="D9E2F3" w:themeFill="accent1" w:themeFillTint="33"/>
          </w:tcPr>
          <w:p w14:paraId="6D0CA34C" w14:textId="7DCEC9B9" w:rsidR="00FD47A9" w:rsidRPr="00976FFF" w:rsidRDefault="00FD47A9" w:rsidP="00EC7C0D">
            <w:pPr>
              <w:rPr>
                <w:rFonts w:cstheme="minorHAnsi"/>
                <w:bCs/>
                <w:sz w:val="20"/>
                <w:szCs w:val="20"/>
                <w:lang w:val="mk-MK"/>
              </w:rPr>
            </w:pPr>
            <w:r w:rsidRPr="003B62C1">
              <w:rPr>
                <w:rFonts w:cstheme="minorHAnsi"/>
                <w:sz w:val="20"/>
                <w:szCs w:val="20"/>
                <w:lang w:val="mk-MK"/>
              </w:rPr>
              <w:t>Број на објавени податочни сетови на порталот</w:t>
            </w:r>
            <w:r w:rsidR="00976FFF" w:rsidRPr="003B62C1">
              <w:rPr>
                <w:rFonts w:cstheme="minorHAnsi"/>
                <w:sz w:val="20"/>
                <w:szCs w:val="20"/>
                <w:lang w:val="mk-MK"/>
              </w:rPr>
              <w:t xml:space="preserve"> за отворени податоци</w:t>
            </w:r>
            <w:r w:rsidR="00976FFF">
              <w:rPr>
                <w:rFonts w:cstheme="minorHAnsi"/>
                <w:sz w:val="20"/>
                <w:szCs w:val="20"/>
                <w:lang w:val="en-US"/>
              </w:rPr>
              <w:t xml:space="preserve"> www.data.gov.mk</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18E1793F"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lang w:val="mk-MK"/>
              </w:rPr>
              <w:t>5</w:t>
            </w:r>
            <w:r w:rsidRPr="009F309E">
              <w:rPr>
                <w:rFonts w:cstheme="minorHAnsi"/>
                <w:sz w:val="20"/>
                <w:szCs w:val="20"/>
              </w:rPr>
              <w:t>80</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1CF52940"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lang w:val="mk-MK"/>
              </w:rPr>
              <w:t>7</w:t>
            </w:r>
            <w:r w:rsidRPr="009F309E">
              <w:rPr>
                <w:rFonts w:cstheme="minorHAnsi"/>
                <w:sz w:val="20"/>
                <w:szCs w:val="20"/>
              </w:rPr>
              <w:t>00</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43C3B0B" w14:textId="77777777" w:rsidR="00FD47A9" w:rsidRPr="009F309E" w:rsidRDefault="00FD47A9" w:rsidP="00EC7C0D">
            <w:pPr>
              <w:jc w:val="center"/>
              <w:rPr>
                <w:sz w:val="20"/>
                <w:szCs w:val="20"/>
                <w:lang w:val="mk-MK"/>
              </w:rPr>
            </w:pPr>
            <w:r w:rsidRPr="009F309E">
              <w:rPr>
                <w:rFonts w:cstheme="minorHAnsi"/>
                <w:sz w:val="20"/>
                <w:szCs w:val="20"/>
                <w:lang w:val="mk-MK"/>
              </w:rPr>
              <w:t>&gt;</w:t>
            </w:r>
            <w:r w:rsidRPr="009F309E">
              <w:rPr>
                <w:rFonts w:cstheme="minorHAnsi"/>
                <w:sz w:val="20"/>
                <w:szCs w:val="20"/>
              </w:rPr>
              <w:t>9</w:t>
            </w:r>
            <w:r w:rsidRPr="009F309E">
              <w:rPr>
                <w:rFonts w:cstheme="minorHAnsi"/>
                <w:sz w:val="20"/>
                <w:szCs w:val="20"/>
                <w:lang w:val="mk-MK"/>
              </w:rPr>
              <w:t>00</w:t>
            </w:r>
          </w:p>
        </w:tc>
      </w:tr>
      <w:tr w:rsidR="00FD47A9" w:rsidRPr="009F309E" w14:paraId="70F4C8D9" w14:textId="77777777" w:rsidTr="00092885">
        <w:tc>
          <w:tcPr>
            <w:tcW w:w="9350" w:type="dxa"/>
            <w:gridSpan w:val="4"/>
            <w:shd w:val="clear" w:color="auto" w:fill="D9E2F3" w:themeFill="accent1" w:themeFillTint="33"/>
          </w:tcPr>
          <w:p w14:paraId="61A0CD67" w14:textId="77777777" w:rsidR="00FD47A9" w:rsidRPr="009F309E" w:rsidRDefault="00FD47A9" w:rsidP="00EC7C0D">
            <w:pPr>
              <w:rPr>
                <w:b/>
                <w:bCs/>
                <w:highlight w:val="yellow"/>
                <w:lang w:val="mk-MK"/>
              </w:rPr>
            </w:pPr>
            <w:r w:rsidRPr="009F309E">
              <w:rPr>
                <w:rFonts w:cstheme="minorHAnsi"/>
                <w:b/>
                <w:bCs/>
                <w:color w:val="3B3838" w:themeColor="background2" w:themeShade="40"/>
                <w:lang w:val="mk-MK"/>
              </w:rPr>
              <w:t>Мерка 3.5.1 Воспоставување на организациски механизми за идентификација на отворените податоци и за управување и спроведување на процесот за нивно отварање</w:t>
            </w:r>
          </w:p>
        </w:tc>
      </w:tr>
      <w:tr w:rsidR="00FD47A9" w:rsidRPr="00186921" w14:paraId="517E4E2B" w14:textId="77777777" w:rsidTr="00092885">
        <w:tc>
          <w:tcPr>
            <w:tcW w:w="5395" w:type="dxa"/>
            <w:vMerge w:val="restart"/>
            <w:shd w:val="clear" w:color="auto" w:fill="D9E2F3" w:themeFill="accent1" w:themeFillTint="33"/>
            <w:vAlign w:val="center"/>
          </w:tcPr>
          <w:p w14:paraId="79CA2444"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5ADE3339"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195FE88D"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0F6930B5"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6E5218DB" w14:textId="77777777" w:rsidTr="00092885">
        <w:tc>
          <w:tcPr>
            <w:tcW w:w="5395" w:type="dxa"/>
            <w:vMerge/>
            <w:shd w:val="clear" w:color="auto" w:fill="D9E2F3" w:themeFill="accent1" w:themeFillTint="33"/>
          </w:tcPr>
          <w:p w14:paraId="7589AD39"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3DC7493C"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2151616F"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4A13A29C" w14:textId="77777777" w:rsidR="00FD47A9" w:rsidRPr="00823E83" w:rsidRDefault="00FD47A9" w:rsidP="00EC7C0D">
            <w:pPr>
              <w:jc w:val="center"/>
              <w:rPr>
                <w:lang w:val="mk-MK"/>
              </w:rPr>
            </w:pPr>
            <w:r w:rsidRPr="00823E83">
              <w:rPr>
                <w:b/>
                <w:bCs/>
                <w:lang w:val="mk-MK"/>
              </w:rPr>
              <w:t>2030</w:t>
            </w:r>
          </w:p>
        </w:tc>
      </w:tr>
      <w:tr w:rsidR="00FD47A9" w:rsidRPr="009F309E" w14:paraId="619E4EDB" w14:textId="77777777" w:rsidTr="00092885">
        <w:trPr>
          <w:trHeight w:val="403"/>
        </w:trPr>
        <w:tc>
          <w:tcPr>
            <w:tcW w:w="5395" w:type="dxa"/>
            <w:shd w:val="clear" w:color="auto" w:fill="D9E2F3" w:themeFill="accent1" w:themeFillTint="33"/>
          </w:tcPr>
          <w:p w14:paraId="5E906FC2" w14:textId="77777777" w:rsidR="00FD47A9" w:rsidRPr="009F309E" w:rsidRDefault="00FD47A9" w:rsidP="00EC7C0D">
            <w:pPr>
              <w:rPr>
                <w:rFonts w:cstheme="minorHAnsi"/>
                <w:sz w:val="20"/>
                <w:szCs w:val="20"/>
              </w:rPr>
            </w:pPr>
            <w:r w:rsidRPr="003B62C1">
              <w:rPr>
                <w:rFonts w:cstheme="minorHAnsi"/>
                <w:sz w:val="20"/>
                <w:szCs w:val="20"/>
                <w:lang w:val="mk-MK"/>
              </w:rPr>
              <w:t>Број на нови институции на порталот за отворени податоци</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661C5C63"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lang w:val="mk-MK"/>
              </w:rPr>
              <w:t>74</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91125EB" w14:textId="77777777" w:rsidR="00FD47A9" w:rsidRPr="009F309E" w:rsidRDefault="00FD47A9" w:rsidP="00EC7C0D">
            <w:pPr>
              <w:jc w:val="center"/>
              <w:rPr>
                <w:rFonts w:ascii="Calibri" w:hAnsi="Calibri" w:cs="Calibri"/>
                <w:color w:val="000000"/>
                <w:sz w:val="20"/>
                <w:szCs w:val="20"/>
                <w:lang w:val="mk-MK"/>
              </w:rPr>
            </w:pPr>
            <w:r w:rsidRPr="009F309E">
              <w:rPr>
                <w:rFonts w:cstheme="minorHAnsi"/>
                <w:sz w:val="20"/>
                <w:szCs w:val="20"/>
              </w:rPr>
              <w:t>20</w:t>
            </w:r>
            <w:r w:rsidRPr="009F309E">
              <w:rPr>
                <w:rFonts w:cstheme="minorHAnsi"/>
                <w:sz w:val="20"/>
                <w:szCs w:val="20"/>
                <w:lang w:val="mk-MK"/>
              </w:rPr>
              <w:t>0</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51E88E0C" w14:textId="77777777" w:rsidR="00FD47A9" w:rsidRPr="009F309E" w:rsidRDefault="00FD47A9" w:rsidP="00EC7C0D">
            <w:pPr>
              <w:jc w:val="center"/>
              <w:rPr>
                <w:sz w:val="20"/>
                <w:szCs w:val="20"/>
                <w:lang w:val="mk-MK"/>
              </w:rPr>
            </w:pPr>
            <w:r w:rsidRPr="009F309E">
              <w:rPr>
                <w:rFonts w:cstheme="minorHAnsi"/>
                <w:sz w:val="20"/>
                <w:szCs w:val="20"/>
              </w:rPr>
              <w:t>3</w:t>
            </w:r>
            <w:r w:rsidRPr="009F309E">
              <w:rPr>
                <w:rFonts w:cstheme="minorHAnsi"/>
                <w:sz w:val="20"/>
                <w:szCs w:val="20"/>
                <w:lang w:val="mk-MK"/>
              </w:rPr>
              <w:t>50</w:t>
            </w:r>
          </w:p>
        </w:tc>
      </w:tr>
      <w:tr w:rsidR="00FD47A9" w:rsidRPr="009F309E" w14:paraId="790D76B0" w14:textId="77777777" w:rsidTr="00092885">
        <w:trPr>
          <w:trHeight w:val="340"/>
        </w:trPr>
        <w:tc>
          <w:tcPr>
            <w:tcW w:w="9350" w:type="dxa"/>
            <w:gridSpan w:val="4"/>
            <w:shd w:val="clear" w:color="auto" w:fill="D9E2F3" w:themeFill="accent1" w:themeFillTint="33"/>
          </w:tcPr>
          <w:p w14:paraId="11440200" w14:textId="77777777" w:rsidR="00FD47A9" w:rsidRPr="009F309E" w:rsidRDefault="00FD47A9" w:rsidP="00EC7C0D">
            <w:pPr>
              <w:rPr>
                <w:b/>
                <w:bCs/>
                <w:highlight w:val="yellow"/>
                <w:lang w:val="mk-MK"/>
              </w:rPr>
            </w:pPr>
            <w:r w:rsidRPr="009F309E">
              <w:rPr>
                <w:rFonts w:cstheme="minorHAnsi"/>
                <w:b/>
                <w:bCs/>
                <w:lang w:val="mk-MK"/>
              </w:rPr>
              <w:t>Мерка 3.5.2 Зголемена употреба на отворените податоци</w:t>
            </w:r>
          </w:p>
        </w:tc>
      </w:tr>
      <w:tr w:rsidR="00FD47A9" w:rsidRPr="00186921" w14:paraId="7A8A5CA4" w14:textId="77777777" w:rsidTr="00092885">
        <w:tc>
          <w:tcPr>
            <w:tcW w:w="5395" w:type="dxa"/>
            <w:vMerge w:val="restart"/>
            <w:shd w:val="clear" w:color="auto" w:fill="D9E2F3" w:themeFill="accent1" w:themeFillTint="33"/>
            <w:vAlign w:val="center"/>
          </w:tcPr>
          <w:p w14:paraId="148F4317" w14:textId="77777777" w:rsidR="00FD47A9" w:rsidRPr="003D459E" w:rsidRDefault="00FD47A9"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350" w:type="dxa"/>
            <w:tcBorders>
              <w:bottom w:val="nil"/>
              <w:right w:val="nil"/>
            </w:tcBorders>
            <w:shd w:val="clear" w:color="auto" w:fill="D9E2F3" w:themeFill="accent1" w:themeFillTint="33"/>
          </w:tcPr>
          <w:p w14:paraId="570D744A" w14:textId="77777777" w:rsidR="00FD47A9" w:rsidRDefault="00FD47A9" w:rsidP="00EC7C0D">
            <w:pPr>
              <w:jc w:val="center"/>
              <w:rPr>
                <w:rFonts w:ascii="Calibri" w:hAnsi="Calibri" w:cs="Calibri"/>
                <w:color w:val="000000"/>
                <w:lang w:val="mk-MK"/>
              </w:rPr>
            </w:pPr>
            <w:r w:rsidRPr="00933133">
              <w:rPr>
                <w:b/>
                <w:bCs/>
                <w:lang w:val="mk-MK"/>
              </w:rPr>
              <w:t>Почетна вредност</w:t>
            </w:r>
          </w:p>
        </w:tc>
        <w:tc>
          <w:tcPr>
            <w:tcW w:w="1260" w:type="dxa"/>
            <w:tcBorders>
              <w:left w:val="nil"/>
              <w:bottom w:val="nil"/>
              <w:right w:val="nil"/>
            </w:tcBorders>
            <w:shd w:val="clear" w:color="auto" w:fill="D9E2F3" w:themeFill="accent1" w:themeFillTint="33"/>
          </w:tcPr>
          <w:p w14:paraId="3A3317CB" w14:textId="77777777" w:rsidR="00FD47A9" w:rsidRDefault="00FD47A9" w:rsidP="00EC7C0D">
            <w:pPr>
              <w:jc w:val="center"/>
              <w:rPr>
                <w:rFonts w:ascii="Calibri" w:hAnsi="Calibri" w:cs="Calibri"/>
                <w:color w:val="000000"/>
                <w:lang w:val="mk-MK"/>
              </w:rPr>
            </w:pPr>
            <w:r w:rsidRPr="00933133">
              <w:rPr>
                <w:b/>
                <w:bCs/>
                <w:lang w:val="mk-MK"/>
              </w:rPr>
              <w:t>Преодна вредност</w:t>
            </w:r>
          </w:p>
        </w:tc>
        <w:tc>
          <w:tcPr>
            <w:tcW w:w="1345" w:type="dxa"/>
            <w:tcBorders>
              <w:left w:val="nil"/>
              <w:bottom w:val="nil"/>
            </w:tcBorders>
            <w:shd w:val="clear" w:color="auto" w:fill="D9E2F3" w:themeFill="accent1" w:themeFillTint="33"/>
          </w:tcPr>
          <w:p w14:paraId="5524A993" w14:textId="77777777" w:rsidR="00FD47A9" w:rsidRPr="00186921" w:rsidRDefault="00FD47A9" w:rsidP="00EC7C0D">
            <w:pPr>
              <w:jc w:val="center"/>
              <w:rPr>
                <w:highlight w:val="yellow"/>
                <w:lang w:val="mk-MK"/>
              </w:rPr>
            </w:pPr>
            <w:r w:rsidRPr="00933133">
              <w:rPr>
                <w:b/>
                <w:bCs/>
                <w:lang w:val="mk-MK"/>
              </w:rPr>
              <w:t>Крајна вредност</w:t>
            </w:r>
          </w:p>
        </w:tc>
      </w:tr>
      <w:tr w:rsidR="00FD47A9" w:rsidRPr="00823E83" w14:paraId="69D4F9A1" w14:textId="77777777" w:rsidTr="00092885">
        <w:tc>
          <w:tcPr>
            <w:tcW w:w="5395" w:type="dxa"/>
            <w:vMerge/>
            <w:shd w:val="clear" w:color="auto" w:fill="D9E2F3" w:themeFill="accent1" w:themeFillTint="33"/>
          </w:tcPr>
          <w:p w14:paraId="29110387" w14:textId="77777777" w:rsidR="00FD47A9" w:rsidRPr="003D459E" w:rsidRDefault="00FD47A9" w:rsidP="00EC7C0D">
            <w:pPr>
              <w:rPr>
                <w:rFonts w:cstheme="minorHAnsi"/>
                <w:sz w:val="18"/>
                <w:szCs w:val="18"/>
              </w:rPr>
            </w:pPr>
          </w:p>
        </w:tc>
        <w:tc>
          <w:tcPr>
            <w:tcW w:w="1350" w:type="dxa"/>
            <w:tcBorders>
              <w:top w:val="nil"/>
              <w:right w:val="nil"/>
            </w:tcBorders>
            <w:shd w:val="clear" w:color="auto" w:fill="D9E2F3" w:themeFill="accent1" w:themeFillTint="33"/>
          </w:tcPr>
          <w:p w14:paraId="0CC126F1"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60" w:type="dxa"/>
            <w:tcBorders>
              <w:top w:val="nil"/>
              <w:left w:val="nil"/>
              <w:right w:val="nil"/>
            </w:tcBorders>
            <w:shd w:val="clear" w:color="auto" w:fill="D9E2F3" w:themeFill="accent1" w:themeFillTint="33"/>
          </w:tcPr>
          <w:p w14:paraId="68FF974F" w14:textId="77777777" w:rsidR="00FD47A9" w:rsidRDefault="00FD47A9"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45" w:type="dxa"/>
            <w:tcBorders>
              <w:top w:val="nil"/>
              <w:left w:val="nil"/>
            </w:tcBorders>
            <w:shd w:val="clear" w:color="auto" w:fill="D9E2F3" w:themeFill="accent1" w:themeFillTint="33"/>
          </w:tcPr>
          <w:p w14:paraId="305C8E89" w14:textId="77777777" w:rsidR="00FD47A9" w:rsidRPr="00823E83" w:rsidRDefault="00FD47A9" w:rsidP="00EC7C0D">
            <w:pPr>
              <w:jc w:val="center"/>
              <w:rPr>
                <w:lang w:val="mk-MK"/>
              </w:rPr>
            </w:pPr>
            <w:r w:rsidRPr="00823E83">
              <w:rPr>
                <w:b/>
                <w:bCs/>
                <w:lang w:val="mk-MK"/>
              </w:rPr>
              <w:t>2030</w:t>
            </w:r>
          </w:p>
        </w:tc>
      </w:tr>
      <w:tr w:rsidR="00FD47A9" w:rsidRPr="009F309E" w14:paraId="482CCEE6" w14:textId="77777777" w:rsidTr="00092885">
        <w:trPr>
          <w:trHeight w:val="583"/>
        </w:trPr>
        <w:tc>
          <w:tcPr>
            <w:tcW w:w="5395" w:type="dxa"/>
            <w:shd w:val="clear" w:color="auto" w:fill="D9E2F3" w:themeFill="accent1" w:themeFillTint="33"/>
          </w:tcPr>
          <w:p w14:paraId="2A7989DB" w14:textId="06831754" w:rsidR="00FD47A9" w:rsidRPr="009F309E" w:rsidRDefault="00976FFF" w:rsidP="00EC7C0D">
            <w:pPr>
              <w:rPr>
                <w:rFonts w:cstheme="minorHAnsi"/>
                <w:sz w:val="20"/>
                <w:szCs w:val="20"/>
              </w:rPr>
            </w:pPr>
            <w:r>
              <w:rPr>
                <w:rFonts w:cstheme="minorHAnsi"/>
                <w:sz w:val="20"/>
                <w:szCs w:val="20"/>
                <w:lang w:val="mk-MK"/>
              </w:rPr>
              <w:t>Број на пре</w:t>
            </w:r>
            <w:r w:rsidR="00FD47A9" w:rsidRPr="003B62C1">
              <w:rPr>
                <w:rFonts w:cstheme="minorHAnsi"/>
                <w:sz w:val="20"/>
                <w:szCs w:val="20"/>
                <w:lang w:val="mk-MK"/>
              </w:rPr>
              <w:t>земања на податочни сетови од страна на регистрирани корисници</w:t>
            </w:r>
          </w:p>
        </w:tc>
        <w:tc>
          <w:tcPr>
            <w:tcW w:w="13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13AA4D69" w14:textId="77777777" w:rsidR="00FD47A9" w:rsidRPr="003B62C1" w:rsidRDefault="00FD47A9" w:rsidP="00EC7C0D">
            <w:pPr>
              <w:jc w:val="center"/>
              <w:rPr>
                <w:rFonts w:ascii="Calibri" w:hAnsi="Calibri" w:cs="Calibri"/>
                <w:sz w:val="20"/>
                <w:szCs w:val="20"/>
                <w:lang w:val="mk-MK"/>
              </w:rPr>
            </w:pPr>
            <w:r w:rsidRPr="003B62C1">
              <w:rPr>
                <w:rFonts w:cstheme="minorHAnsi"/>
                <w:sz w:val="20"/>
                <w:szCs w:val="20"/>
                <w:lang w:val="mk-MK"/>
              </w:rPr>
              <w:t>9800</w:t>
            </w:r>
          </w:p>
        </w:tc>
        <w:tc>
          <w:tcPr>
            <w:tcW w:w="126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7686720" w14:textId="77777777" w:rsidR="00FD47A9" w:rsidRPr="003B62C1" w:rsidRDefault="00FD47A9" w:rsidP="00EC7C0D">
            <w:pPr>
              <w:jc w:val="center"/>
              <w:rPr>
                <w:rFonts w:ascii="Calibri" w:hAnsi="Calibri" w:cs="Calibri"/>
                <w:sz w:val="20"/>
                <w:szCs w:val="20"/>
                <w:lang w:val="mk-MK"/>
              </w:rPr>
            </w:pPr>
            <w:r w:rsidRPr="003B62C1">
              <w:rPr>
                <w:rFonts w:cstheme="minorHAnsi"/>
                <w:sz w:val="20"/>
                <w:szCs w:val="20"/>
                <w:lang w:val="mk-MK"/>
              </w:rPr>
              <w:t>20000</w:t>
            </w:r>
          </w:p>
        </w:tc>
        <w:tc>
          <w:tcPr>
            <w:tcW w:w="134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B48F005" w14:textId="77777777" w:rsidR="00FD47A9" w:rsidRPr="003B62C1" w:rsidRDefault="00FD47A9" w:rsidP="00EC7C0D">
            <w:pPr>
              <w:jc w:val="center"/>
              <w:rPr>
                <w:sz w:val="20"/>
                <w:szCs w:val="20"/>
                <w:lang w:val="mk-MK"/>
              </w:rPr>
            </w:pPr>
            <w:r w:rsidRPr="003B62C1">
              <w:rPr>
                <w:rFonts w:cstheme="minorHAnsi"/>
                <w:sz w:val="20"/>
                <w:szCs w:val="20"/>
                <w:lang w:val="mk-MK"/>
              </w:rPr>
              <w:t>40000</w:t>
            </w:r>
          </w:p>
        </w:tc>
      </w:tr>
    </w:tbl>
    <w:p w14:paraId="3993CD4C" w14:textId="77777777" w:rsidR="00FD47A9" w:rsidRDefault="00FD47A9" w:rsidP="00106B99">
      <w:pPr>
        <w:rPr>
          <w:lang w:val="mk-MK"/>
        </w:rPr>
      </w:pPr>
    </w:p>
    <w:p w14:paraId="59155543" w14:textId="19B4F804" w:rsidR="00AC4875" w:rsidRDefault="00AC4875" w:rsidP="00AC4875">
      <w:pPr>
        <w:pStyle w:val="Heading2"/>
        <w:rPr>
          <w:lang w:val="mk-MK"/>
        </w:rPr>
      </w:pPr>
      <w:r>
        <w:rPr>
          <w:lang w:val="mk-MK"/>
        </w:rPr>
        <w:t xml:space="preserve">3.4. Општа и посебни цели во приоритетна област 4: </w:t>
      </w:r>
      <w:r w:rsidR="00A01345">
        <w:rPr>
          <w:lang w:val="mk-MK"/>
        </w:rPr>
        <w:t xml:space="preserve">Давање услуги и </w:t>
      </w:r>
      <w:r w:rsidR="001E3A6D">
        <w:rPr>
          <w:lang w:val="mk-MK"/>
        </w:rPr>
        <w:t>д</w:t>
      </w:r>
      <w:r>
        <w:rPr>
          <w:lang w:val="mk-MK"/>
        </w:rPr>
        <w:t>игитална трансформација</w:t>
      </w:r>
    </w:p>
    <w:p w14:paraId="3D460CC8" w14:textId="77777777" w:rsidR="00AC4875" w:rsidRDefault="00AC4875" w:rsidP="00AC4875">
      <w:pPr>
        <w:jc w:val="both"/>
        <w:rPr>
          <w:rFonts w:cs="Calibri"/>
          <w:lang w:val="mk-MK"/>
        </w:rPr>
      </w:pPr>
    </w:p>
    <w:p w14:paraId="697F493A" w14:textId="7EFB799D" w:rsidR="00AC4875" w:rsidRPr="00321E2D" w:rsidRDefault="00AC4875" w:rsidP="00AC4875">
      <w:pPr>
        <w:jc w:val="both"/>
        <w:rPr>
          <w:lang w:val="mk-MK"/>
        </w:rPr>
      </w:pPr>
      <w:r w:rsidRPr="00E402B0">
        <w:rPr>
          <w:rFonts w:cs="Calibri"/>
          <w:lang w:val="mk-MK"/>
        </w:rPr>
        <w:t>Д</w:t>
      </w:r>
      <w:r w:rsidRPr="00E402B0">
        <w:rPr>
          <w:rFonts w:cs="Calibri"/>
        </w:rPr>
        <w:t>игитални</w:t>
      </w:r>
      <w:r w:rsidRPr="00E402B0">
        <w:rPr>
          <w:rFonts w:cs="Calibri"/>
          <w:lang w:val="mk-MK"/>
        </w:rPr>
        <w:t>те</w:t>
      </w:r>
      <w:r w:rsidRPr="00E402B0">
        <w:rPr>
          <w:rFonts w:cs="Calibri"/>
        </w:rPr>
        <w:t xml:space="preserve"> платформи и решенија </w:t>
      </w:r>
      <w:r w:rsidRPr="00E402B0">
        <w:rPr>
          <w:rFonts w:cs="Calibri"/>
          <w:lang w:val="mk-MK"/>
        </w:rPr>
        <w:t xml:space="preserve">во јавниот сектор </w:t>
      </w:r>
      <w:r w:rsidRPr="00E402B0">
        <w:rPr>
          <w:rFonts w:cs="Calibri"/>
        </w:rPr>
        <w:t xml:space="preserve">го претставуваат </w:t>
      </w:r>
      <w:r w:rsidRPr="00E402B0">
        <w:rPr>
          <w:rFonts w:cs="Calibri"/>
          <w:lang w:val="mk-MK"/>
        </w:rPr>
        <w:t xml:space="preserve">неговото </w:t>
      </w:r>
      <w:r w:rsidRPr="00E402B0">
        <w:rPr>
          <w:rFonts w:cs="Calibri"/>
        </w:rPr>
        <w:t xml:space="preserve">лице во земјите ширум светот, а нивото на нивната автоматизираност, ефикасност, ефективност и достапност е </w:t>
      </w:r>
      <w:r w:rsidRPr="00E402B0">
        <w:rPr>
          <w:rFonts w:cs="Calibri"/>
        </w:rPr>
        <w:lastRenderedPageBreak/>
        <w:t xml:space="preserve">пропорционално на степенот на задоволството на граѓаните од услугите кои ги нуди државата. </w:t>
      </w:r>
      <w:r w:rsidR="003C7510">
        <w:rPr>
          <w:rFonts w:cs="Calibri"/>
          <w:lang w:val="mk-MK"/>
        </w:rPr>
        <w:t>РСМ</w:t>
      </w:r>
      <w:r w:rsidRPr="00E402B0">
        <w:rPr>
          <w:rFonts w:cs="Calibri"/>
        </w:rPr>
        <w:t xml:space="preserve"> ги насочува своите заложби кон намалување на јазот кој постои не само помеѓу нивото на дигитализација помеѓу државата и земјите-членки на Е</w:t>
      </w:r>
      <w:r w:rsidR="001E3A6D">
        <w:rPr>
          <w:rFonts w:cs="Calibri"/>
          <w:lang w:val="mk-MK"/>
        </w:rPr>
        <w:t>У</w:t>
      </w:r>
      <w:r w:rsidRPr="00E402B0">
        <w:rPr>
          <w:rFonts w:cs="Calibri"/>
        </w:rPr>
        <w:t>, туку и јазот кој постои помеѓу самите институции од јавниот сектор. Делотворната примена на информатичко-комуникациските технологии нуди можности за значителен напредок и во постигнување на целите кои се дефинирани во другите приоритетни области кои се предмет на оваа Стратегија, а сите мерки и активности во овој документ се во насока на креирање околина која брзо и со оптимални ресурси ќе може да се прилагодува на промените кои ги носи дигиталнота доба и да ги задоволува очекувањата на граѓаните и бизнисите.</w:t>
      </w:r>
      <w:r w:rsidRPr="00E402B0">
        <w:rPr>
          <w:rFonts w:cs="Calibri"/>
          <w:lang w:val="mk-MK"/>
        </w:rPr>
        <w:t xml:space="preserve"> Дополнително, во оваа насока со </w:t>
      </w:r>
      <w:r w:rsidR="00321E2D" w:rsidRPr="00321E2D">
        <w:rPr>
          <w:bCs/>
        </w:rPr>
        <w:t>Националната Стратегија за развој на Информациски и комуникациски технологии 2023-2027</w:t>
      </w:r>
      <w:r w:rsidR="00321E2D" w:rsidRPr="00321E2D">
        <w:t xml:space="preserve"> </w:t>
      </w:r>
      <w:r w:rsidRPr="00321E2D">
        <w:rPr>
          <w:rFonts w:cs="Calibri"/>
          <w:lang w:val="mk-MK"/>
        </w:rPr>
        <w:t xml:space="preserve">на </w:t>
      </w:r>
      <w:r w:rsidR="002C7FE7">
        <w:rPr>
          <w:rFonts w:cs="Calibri"/>
          <w:lang w:val="mk-MK"/>
        </w:rPr>
        <w:t>РСМ</w:t>
      </w:r>
      <w:r w:rsidRPr="00E402B0">
        <w:rPr>
          <w:rFonts w:cs="Calibri"/>
          <w:lang w:val="mk-MK"/>
        </w:rPr>
        <w:t xml:space="preserve">  која е во процес на подготовка ќе се </w:t>
      </w:r>
      <w:r w:rsidR="001E3A6D">
        <w:rPr>
          <w:rFonts w:cs="Calibri"/>
          <w:lang w:val="mk-MK"/>
        </w:rPr>
        <w:t>постават основите за подем</w:t>
      </w:r>
      <w:r w:rsidRPr="00E402B0">
        <w:rPr>
          <w:rFonts w:cs="Calibri"/>
        </w:rPr>
        <w:t xml:space="preserve"> на </w:t>
      </w:r>
      <w:r w:rsidR="002C7FE7">
        <w:rPr>
          <w:rFonts w:cs="Calibri"/>
          <w:lang w:val="mk-MK"/>
        </w:rPr>
        <w:t>РСМ</w:t>
      </w:r>
      <w:r w:rsidRPr="00E402B0">
        <w:rPr>
          <w:rFonts w:cs="Calibri"/>
        </w:rPr>
        <w:t xml:space="preserve"> и </w:t>
      </w:r>
      <w:r w:rsidRPr="00E402B0">
        <w:rPr>
          <w:rFonts w:cs="Calibri"/>
          <w:lang w:val="mk-MK"/>
        </w:rPr>
        <w:t xml:space="preserve">ќе </w:t>
      </w:r>
      <w:r w:rsidR="001E3A6D">
        <w:rPr>
          <w:rFonts w:cs="Calibri"/>
          <w:lang w:val="mk-MK"/>
        </w:rPr>
        <w:t>се</w:t>
      </w:r>
      <w:r w:rsidRPr="00E402B0">
        <w:rPr>
          <w:rFonts w:cs="Calibri"/>
        </w:rPr>
        <w:t xml:space="preserve"> максимизира нејзиното економско, социјално и политичко влијание во корист на квалитетот на животот на луѓето</w:t>
      </w:r>
      <w:r w:rsidRPr="00E402B0">
        <w:rPr>
          <w:rFonts w:cs="Calibri"/>
          <w:lang w:val="mk-MK"/>
        </w:rPr>
        <w:t>. За постигнување на општата цел, потребно е активно вклучување во реализацијата на предвидените мерки и активности од сите државни институции.</w:t>
      </w:r>
    </w:p>
    <w:p w14:paraId="2BBB83A9" w14:textId="22A2638F" w:rsidR="00AC4875" w:rsidRPr="005516B2" w:rsidRDefault="00AC4875" w:rsidP="00AC4875">
      <w:pPr>
        <w:jc w:val="both"/>
        <w:rPr>
          <w:rFonts w:cs="Calibri"/>
          <w:b/>
          <w:bCs/>
          <w:sz w:val="24"/>
          <w:szCs w:val="24"/>
        </w:rPr>
      </w:pPr>
      <w:r w:rsidRPr="005516B2">
        <w:rPr>
          <w:rFonts w:cstheme="minorHAnsi"/>
          <w:b/>
          <w:sz w:val="24"/>
          <w:szCs w:val="24"/>
          <w:lang w:val="mk-MK"/>
        </w:rPr>
        <w:t>ОПШТА ЦЕЛ: Дигитализирана</w:t>
      </w:r>
      <w:r w:rsidRPr="005516B2">
        <w:rPr>
          <w:rFonts w:cs="Calibri"/>
          <w:b/>
          <w:bCs/>
          <w:sz w:val="24"/>
          <w:szCs w:val="24"/>
        </w:rPr>
        <w:t xml:space="preserve"> јавна администрација </w:t>
      </w:r>
    </w:p>
    <w:p w14:paraId="53B6B83F" w14:textId="52F26B48" w:rsidR="00AC4875" w:rsidRPr="00E402B0" w:rsidRDefault="00C46E34" w:rsidP="009C7FC6">
      <w:pPr>
        <w:jc w:val="both"/>
        <w:rPr>
          <w:rFonts w:cs="Calibri"/>
          <w:lang w:val="mk-MK"/>
        </w:rPr>
      </w:pPr>
      <w:r>
        <w:rPr>
          <w:rFonts w:cs="Calibri"/>
          <w:lang w:val="mk-MK"/>
        </w:rPr>
        <w:t xml:space="preserve">Еден од клучните фактори за </w:t>
      </w:r>
      <w:r w:rsidR="00AC4875" w:rsidRPr="00E402B0">
        <w:rPr>
          <w:rFonts w:cs="Calibri"/>
        </w:rPr>
        <w:t>постигнување на</w:t>
      </w:r>
      <w:r w:rsidR="00580D74">
        <w:rPr>
          <w:rFonts w:cs="Calibri"/>
          <w:lang w:val="mk-MK"/>
        </w:rPr>
        <w:t xml:space="preserve"> општата цел </w:t>
      </w:r>
      <w:r w:rsidR="00AC4875" w:rsidRPr="00E402B0">
        <w:rPr>
          <w:rFonts w:cs="Calibri"/>
          <w:lang w:val="mk-MK"/>
        </w:rPr>
        <w:t>е постојана едукација на администрацијата и соодветна сертификација на стекнатото знаење. Преку поврзани активности со областа за човечки ресурси се предвидува во актите за систематизацијата на работни места</w:t>
      </w:r>
      <w:r w:rsidR="001E3A6D">
        <w:rPr>
          <w:rFonts w:cs="Calibri"/>
          <w:lang w:val="mk-MK"/>
        </w:rPr>
        <w:t>, како посебен услов за одредени работни места</w:t>
      </w:r>
      <w:r w:rsidR="00191CBB">
        <w:rPr>
          <w:rFonts w:cs="Calibri"/>
          <w:lang w:val="mk-MK"/>
        </w:rPr>
        <w:t>,</w:t>
      </w:r>
      <w:r w:rsidR="001E3A6D">
        <w:rPr>
          <w:rFonts w:cs="Calibri"/>
          <w:lang w:val="mk-MK"/>
        </w:rPr>
        <w:t xml:space="preserve"> </w:t>
      </w:r>
      <w:r w:rsidR="00AC4875" w:rsidRPr="00E402B0">
        <w:rPr>
          <w:rFonts w:cs="Calibri"/>
          <w:lang w:val="mk-MK"/>
        </w:rPr>
        <w:t>да бидат предвидени соодветни сертификати кои ќе го гарантираат знаењето за управување со ИТ алатките.</w:t>
      </w:r>
    </w:p>
    <w:p w14:paraId="7E1D4869" w14:textId="4FBD9930" w:rsidR="009C7FC6" w:rsidRDefault="00AC4875" w:rsidP="009C7FC6">
      <w:pPr>
        <w:jc w:val="both"/>
        <w:rPr>
          <w:lang w:val="mk-MK"/>
        </w:rPr>
      </w:pPr>
      <w:r w:rsidRPr="00E402B0">
        <w:rPr>
          <w:rFonts w:cs="Calibri"/>
          <w:lang w:val="mk-MK"/>
        </w:rPr>
        <w:t>П</w:t>
      </w:r>
      <w:r w:rsidRPr="00E402B0">
        <w:rPr>
          <w:rFonts w:cs="Calibri"/>
        </w:rPr>
        <w:t>отребно е воспоставување на централизирани организациони ед</w:t>
      </w:r>
      <w:r w:rsidR="00BD3F8B">
        <w:rPr>
          <w:rFonts w:cs="Calibri"/>
          <w:lang w:val="mk-MK"/>
        </w:rPr>
        <w:t>и</w:t>
      </w:r>
      <w:r w:rsidRPr="00E402B0">
        <w:rPr>
          <w:rFonts w:cs="Calibri"/>
        </w:rPr>
        <w:t xml:space="preserve">ници кои континуирано ќе работат на унапредување и проширување на употребата на </w:t>
      </w:r>
      <w:r w:rsidR="00C56181">
        <w:rPr>
          <w:rFonts w:cs="Calibri"/>
          <w:lang w:val="mk-MK"/>
        </w:rPr>
        <w:t xml:space="preserve">ИТ </w:t>
      </w:r>
      <w:r w:rsidRPr="00E402B0">
        <w:rPr>
          <w:rFonts w:cs="Calibri"/>
        </w:rPr>
        <w:t>системите низ јавниот сектор. М</w:t>
      </w:r>
      <w:r w:rsidR="00F9266F">
        <w:rPr>
          <w:rFonts w:cs="Calibri"/>
          <w:lang w:val="mk-MK"/>
        </w:rPr>
        <w:t>ИОА</w:t>
      </w:r>
      <w:r w:rsidRPr="00E402B0">
        <w:rPr>
          <w:rFonts w:cs="Calibri"/>
        </w:rPr>
        <w:t xml:space="preserve"> во моментов е преоптоварено со оперативни задачи, поради што се соочува со потешкотии во спроведувањето на својата примарна функција – развивање на стратешка рамка</w:t>
      </w:r>
      <w:r w:rsidRPr="00E402B0">
        <w:rPr>
          <w:rFonts w:cs="Calibri"/>
          <w:lang w:val="mk-MK"/>
        </w:rPr>
        <w:t xml:space="preserve">, политики </w:t>
      </w:r>
      <w:r w:rsidRPr="00E402B0">
        <w:rPr>
          <w:rFonts w:cs="Calibri"/>
        </w:rPr>
        <w:t xml:space="preserve">и пропратни програми за дигитална трансформација на државата, како и соодветна законска рамка. Потребно е да се создаде висок капацитет на човечки и технички ресурси кој ќе го обезбеди потребниот хоризонтален пробив во технологиите и ќе биде главната алатка за техничкото спроведување на длабоки реформи во целиот јавен сектор. Покрај ова, потребно е и централизирање на надлежностите за управување со дел од клучните регистри во државата со што ќе се обезбеди сеопфатен пристап за забрзано дигитализирање на процесите поврзани со овие регистри, што пак ќе ја прошири понудата на електронски услуги кои се достапни на </w:t>
      </w:r>
      <w:r w:rsidR="00C46DEA">
        <w:rPr>
          <w:rFonts w:cs="Calibri"/>
          <w:lang w:val="mk-MK"/>
        </w:rPr>
        <w:t>Н</w:t>
      </w:r>
      <w:r w:rsidRPr="00E402B0">
        <w:rPr>
          <w:rFonts w:cs="Calibri"/>
        </w:rPr>
        <w:t>ационалниот портал</w:t>
      </w:r>
      <w:r w:rsidR="00C46DEA">
        <w:rPr>
          <w:rFonts w:cs="Calibri"/>
          <w:lang w:val="mk-MK"/>
        </w:rPr>
        <w:t xml:space="preserve"> за е-услуги</w:t>
      </w:r>
      <w:r w:rsidRPr="00E402B0">
        <w:rPr>
          <w:rFonts w:cs="Calibri"/>
        </w:rPr>
        <w:t>.</w:t>
      </w:r>
      <w:r w:rsidR="009C7FC6" w:rsidRPr="009C7FC6">
        <w:rPr>
          <w:lang w:val="mk-MK"/>
        </w:rPr>
        <w:t xml:space="preserve"> </w:t>
      </w:r>
      <w:r w:rsidR="009C7FC6">
        <w:rPr>
          <w:lang w:val="mk-MK"/>
        </w:rPr>
        <w:t>Со активностите предвидени за остварување на општата цел ќе се влијае во зачувување на животната средина, а преку примена на иновативни идеи ќе се овозможи користење на последните технологии за целосна автоматизација на процесите.</w:t>
      </w:r>
    </w:p>
    <w:p w14:paraId="636D60A2" w14:textId="77777777" w:rsidR="009B106C" w:rsidRDefault="009B106C" w:rsidP="009B106C">
      <w:pPr>
        <w:jc w:val="both"/>
        <w:rPr>
          <w:lang w:val="mk-MK"/>
        </w:rPr>
      </w:pPr>
      <w:r>
        <w:rPr>
          <w:lang w:val="mk-MK"/>
        </w:rPr>
        <w:t>Општата цел ќе се следи преку следниов показател на ниво на ефект:</w:t>
      </w:r>
    </w:p>
    <w:tbl>
      <w:tblPr>
        <w:tblStyle w:val="TableGrid"/>
        <w:tblW w:w="0" w:type="auto"/>
        <w:tblLook w:val="04A0" w:firstRow="1" w:lastRow="0" w:firstColumn="1" w:lastColumn="0" w:noHBand="0" w:noVBand="1"/>
      </w:tblPr>
      <w:tblGrid>
        <w:gridCol w:w="5168"/>
        <w:gridCol w:w="1605"/>
        <w:gridCol w:w="1249"/>
        <w:gridCol w:w="1328"/>
      </w:tblGrid>
      <w:tr w:rsidR="009B106C" w:rsidRPr="003A1E46" w14:paraId="023AA0CB" w14:textId="77777777" w:rsidTr="00092885">
        <w:tc>
          <w:tcPr>
            <w:tcW w:w="9350" w:type="dxa"/>
            <w:gridSpan w:val="4"/>
            <w:shd w:val="clear" w:color="auto" w:fill="D9E2F3" w:themeFill="accent1" w:themeFillTint="33"/>
          </w:tcPr>
          <w:p w14:paraId="1C339728" w14:textId="77777777" w:rsidR="009B106C" w:rsidRPr="003A1E46" w:rsidRDefault="009B106C" w:rsidP="00EC7C0D">
            <w:pPr>
              <w:rPr>
                <w:rFonts w:ascii="Calibri" w:hAnsi="Calibri" w:cs="Calibri"/>
                <w:b/>
                <w:bCs/>
                <w:color w:val="000000"/>
                <w:lang w:val="mk-MK"/>
              </w:rPr>
            </w:pPr>
            <w:r w:rsidRPr="00933133">
              <w:rPr>
                <w:rFonts w:ascii="Calibri" w:hAnsi="Calibri" w:cs="Calibri"/>
                <w:b/>
                <w:bCs/>
                <w:color w:val="000000"/>
              </w:rPr>
              <w:t xml:space="preserve">ОПШТА ЦЕЛ: </w:t>
            </w:r>
            <w:r>
              <w:rPr>
                <w:rFonts w:ascii="Calibri" w:hAnsi="Calibri" w:cs="Calibri"/>
                <w:b/>
                <w:bCs/>
                <w:color w:val="000000"/>
                <w:lang w:val="mk-MK"/>
              </w:rPr>
              <w:t xml:space="preserve">ДИГИТАЛИЗИРАНА ЈАВНА АДМИНИСТРАЦИЈА </w:t>
            </w:r>
          </w:p>
        </w:tc>
      </w:tr>
      <w:tr w:rsidR="009B106C" w:rsidRPr="00933133" w14:paraId="2E5FF397" w14:textId="77777777" w:rsidTr="00092885">
        <w:tc>
          <w:tcPr>
            <w:tcW w:w="5168" w:type="dxa"/>
            <w:vMerge w:val="restart"/>
            <w:shd w:val="clear" w:color="auto" w:fill="D9E2F3" w:themeFill="accent1" w:themeFillTint="33"/>
            <w:vAlign w:val="center"/>
          </w:tcPr>
          <w:p w14:paraId="1E373542" w14:textId="77777777" w:rsidR="009B106C" w:rsidRPr="00933133" w:rsidRDefault="009B106C" w:rsidP="00EC7C0D">
            <w:pPr>
              <w:jc w:val="center"/>
              <w:rPr>
                <w:b/>
                <w:bCs/>
              </w:rPr>
            </w:pPr>
            <w:r w:rsidRPr="00933133">
              <w:rPr>
                <w:b/>
                <w:bCs/>
                <w:lang w:val="mk-MK"/>
              </w:rPr>
              <w:t>Показател на ефект:</w:t>
            </w:r>
          </w:p>
        </w:tc>
        <w:tc>
          <w:tcPr>
            <w:tcW w:w="1605" w:type="dxa"/>
            <w:tcBorders>
              <w:bottom w:val="nil"/>
              <w:right w:val="nil"/>
            </w:tcBorders>
            <w:shd w:val="clear" w:color="auto" w:fill="D9E2F3" w:themeFill="accent1" w:themeFillTint="33"/>
          </w:tcPr>
          <w:p w14:paraId="4702F095" w14:textId="77777777" w:rsidR="009B106C" w:rsidRPr="00933133" w:rsidRDefault="009B106C" w:rsidP="00EC7C0D">
            <w:pPr>
              <w:jc w:val="center"/>
              <w:rPr>
                <w:b/>
                <w:bCs/>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56D4592C" w14:textId="77777777" w:rsidR="009B106C" w:rsidRPr="00933133" w:rsidRDefault="009B106C" w:rsidP="00EC7C0D">
            <w:pPr>
              <w:jc w:val="center"/>
              <w:rPr>
                <w:b/>
                <w:bCs/>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2B6DCD0B" w14:textId="77777777" w:rsidR="009B106C" w:rsidRPr="00933133" w:rsidRDefault="009B106C" w:rsidP="00EC7C0D">
            <w:pPr>
              <w:jc w:val="center"/>
              <w:rPr>
                <w:b/>
                <w:bCs/>
                <w:lang w:val="mk-MK"/>
              </w:rPr>
            </w:pPr>
            <w:r w:rsidRPr="00933133">
              <w:rPr>
                <w:b/>
                <w:bCs/>
                <w:lang w:val="mk-MK"/>
              </w:rPr>
              <w:t>Крајна вредност</w:t>
            </w:r>
          </w:p>
        </w:tc>
      </w:tr>
      <w:tr w:rsidR="009B106C" w:rsidRPr="00933133" w14:paraId="72702FBE" w14:textId="77777777" w:rsidTr="00092885">
        <w:tc>
          <w:tcPr>
            <w:tcW w:w="5168" w:type="dxa"/>
            <w:vMerge/>
            <w:tcBorders>
              <w:bottom w:val="single" w:sz="4" w:space="0" w:color="auto"/>
            </w:tcBorders>
            <w:shd w:val="clear" w:color="auto" w:fill="D9E2F3" w:themeFill="accent1" w:themeFillTint="33"/>
          </w:tcPr>
          <w:p w14:paraId="3210C478" w14:textId="77777777" w:rsidR="009B106C" w:rsidRPr="00933133" w:rsidRDefault="009B106C" w:rsidP="00EC7C0D">
            <w:pPr>
              <w:rPr>
                <w:lang w:val="mk-MK"/>
              </w:rPr>
            </w:pPr>
          </w:p>
        </w:tc>
        <w:tc>
          <w:tcPr>
            <w:tcW w:w="1605" w:type="dxa"/>
            <w:tcBorders>
              <w:top w:val="nil"/>
              <w:bottom w:val="single" w:sz="4" w:space="0" w:color="auto"/>
              <w:right w:val="nil"/>
            </w:tcBorders>
            <w:shd w:val="clear" w:color="auto" w:fill="D9E2F3" w:themeFill="accent1" w:themeFillTint="33"/>
          </w:tcPr>
          <w:p w14:paraId="484DF68D" w14:textId="77777777" w:rsidR="009B106C" w:rsidRPr="00933133" w:rsidRDefault="009B106C" w:rsidP="00EC7C0D">
            <w:pPr>
              <w:jc w:val="center"/>
              <w:rPr>
                <w:b/>
                <w:bCs/>
                <w:lang w:val="mk-MK"/>
              </w:rPr>
            </w:pPr>
            <w:r w:rsidRPr="00933133">
              <w:rPr>
                <w:b/>
                <w:bCs/>
                <w:lang w:val="mk-MK"/>
              </w:rPr>
              <w:t>202</w:t>
            </w:r>
            <w:r>
              <w:rPr>
                <w:b/>
                <w:bCs/>
                <w:lang w:val="mk-MK"/>
              </w:rPr>
              <w:t>2</w:t>
            </w:r>
          </w:p>
        </w:tc>
        <w:tc>
          <w:tcPr>
            <w:tcW w:w="1249" w:type="dxa"/>
            <w:tcBorders>
              <w:top w:val="nil"/>
              <w:left w:val="nil"/>
              <w:bottom w:val="single" w:sz="4" w:space="0" w:color="auto"/>
              <w:right w:val="nil"/>
            </w:tcBorders>
            <w:shd w:val="clear" w:color="auto" w:fill="D9E2F3" w:themeFill="accent1" w:themeFillTint="33"/>
          </w:tcPr>
          <w:p w14:paraId="71F85995" w14:textId="77777777" w:rsidR="009B106C" w:rsidRPr="00933133" w:rsidRDefault="009B106C" w:rsidP="00EC7C0D">
            <w:pPr>
              <w:jc w:val="center"/>
              <w:rPr>
                <w:b/>
                <w:bCs/>
                <w:lang w:val="mk-MK"/>
              </w:rPr>
            </w:pPr>
            <w:r w:rsidRPr="00933133">
              <w:rPr>
                <w:b/>
                <w:bCs/>
                <w:lang w:val="mk-MK"/>
              </w:rPr>
              <w:t>2026</w:t>
            </w:r>
          </w:p>
        </w:tc>
        <w:tc>
          <w:tcPr>
            <w:tcW w:w="1328" w:type="dxa"/>
            <w:tcBorders>
              <w:top w:val="nil"/>
              <w:left w:val="nil"/>
              <w:bottom w:val="single" w:sz="4" w:space="0" w:color="auto"/>
            </w:tcBorders>
            <w:shd w:val="clear" w:color="auto" w:fill="D9E2F3" w:themeFill="accent1" w:themeFillTint="33"/>
          </w:tcPr>
          <w:p w14:paraId="5F91AB94" w14:textId="77777777" w:rsidR="009B106C" w:rsidRPr="00933133" w:rsidRDefault="009B106C" w:rsidP="00EC7C0D">
            <w:pPr>
              <w:jc w:val="center"/>
              <w:rPr>
                <w:b/>
                <w:bCs/>
                <w:lang w:val="mk-MK"/>
              </w:rPr>
            </w:pPr>
            <w:r w:rsidRPr="00933133">
              <w:rPr>
                <w:b/>
                <w:bCs/>
                <w:lang w:val="mk-MK"/>
              </w:rPr>
              <w:t>2030</w:t>
            </w:r>
          </w:p>
        </w:tc>
      </w:tr>
      <w:tr w:rsidR="009B106C" w:rsidRPr="003A1E46" w14:paraId="449F6916" w14:textId="77777777" w:rsidTr="00092885">
        <w:tc>
          <w:tcPr>
            <w:tcW w:w="5168" w:type="dxa"/>
            <w:tcBorders>
              <w:bottom w:val="single" w:sz="12" w:space="0" w:color="auto"/>
            </w:tcBorders>
            <w:shd w:val="clear" w:color="auto" w:fill="D9E2F3" w:themeFill="accent1" w:themeFillTint="33"/>
          </w:tcPr>
          <w:p w14:paraId="54E48A34" w14:textId="77777777" w:rsidR="009B106C" w:rsidRPr="004A1C1C" w:rsidRDefault="009B106C" w:rsidP="00EC7C0D">
            <w:pPr>
              <w:jc w:val="both"/>
              <w:rPr>
                <w:rFonts w:cstheme="minorHAnsi"/>
                <w:sz w:val="20"/>
                <w:szCs w:val="20"/>
              </w:rPr>
            </w:pPr>
            <w:r w:rsidRPr="004A1C1C">
              <w:rPr>
                <w:rFonts w:cstheme="minorHAnsi"/>
                <w:bCs/>
                <w:iCs/>
                <w:sz w:val="20"/>
                <w:szCs w:val="20"/>
                <w:lang w:val="sr-Cyrl-RS"/>
              </w:rPr>
              <w:t>ЕУ показател за електронска администрација (</w:t>
            </w:r>
            <w:r w:rsidRPr="004A1C1C">
              <w:rPr>
                <w:rFonts w:cstheme="minorHAnsi"/>
                <w:bCs/>
                <w:iCs/>
                <w:sz w:val="20"/>
                <w:szCs w:val="20"/>
                <w:lang w:val="en-US"/>
              </w:rPr>
              <w:t>e-government benchmark</w:t>
            </w:r>
            <w:r w:rsidRPr="004A1C1C">
              <w:rPr>
                <w:rFonts w:cstheme="minorHAnsi"/>
                <w:bCs/>
                <w:iCs/>
                <w:sz w:val="20"/>
                <w:szCs w:val="20"/>
                <w:lang w:val="sr-Cyrl-RS"/>
              </w:rPr>
              <w:t>)</w:t>
            </w:r>
          </w:p>
        </w:tc>
        <w:tc>
          <w:tcPr>
            <w:tcW w:w="1605" w:type="dxa"/>
            <w:tcBorders>
              <w:bottom w:val="single" w:sz="12" w:space="0" w:color="auto"/>
            </w:tcBorders>
            <w:shd w:val="clear" w:color="auto" w:fill="D9E2F3" w:themeFill="accent1" w:themeFillTint="33"/>
            <w:vAlign w:val="center"/>
          </w:tcPr>
          <w:p w14:paraId="5E96C23B" w14:textId="77777777" w:rsidR="009B106C" w:rsidRPr="003A1E46" w:rsidRDefault="009B106C" w:rsidP="00EC7C0D">
            <w:pPr>
              <w:jc w:val="center"/>
              <w:rPr>
                <w:sz w:val="20"/>
                <w:szCs w:val="20"/>
                <w:lang w:val="mk-MK"/>
              </w:rPr>
            </w:pPr>
            <w:r w:rsidRPr="003A1E46">
              <w:rPr>
                <w:sz w:val="20"/>
                <w:szCs w:val="20"/>
                <w:lang w:val="mk-MK"/>
              </w:rPr>
              <w:t>47,4%</w:t>
            </w:r>
          </w:p>
        </w:tc>
        <w:tc>
          <w:tcPr>
            <w:tcW w:w="1249" w:type="dxa"/>
            <w:tcBorders>
              <w:bottom w:val="single" w:sz="12" w:space="0" w:color="auto"/>
            </w:tcBorders>
            <w:shd w:val="clear" w:color="auto" w:fill="D9E2F3" w:themeFill="accent1" w:themeFillTint="33"/>
            <w:vAlign w:val="center"/>
          </w:tcPr>
          <w:p w14:paraId="58A64D5D" w14:textId="77777777" w:rsidR="009B106C" w:rsidRPr="003A1E46" w:rsidRDefault="009B106C" w:rsidP="00EC7C0D">
            <w:pPr>
              <w:jc w:val="center"/>
              <w:rPr>
                <w:sz w:val="20"/>
                <w:szCs w:val="20"/>
                <w:lang w:val="mk-MK"/>
              </w:rPr>
            </w:pPr>
            <w:r w:rsidRPr="003A1E46">
              <w:rPr>
                <w:sz w:val="20"/>
                <w:szCs w:val="20"/>
                <w:lang w:val="mk-MK"/>
              </w:rPr>
              <w:t>55%</w:t>
            </w:r>
          </w:p>
        </w:tc>
        <w:tc>
          <w:tcPr>
            <w:tcW w:w="1328" w:type="dxa"/>
            <w:tcBorders>
              <w:bottom w:val="single" w:sz="12" w:space="0" w:color="auto"/>
            </w:tcBorders>
            <w:shd w:val="clear" w:color="auto" w:fill="D9E2F3" w:themeFill="accent1" w:themeFillTint="33"/>
            <w:vAlign w:val="center"/>
          </w:tcPr>
          <w:p w14:paraId="7EF2D341" w14:textId="77777777" w:rsidR="009B106C" w:rsidRPr="003A1E46" w:rsidRDefault="009B106C" w:rsidP="00EC7C0D">
            <w:pPr>
              <w:jc w:val="center"/>
              <w:rPr>
                <w:sz w:val="20"/>
                <w:szCs w:val="20"/>
                <w:lang w:val="mk-MK"/>
              </w:rPr>
            </w:pPr>
            <w:r w:rsidRPr="003A1E46">
              <w:rPr>
                <w:sz w:val="20"/>
                <w:szCs w:val="20"/>
                <w:lang w:val="mk-MK"/>
              </w:rPr>
              <w:t>70%</w:t>
            </w:r>
          </w:p>
        </w:tc>
      </w:tr>
      <w:tr w:rsidR="009B106C" w:rsidRPr="003A1E46" w14:paraId="28C8AC29" w14:textId="77777777" w:rsidTr="00092885">
        <w:tc>
          <w:tcPr>
            <w:tcW w:w="5168" w:type="dxa"/>
            <w:tcBorders>
              <w:bottom w:val="single" w:sz="12" w:space="0" w:color="auto"/>
            </w:tcBorders>
            <w:shd w:val="clear" w:color="auto" w:fill="D9E2F3" w:themeFill="accent1" w:themeFillTint="33"/>
          </w:tcPr>
          <w:p w14:paraId="328F503A" w14:textId="77777777" w:rsidR="009B106C" w:rsidRPr="004A1C1C" w:rsidRDefault="009B106C" w:rsidP="00EC7C0D">
            <w:pPr>
              <w:jc w:val="both"/>
              <w:rPr>
                <w:rFonts w:cstheme="minorHAnsi"/>
                <w:bCs/>
                <w:iCs/>
                <w:sz w:val="20"/>
                <w:szCs w:val="20"/>
                <w:lang w:val="mk-MK"/>
              </w:rPr>
            </w:pPr>
            <w:r w:rsidRPr="004A1C1C">
              <w:rPr>
                <w:rFonts w:cstheme="minorHAnsi"/>
                <w:bCs/>
                <w:iCs/>
                <w:sz w:val="20"/>
                <w:szCs w:val="20"/>
              </w:rPr>
              <w:lastRenderedPageBreak/>
              <w:t>Дигиталната влада овозможува одлуки водени од податоци, ефикасни и одговорни политики, услуги и процеси во целата влада</w:t>
            </w:r>
            <w:r w:rsidRPr="004A1C1C">
              <w:rPr>
                <w:rFonts w:cstheme="minorHAnsi"/>
                <w:bCs/>
                <w:iCs/>
                <w:sz w:val="20"/>
                <w:szCs w:val="20"/>
                <w:lang w:val="sr-Cyrl-RS"/>
              </w:rPr>
              <w:t xml:space="preserve"> (</w:t>
            </w:r>
            <w:r w:rsidRPr="004A1C1C">
              <w:rPr>
                <w:rFonts w:cstheme="minorHAnsi"/>
                <w:bCs/>
                <w:iCs/>
                <w:sz w:val="20"/>
                <w:szCs w:val="20"/>
              </w:rPr>
              <w:t>СИГМА Оценка</w:t>
            </w:r>
            <w:r w:rsidRPr="004A1C1C">
              <w:rPr>
                <w:rFonts w:cstheme="minorHAnsi"/>
                <w:bCs/>
                <w:iCs/>
                <w:sz w:val="20"/>
                <w:szCs w:val="20"/>
                <w:lang w:val="mk-MK"/>
              </w:rPr>
              <w:t>)</w:t>
            </w:r>
          </w:p>
        </w:tc>
        <w:tc>
          <w:tcPr>
            <w:tcW w:w="1605" w:type="dxa"/>
            <w:tcBorders>
              <w:bottom w:val="single" w:sz="12" w:space="0" w:color="auto"/>
            </w:tcBorders>
            <w:shd w:val="clear" w:color="auto" w:fill="D9E2F3" w:themeFill="accent1" w:themeFillTint="33"/>
            <w:vAlign w:val="center"/>
          </w:tcPr>
          <w:p w14:paraId="3F0595BD" w14:textId="77777777" w:rsidR="009B106C" w:rsidRPr="003A1E46" w:rsidRDefault="009B106C" w:rsidP="00EC7C0D">
            <w:pPr>
              <w:jc w:val="center"/>
              <w:rPr>
                <w:sz w:val="20"/>
                <w:szCs w:val="20"/>
                <w:lang w:val="mk-MK"/>
              </w:rPr>
            </w:pPr>
            <w:r w:rsidRPr="003A1E46">
              <w:rPr>
                <w:sz w:val="20"/>
                <w:szCs w:val="20"/>
                <w:lang w:val="mk-MK"/>
              </w:rPr>
              <w:t>Ќе се утврди при првиот мониторинг на СИГМА според новите принципи на јавна администрација</w:t>
            </w:r>
          </w:p>
        </w:tc>
        <w:tc>
          <w:tcPr>
            <w:tcW w:w="1249" w:type="dxa"/>
            <w:tcBorders>
              <w:bottom w:val="single" w:sz="12" w:space="0" w:color="auto"/>
            </w:tcBorders>
            <w:shd w:val="clear" w:color="auto" w:fill="D9E2F3" w:themeFill="accent1" w:themeFillTint="33"/>
            <w:vAlign w:val="center"/>
          </w:tcPr>
          <w:p w14:paraId="544E573D" w14:textId="77777777" w:rsidR="009B106C" w:rsidRPr="003A1E46" w:rsidRDefault="009B106C" w:rsidP="00EC7C0D">
            <w:pPr>
              <w:jc w:val="center"/>
              <w:rPr>
                <w:sz w:val="20"/>
                <w:szCs w:val="20"/>
                <w:lang w:val="mk-MK"/>
              </w:rPr>
            </w:pPr>
            <w:r w:rsidRPr="003A1E46">
              <w:rPr>
                <w:sz w:val="20"/>
                <w:szCs w:val="20"/>
                <w:lang w:val="mk-MK"/>
              </w:rPr>
              <w:t>Ќе се утврди</w:t>
            </w:r>
          </w:p>
        </w:tc>
        <w:tc>
          <w:tcPr>
            <w:tcW w:w="1328" w:type="dxa"/>
            <w:tcBorders>
              <w:bottom w:val="single" w:sz="12" w:space="0" w:color="auto"/>
            </w:tcBorders>
            <w:shd w:val="clear" w:color="auto" w:fill="D9E2F3" w:themeFill="accent1" w:themeFillTint="33"/>
            <w:vAlign w:val="center"/>
          </w:tcPr>
          <w:p w14:paraId="5C75A85C" w14:textId="77777777" w:rsidR="009B106C" w:rsidRPr="003A1E46" w:rsidRDefault="009B106C" w:rsidP="00EC7C0D">
            <w:pPr>
              <w:jc w:val="center"/>
              <w:rPr>
                <w:sz w:val="20"/>
                <w:szCs w:val="20"/>
                <w:lang w:val="mk-MK"/>
              </w:rPr>
            </w:pPr>
            <w:r w:rsidRPr="003A1E46">
              <w:rPr>
                <w:sz w:val="20"/>
                <w:szCs w:val="20"/>
                <w:lang w:val="mk-MK"/>
              </w:rPr>
              <w:t>Ќе се утврди</w:t>
            </w:r>
          </w:p>
        </w:tc>
      </w:tr>
    </w:tbl>
    <w:p w14:paraId="6F012B7B" w14:textId="77777777" w:rsidR="009B106C" w:rsidRDefault="009B106C" w:rsidP="00AC4875">
      <w:pPr>
        <w:rPr>
          <w:rFonts w:cs="Calibri"/>
          <w:b/>
          <w:bCs/>
          <w:u w:val="single"/>
        </w:rPr>
      </w:pPr>
    </w:p>
    <w:p w14:paraId="3FCFD054" w14:textId="23DE30CA" w:rsidR="00AC4875" w:rsidRPr="00E402B0" w:rsidRDefault="00AC4875" w:rsidP="00AC4875">
      <w:pPr>
        <w:rPr>
          <w:rFonts w:cs="Calibri"/>
          <w:b/>
          <w:bCs/>
          <w:u w:val="single"/>
        </w:rPr>
      </w:pPr>
      <w:r w:rsidRPr="00E402B0">
        <w:rPr>
          <w:rFonts w:cs="Calibri"/>
          <w:b/>
          <w:bCs/>
          <w:u w:val="single"/>
        </w:rPr>
        <w:t xml:space="preserve">Посебна цел </w:t>
      </w:r>
      <w:r w:rsidR="009B106C">
        <w:rPr>
          <w:rFonts w:cs="Calibri"/>
          <w:b/>
          <w:bCs/>
          <w:u w:val="single"/>
          <w:lang w:val="mk-MK"/>
        </w:rPr>
        <w:t>4.</w:t>
      </w:r>
      <w:r w:rsidRPr="00E402B0">
        <w:rPr>
          <w:rFonts w:cs="Calibri"/>
          <w:b/>
          <w:bCs/>
          <w:u w:val="single"/>
        </w:rPr>
        <w:t>1</w:t>
      </w:r>
      <w:r w:rsidR="009B106C">
        <w:rPr>
          <w:rFonts w:cs="Calibri"/>
          <w:b/>
          <w:bCs/>
          <w:u w:val="single"/>
          <w:lang w:val="mk-MK"/>
        </w:rPr>
        <w:t>.</w:t>
      </w:r>
      <w:r w:rsidRPr="00E402B0">
        <w:rPr>
          <w:rFonts w:cs="Calibri"/>
          <w:b/>
          <w:bCs/>
          <w:u w:val="single"/>
        </w:rPr>
        <w:t>: Дигитална средина за подобро работење на администрацијата</w:t>
      </w:r>
    </w:p>
    <w:p w14:paraId="22780CA5" w14:textId="31BBED77" w:rsidR="00AC4875" w:rsidRPr="00E402B0" w:rsidRDefault="00AC4875" w:rsidP="00AC4875">
      <w:pPr>
        <w:jc w:val="both"/>
        <w:rPr>
          <w:rFonts w:cs="Calibri"/>
          <w:lang w:val="mk-MK"/>
        </w:rPr>
      </w:pPr>
      <w:r w:rsidRPr="00E402B0">
        <w:rPr>
          <w:rFonts w:cs="Calibri"/>
        </w:rPr>
        <w:t xml:space="preserve">Со постигнување на оваа посебна цел, работниот процес на службениците ќе се поедностави, ќе се минимизираат ризиците од грешки предизвикани од човечки фактор, а особено важно </w:t>
      </w:r>
      <w:r w:rsidR="00C46DEA">
        <w:rPr>
          <w:rFonts w:cs="Calibri"/>
          <w:lang w:val="mk-MK"/>
        </w:rPr>
        <w:t xml:space="preserve"> е што </w:t>
      </w:r>
      <w:r w:rsidRPr="00E402B0">
        <w:rPr>
          <w:rFonts w:cs="Calibri"/>
        </w:rPr>
        <w:t xml:space="preserve">граѓаните ќе имаат унифициран електронски начин за идентификација пред надлежните институции. </w:t>
      </w:r>
      <w:r w:rsidRPr="00E402B0">
        <w:rPr>
          <w:rFonts w:cs="Calibri"/>
          <w:lang w:val="mk-MK"/>
        </w:rPr>
        <w:t xml:space="preserve">Воспоставувањето на </w:t>
      </w:r>
      <w:r w:rsidR="00C56181">
        <w:rPr>
          <w:rFonts w:cs="Calibri"/>
          <w:lang w:val="mk-MK"/>
        </w:rPr>
        <w:t>ИСУЧР</w:t>
      </w:r>
      <w:r w:rsidRPr="00E402B0">
        <w:rPr>
          <w:rFonts w:cs="Calibri"/>
          <w:lang w:val="mk-MK"/>
        </w:rPr>
        <w:t xml:space="preserve"> кој е предвиден во </w:t>
      </w:r>
      <w:r w:rsidR="00C46DEA">
        <w:rPr>
          <w:rFonts w:cs="Calibri"/>
          <w:lang w:val="mk-MK"/>
        </w:rPr>
        <w:t xml:space="preserve">Приритетна </w:t>
      </w:r>
      <w:r w:rsidRPr="00E402B0">
        <w:rPr>
          <w:rFonts w:cs="Calibri"/>
          <w:lang w:val="mk-MK"/>
        </w:rPr>
        <w:t>област</w:t>
      </w:r>
      <w:r w:rsidR="00C46DEA">
        <w:rPr>
          <w:rFonts w:cs="Calibri"/>
          <w:lang w:val="mk-MK"/>
        </w:rPr>
        <w:t xml:space="preserve"> 2:</w:t>
      </w:r>
      <w:r w:rsidRPr="00E402B0">
        <w:rPr>
          <w:rFonts w:cs="Calibri"/>
          <w:lang w:val="mk-MK"/>
        </w:rPr>
        <w:t>Јавна служба и</w:t>
      </w:r>
      <w:r w:rsidR="003020D3">
        <w:rPr>
          <w:rFonts w:cs="Calibri"/>
          <w:lang w:val="mk-MK"/>
        </w:rPr>
        <w:t xml:space="preserve"> управување со човечки ресурси </w:t>
      </w:r>
      <w:r w:rsidRPr="00E402B0">
        <w:rPr>
          <w:rFonts w:cs="Calibri"/>
          <w:lang w:val="mk-MK"/>
        </w:rPr>
        <w:t>ќе овозможи услови за воведување на шема за автентикација на лица од админи</w:t>
      </w:r>
      <w:r w:rsidR="003020D3">
        <w:rPr>
          <w:rFonts w:cs="Calibri"/>
          <w:lang w:val="mk-MK"/>
        </w:rPr>
        <w:t>с</w:t>
      </w:r>
      <w:r w:rsidRPr="00E402B0">
        <w:rPr>
          <w:rFonts w:cs="Calibri"/>
          <w:lang w:val="mk-MK"/>
        </w:rPr>
        <w:t>трација.</w:t>
      </w:r>
    </w:p>
    <w:p w14:paraId="7289DF85" w14:textId="62011D9A" w:rsidR="00AC4875" w:rsidRPr="00E402B0" w:rsidRDefault="00AC4875" w:rsidP="00AC4875">
      <w:pPr>
        <w:jc w:val="both"/>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1.</w:t>
      </w:r>
      <w:r w:rsidRPr="00E402B0">
        <w:rPr>
          <w:rFonts w:cs="Calibri"/>
          <w:b/>
          <w:bCs/>
        </w:rPr>
        <w:t>1</w:t>
      </w:r>
      <w:r>
        <w:rPr>
          <w:rFonts w:cs="Calibri"/>
          <w:b/>
          <w:bCs/>
          <w:lang w:val="mk-MK"/>
        </w:rPr>
        <w:t>.</w:t>
      </w:r>
      <w:r w:rsidRPr="00E402B0">
        <w:rPr>
          <w:rFonts w:cs="Calibri"/>
          <w:b/>
          <w:bCs/>
        </w:rPr>
        <w:t>: Подобрување на каналите на електронска комуникација</w:t>
      </w:r>
    </w:p>
    <w:p w14:paraId="2E50D965" w14:textId="18C02987" w:rsidR="00AC4875" w:rsidRPr="00E402B0" w:rsidRDefault="00AC4875" w:rsidP="00AC4875">
      <w:pPr>
        <w:jc w:val="both"/>
        <w:rPr>
          <w:rFonts w:cs="Calibri"/>
        </w:rPr>
      </w:pPr>
      <w:r w:rsidRPr="00E402B0">
        <w:rPr>
          <w:rFonts w:cs="Calibri"/>
        </w:rPr>
        <w:t xml:space="preserve">Еден клучен сегмент во создавањето на дигитална средина е креирање на каналите на електронска комуникација во рамките на администрацијата кои на институциите ќе им овозможат дигитализација на процесите и електронска размена на податоци. </w:t>
      </w:r>
      <w:r w:rsidRPr="00E402B0">
        <w:rPr>
          <w:rFonts w:cs="Calibri"/>
          <w:lang w:val="mk-MK"/>
        </w:rPr>
        <w:t xml:space="preserve">За таа цел ќе се воспостави </w:t>
      </w:r>
      <w:r w:rsidRPr="00E402B0">
        <w:rPr>
          <w:rFonts w:cs="Calibri"/>
        </w:rPr>
        <w:t xml:space="preserve"> дигитална картичка за граѓаните</w:t>
      </w:r>
      <w:r w:rsidRPr="00E402B0">
        <w:rPr>
          <w:rFonts w:cs="Calibri"/>
          <w:lang w:val="mk-MK"/>
        </w:rPr>
        <w:t xml:space="preserve"> со што </w:t>
      </w:r>
      <w:r w:rsidRPr="00E402B0">
        <w:rPr>
          <w:rFonts w:cs="Calibri"/>
        </w:rPr>
        <w:t xml:space="preserve">ќе се </w:t>
      </w:r>
      <w:r w:rsidRPr="00E402B0">
        <w:rPr>
          <w:rFonts w:cs="Calibri"/>
          <w:lang w:val="mk-MK"/>
        </w:rPr>
        <w:t>овозможи</w:t>
      </w:r>
      <w:r w:rsidRPr="00E402B0">
        <w:rPr>
          <w:rFonts w:cs="Calibri"/>
        </w:rPr>
        <w:t xml:space="preserve"> унифициран електронски начин за идентификација на граѓаните пред надлежните институции.</w:t>
      </w:r>
      <w:r w:rsidRPr="00E402B0">
        <w:rPr>
          <w:rFonts w:cs="Calibri"/>
          <w:lang w:val="mk-MK"/>
        </w:rPr>
        <w:t xml:space="preserve"> Веќе воспоставените системи ќе се искористат и унпаредат што </w:t>
      </w:r>
      <w:r w:rsidRPr="00E402B0">
        <w:rPr>
          <w:rFonts w:cs="Calibri"/>
        </w:rPr>
        <w:t xml:space="preserve">директно </w:t>
      </w:r>
      <w:r w:rsidRPr="00E402B0">
        <w:rPr>
          <w:rFonts w:cs="Calibri"/>
          <w:lang w:val="mk-MK"/>
        </w:rPr>
        <w:t xml:space="preserve">ќе </w:t>
      </w:r>
      <w:r w:rsidRPr="00E402B0">
        <w:rPr>
          <w:rFonts w:cs="Calibri"/>
        </w:rPr>
        <w:t>влија</w:t>
      </w:r>
      <w:r w:rsidR="00C46DEA">
        <w:rPr>
          <w:rFonts w:cs="Calibri"/>
          <w:lang w:val="mk-MK"/>
        </w:rPr>
        <w:t>е</w:t>
      </w:r>
      <w:r w:rsidRPr="00E402B0">
        <w:rPr>
          <w:rFonts w:cs="Calibri"/>
        </w:rPr>
        <w:t xml:space="preserve"> врз степенот на дигитализација кај секоја институција. Во оваа насока се предвидува изработка на јавно дос</w:t>
      </w:r>
      <w:r w:rsidR="003020D3">
        <w:rPr>
          <w:rFonts w:cs="Calibri"/>
        </w:rPr>
        <w:t>тапен патоказ за дигитализација</w:t>
      </w:r>
      <w:r w:rsidRPr="00E402B0">
        <w:rPr>
          <w:rFonts w:cs="Calibri"/>
        </w:rPr>
        <w:t xml:space="preserve"> преку кој институциите сами ќе можат да го евалуираат својот степен на дигитализација, да ги оптимизираат ресурсите и да ги предвидат следните чекори. Податоци за степенот на дигитализација и спроведување на активностите од С</w:t>
      </w:r>
      <w:r w:rsidR="003C7510">
        <w:rPr>
          <w:rFonts w:cs="Calibri"/>
          <w:lang w:val="mk-MK"/>
        </w:rPr>
        <w:t xml:space="preserve">тратегија за </w:t>
      </w:r>
      <w:r w:rsidRPr="00E402B0">
        <w:rPr>
          <w:rFonts w:cs="Calibri"/>
        </w:rPr>
        <w:t>РЈА ќе бидат отворени и транспарентни, а за нивно редовно ажурирање и објавување ќе биде воспоставена посебна алатка. Користеј</w:t>
      </w:r>
      <w:r w:rsidR="003020D3">
        <w:rPr>
          <w:rFonts w:cs="Calibri"/>
        </w:rPr>
        <w:t xml:space="preserve">ќи „јазол комуникациски клиент“ </w:t>
      </w:r>
      <w:r w:rsidRPr="00E402B0">
        <w:rPr>
          <w:rFonts w:cs="Calibri"/>
        </w:rPr>
        <w:t>ќе се овозможи полесно и побрзо вклучување на групи од институции и организации на платформата за интероперабилност. Ова директно ќе влијае на зголемување на бројот на корисници</w:t>
      </w:r>
      <w:r>
        <w:rPr>
          <w:rFonts w:cs="Calibri"/>
          <w:lang w:val="mk-MK"/>
        </w:rPr>
        <w:t xml:space="preserve"> и </w:t>
      </w:r>
      <w:r w:rsidRPr="00E402B0">
        <w:rPr>
          <w:rFonts w:cs="Calibri"/>
        </w:rPr>
        <w:t>трансакции на платформата</w:t>
      </w:r>
      <w:r>
        <w:rPr>
          <w:rFonts w:cs="Calibri"/>
          <w:lang w:val="mk-MK"/>
        </w:rPr>
        <w:t>, како и намалување на трошоците за користење на платформата</w:t>
      </w:r>
      <w:r w:rsidRPr="00E402B0">
        <w:rPr>
          <w:rFonts w:cs="Calibri"/>
        </w:rPr>
        <w:t>.</w:t>
      </w:r>
    </w:p>
    <w:p w14:paraId="6EB0B6B4" w14:textId="394F1969" w:rsidR="00AC4875" w:rsidRPr="00E402B0" w:rsidRDefault="00AC4875" w:rsidP="00AC4875">
      <w:pPr>
        <w:jc w:val="both"/>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1.</w:t>
      </w:r>
      <w:r w:rsidRPr="00E402B0">
        <w:rPr>
          <w:rFonts w:cs="Calibri"/>
          <w:b/>
          <w:bCs/>
        </w:rPr>
        <w:t>2</w:t>
      </w:r>
      <w:r>
        <w:rPr>
          <w:rFonts w:cs="Calibri"/>
          <w:b/>
          <w:bCs/>
          <w:lang w:val="mk-MK"/>
        </w:rPr>
        <w:t>.</w:t>
      </w:r>
      <w:r w:rsidRPr="00E402B0">
        <w:rPr>
          <w:rFonts w:cs="Calibri"/>
          <w:b/>
          <w:bCs/>
        </w:rPr>
        <w:t>: Воведување на SMART околина во работењето на администрацијата</w:t>
      </w:r>
    </w:p>
    <w:p w14:paraId="0C5E0E61" w14:textId="0A15B286" w:rsidR="00AC4875" w:rsidRPr="00E402B0" w:rsidRDefault="00AC4875" w:rsidP="00AC4875">
      <w:pPr>
        <w:jc w:val="both"/>
        <w:rPr>
          <w:rFonts w:cs="Calibri"/>
        </w:rPr>
      </w:pPr>
      <w:r w:rsidRPr="00E402B0">
        <w:rPr>
          <w:rFonts w:cs="Calibri"/>
        </w:rPr>
        <w:t xml:space="preserve">Оптимизација во работењето на администрацијата ќе се овозможи и преку воспоставување на унифициран ДМС систем кој ќе им биде ставен на располагање на сите органи на државната управа (исклучок </w:t>
      </w:r>
      <w:r w:rsidR="002D2DCE">
        <w:rPr>
          <w:rFonts w:cs="Calibri"/>
        </w:rPr>
        <w:t xml:space="preserve"> </w:t>
      </w:r>
      <w:r w:rsidR="002D2DCE">
        <w:rPr>
          <w:rFonts w:cs="Calibri"/>
          <w:lang w:val="mk-MK"/>
        </w:rPr>
        <w:t xml:space="preserve">се органите од областа на </w:t>
      </w:r>
      <w:r w:rsidRPr="00E402B0">
        <w:rPr>
          <w:rFonts w:cs="Calibri"/>
        </w:rPr>
        <w:t>безбедност</w:t>
      </w:r>
      <w:r w:rsidR="002D2DCE">
        <w:rPr>
          <w:rFonts w:cs="Calibri"/>
          <w:lang w:val="mk-MK"/>
        </w:rPr>
        <w:t>а</w:t>
      </w:r>
      <w:r w:rsidRPr="00E402B0">
        <w:rPr>
          <w:rFonts w:cs="Calibri"/>
        </w:rPr>
        <w:t>), како и на локалната самоуправа и останатите институции од јавниот сектор. Унифициран</w:t>
      </w:r>
      <w:r w:rsidRPr="00E402B0">
        <w:rPr>
          <w:rFonts w:cs="Calibri"/>
          <w:lang w:val="mk-MK"/>
        </w:rPr>
        <w:t>иот</w:t>
      </w:r>
      <w:r w:rsidRPr="00E402B0">
        <w:rPr>
          <w:rFonts w:cs="Calibri"/>
        </w:rPr>
        <w:t xml:space="preserve"> ДМС систем ќе го подобри планирањето на човечките ресурси потребни за испорака на услуги согласно потребите на граѓаните. Со соодветна законска регулатива за канцелариско и архивско работење и воспоставениот ДМС систем, секој функционер, директор или лице со овластување задолжително ќе треба да потпишува електронски. </w:t>
      </w:r>
      <w:r>
        <w:rPr>
          <w:rFonts w:cs="Calibri"/>
          <w:lang w:val="mk-MK"/>
        </w:rPr>
        <w:t xml:space="preserve">Во оваа мерка </w:t>
      </w:r>
      <w:r w:rsidR="00A01345">
        <w:rPr>
          <w:rFonts w:cs="Calibri"/>
          <w:lang w:val="mk-MK"/>
        </w:rPr>
        <w:t xml:space="preserve">во секторот за социјално осигурување </w:t>
      </w:r>
      <w:r>
        <w:rPr>
          <w:rFonts w:cs="Calibri"/>
          <w:lang w:val="mk-MK"/>
        </w:rPr>
        <w:t xml:space="preserve">се </w:t>
      </w:r>
      <w:r w:rsidR="00A01345">
        <w:rPr>
          <w:rFonts w:cs="Calibri"/>
          <w:lang w:val="mk-MK"/>
        </w:rPr>
        <w:t>воведува</w:t>
      </w:r>
      <w:r>
        <w:rPr>
          <w:rFonts w:cs="Calibri"/>
          <w:lang w:val="mk-MK"/>
        </w:rPr>
        <w:t xml:space="preserve"> “Единствен</w:t>
      </w:r>
      <w:r w:rsidRPr="00A9756E">
        <w:rPr>
          <w:rFonts w:cs="Calibri"/>
          <w:lang w:val="mk-MK"/>
        </w:rPr>
        <w:t xml:space="preserve"> унифициран сис</w:t>
      </w:r>
      <w:r>
        <w:rPr>
          <w:rFonts w:cs="Calibri"/>
          <w:lang w:val="mk-MK"/>
        </w:rPr>
        <w:t>тем за социјално осигурување“ преку кој ќе се води р</w:t>
      </w:r>
      <w:r w:rsidRPr="00A9756E">
        <w:rPr>
          <w:rFonts w:cs="Calibri"/>
          <w:lang w:val="mk-MK"/>
        </w:rPr>
        <w:t xml:space="preserve">егистар на сите субјекти кои учествуваат во </w:t>
      </w:r>
      <w:r w:rsidRPr="00A9756E">
        <w:rPr>
          <w:rFonts w:cs="Calibri"/>
          <w:lang w:val="mk-MK"/>
        </w:rPr>
        <w:lastRenderedPageBreak/>
        <w:t>системот на задолжително социјално осигурување, односно осигурениците, осигурените лица, и обврзниците за уплата на придонеси од задол</w:t>
      </w:r>
      <w:r>
        <w:rPr>
          <w:rFonts w:cs="Calibri"/>
          <w:lang w:val="mk-MK"/>
        </w:rPr>
        <w:t xml:space="preserve">жително социјално осигурување. </w:t>
      </w:r>
      <w:r w:rsidRPr="00A9756E">
        <w:rPr>
          <w:rFonts w:cs="Calibri"/>
          <w:lang w:val="mk-MK"/>
        </w:rPr>
        <w:t>Целта на воспоставувањето на овој систем е да се рационализираат и поедностават процесите за регистрација, собирање податоци и управување со податоците во централизиран систем за задолжително социјално осигурување. Единствената унифицирана евиденција за социјалното осигурување ќе придонесе за зголемување на ефикасноста во остварување на правата кои произлегуваат од таквото осигурување.</w:t>
      </w:r>
    </w:p>
    <w:p w14:paraId="19B36AAB" w14:textId="3CB5A911" w:rsidR="00AC4875" w:rsidRPr="00E402B0" w:rsidRDefault="00AC4875" w:rsidP="00AC4875">
      <w:pPr>
        <w:jc w:val="both"/>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1.</w:t>
      </w:r>
      <w:r w:rsidRPr="00E402B0">
        <w:rPr>
          <w:rFonts w:cs="Calibri"/>
          <w:b/>
          <w:bCs/>
        </w:rPr>
        <w:t>3</w:t>
      </w:r>
      <w:r>
        <w:rPr>
          <w:rFonts w:cs="Calibri"/>
          <w:b/>
          <w:bCs/>
          <w:lang w:val="mk-MK"/>
        </w:rPr>
        <w:t>.</w:t>
      </w:r>
      <w:r w:rsidRPr="00E402B0">
        <w:rPr>
          <w:rFonts w:cs="Calibri"/>
          <w:b/>
          <w:bCs/>
        </w:rPr>
        <w:t>: Подобрување на институционалната и законската рамка за ИКТ</w:t>
      </w:r>
    </w:p>
    <w:p w14:paraId="130FE8A2" w14:textId="377751D2" w:rsidR="00AC4875" w:rsidRPr="00E402B0" w:rsidRDefault="00AC4875" w:rsidP="00AC4875">
      <w:pPr>
        <w:jc w:val="both"/>
        <w:rPr>
          <w:rFonts w:cs="Calibri"/>
        </w:rPr>
      </w:pPr>
      <w:r w:rsidRPr="00E402B0">
        <w:rPr>
          <w:rFonts w:cs="Calibri"/>
        </w:rPr>
        <w:t xml:space="preserve">Преку институционална поставеност за креирање, следење и имплементирање на политиките од информациско комуникациските технологии ќе се рационализираат трошоците за дигитална трансформација, ќе се обезбеди соодветна примена на законските решенија и проактивно преземање на корективни мерки. Во тој контекст, </w:t>
      </w:r>
      <w:r w:rsidRPr="00E402B0">
        <w:rPr>
          <w:rFonts w:cs="Calibri"/>
          <w:lang w:val="mk-MK"/>
        </w:rPr>
        <w:t xml:space="preserve">ќе се </w:t>
      </w:r>
      <w:r w:rsidRPr="00E402B0">
        <w:rPr>
          <w:rFonts w:cs="Calibri"/>
        </w:rPr>
        <w:t>утврд</w:t>
      </w:r>
      <w:r w:rsidRPr="00E402B0">
        <w:rPr>
          <w:rFonts w:cs="Calibri"/>
          <w:lang w:val="mk-MK"/>
        </w:rPr>
        <w:t xml:space="preserve">и посебна </w:t>
      </w:r>
      <w:r w:rsidRPr="00E402B0">
        <w:rPr>
          <w:rFonts w:cs="Calibri"/>
        </w:rPr>
        <w:t>надлежност за вршење на инспекциски надзор на примената на законите од оваа област и воспоставување на посебна агенција за спроведување на утврдените политики</w:t>
      </w:r>
      <w:r w:rsidRPr="00E402B0">
        <w:rPr>
          <w:rFonts w:cs="Calibri"/>
          <w:lang w:val="mk-MK"/>
        </w:rPr>
        <w:t xml:space="preserve">, која е </w:t>
      </w:r>
      <w:r w:rsidR="002D2DCE">
        <w:rPr>
          <w:rFonts w:cs="Calibri"/>
          <w:lang w:val="mk-MK"/>
        </w:rPr>
        <w:t xml:space="preserve">препознаена во </w:t>
      </w:r>
      <w:r w:rsidRPr="00E402B0">
        <w:rPr>
          <w:rFonts w:cs="Calibri"/>
          <w:lang w:val="mk-MK"/>
        </w:rPr>
        <w:t>процесот на реорганизација на органи</w:t>
      </w:r>
      <w:r>
        <w:rPr>
          <w:rFonts w:cs="Calibri"/>
          <w:lang w:val="mk-MK"/>
        </w:rPr>
        <w:t>те</w:t>
      </w:r>
      <w:r w:rsidRPr="00E402B0">
        <w:rPr>
          <w:rFonts w:cs="Calibri"/>
          <w:lang w:val="mk-MK"/>
        </w:rPr>
        <w:t xml:space="preserve"> на државна</w:t>
      </w:r>
      <w:r>
        <w:rPr>
          <w:rFonts w:cs="Calibri"/>
          <w:lang w:val="mk-MK"/>
        </w:rPr>
        <w:t>та</w:t>
      </w:r>
      <w:r w:rsidRPr="00E402B0">
        <w:rPr>
          <w:rFonts w:cs="Calibri"/>
          <w:lang w:val="mk-MK"/>
        </w:rPr>
        <w:t xml:space="preserve"> управа.</w:t>
      </w:r>
    </w:p>
    <w:p w14:paraId="171C368B" w14:textId="77777777" w:rsidR="009B106C" w:rsidRDefault="009B106C" w:rsidP="009B106C">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5B52714D" w14:textId="77777777" w:rsidR="00CB07C6" w:rsidRDefault="00CB07C6" w:rsidP="009B106C">
      <w:pPr>
        <w:spacing w:after="0"/>
        <w:jc w:val="both"/>
        <w:rPr>
          <w:lang w:val="mk-MK"/>
        </w:rPr>
      </w:pPr>
    </w:p>
    <w:tbl>
      <w:tblPr>
        <w:tblStyle w:val="TableGrid"/>
        <w:tblW w:w="0" w:type="auto"/>
        <w:tblLook w:val="04A0" w:firstRow="1" w:lastRow="0" w:firstColumn="1" w:lastColumn="0" w:noHBand="0" w:noVBand="1"/>
      </w:tblPr>
      <w:tblGrid>
        <w:gridCol w:w="5168"/>
        <w:gridCol w:w="1605"/>
        <w:gridCol w:w="1249"/>
        <w:gridCol w:w="1328"/>
      </w:tblGrid>
      <w:tr w:rsidR="009B106C" w:rsidRPr="004A1C1C" w14:paraId="1C492F89" w14:textId="77777777" w:rsidTr="00092885">
        <w:tc>
          <w:tcPr>
            <w:tcW w:w="9350" w:type="dxa"/>
            <w:gridSpan w:val="4"/>
            <w:tcBorders>
              <w:top w:val="single" w:sz="12" w:space="0" w:color="auto"/>
            </w:tcBorders>
            <w:shd w:val="clear" w:color="auto" w:fill="D9E2F3" w:themeFill="accent1" w:themeFillTint="33"/>
          </w:tcPr>
          <w:p w14:paraId="2BE571BD" w14:textId="77777777" w:rsidR="009B106C" w:rsidRPr="004A1C1C" w:rsidRDefault="009B106C" w:rsidP="00EC7C0D">
            <w:pPr>
              <w:jc w:val="both"/>
              <w:rPr>
                <w:rFonts w:cstheme="minorHAnsi"/>
                <w:highlight w:val="yellow"/>
                <w:lang w:val="mk-MK"/>
              </w:rPr>
            </w:pPr>
            <w:r w:rsidRPr="009B106C">
              <w:rPr>
                <w:rFonts w:cstheme="minorHAnsi"/>
                <w:b/>
                <w:bCs/>
              </w:rPr>
              <w:t xml:space="preserve">Посебна цел </w:t>
            </w:r>
            <w:r w:rsidRPr="009B106C">
              <w:rPr>
                <w:rFonts w:cstheme="minorHAnsi"/>
                <w:b/>
                <w:bCs/>
                <w:lang w:val="mk-MK"/>
              </w:rPr>
              <w:t>4.1:</w:t>
            </w:r>
            <w:r w:rsidRPr="004A1C1C">
              <w:rPr>
                <w:rFonts w:cstheme="minorHAnsi"/>
                <w:b/>
                <w:bCs/>
                <w:u w:val="single"/>
              </w:rPr>
              <w:t xml:space="preserve"> </w:t>
            </w:r>
            <w:r w:rsidRPr="004A1C1C">
              <w:rPr>
                <w:rFonts w:cstheme="minorHAnsi"/>
                <w:b/>
                <w:bCs/>
                <w:iCs/>
              </w:rPr>
              <w:t>Дигитална средина за подобро работење на администрацијата</w:t>
            </w:r>
          </w:p>
        </w:tc>
      </w:tr>
      <w:tr w:rsidR="009B106C" w:rsidRPr="00933133" w14:paraId="5B69D134" w14:textId="77777777" w:rsidTr="00092885">
        <w:tc>
          <w:tcPr>
            <w:tcW w:w="5168" w:type="dxa"/>
            <w:vMerge w:val="restart"/>
            <w:shd w:val="clear" w:color="auto" w:fill="D9E2F3" w:themeFill="accent1" w:themeFillTint="33"/>
            <w:vAlign w:val="center"/>
          </w:tcPr>
          <w:p w14:paraId="3EB1665F" w14:textId="77777777" w:rsidR="009B106C" w:rsidRPr="00933133" w:rsidRDefault="009B106C" w:rsidP="00EC7C0D">
            <w:pPr>
              <w:jc w:val="center"/>
              <w:rPr>
                <w:rFonts w:ascii="Calibri" w:hAnsi="Calibri" w:cs="Calibri"/>
                <w:color w:val="000000"/>
                <w:lang w:val="mk-MK"/>
              </w:rPr>
            </w:pPr>
          </w:p>
          <w:p w14:paraId="36B12EEB" w14:textId="77777777" w:rsidR="009B106C" w:rsidRPr="00933133" w:rsidRDefault="009B106C"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 исход:</w:t>
            </w:r>
          </w:p>
        </w:tc>
        <w:tc>
          <w:tcPr>
            <w:tcW w:w="1605" w:type="dxa"/>
            <w:tcBorders>
              <w:bottom w:val="nil"/>
              <w:right w:val="nil"/>
            </w:tcBorders>
            <w:shd w:val="clear" w:color="auto" w:fill="D9E2F3" w:themeFill="accent1" w:themeFillTint="33"/>
          </w:tcPr>
          <w:p w14:paraId="4661B022" w14:textId="77777777" w:rsidR="009B106C" w:rsidRPr="00933133" w:rsidRDefault="009B106C" w:rsidP="00EC7C0D">
            <w:pPr>
              <w:jc w:val="center"/>
              <w:rPr>
                <w:rFonts w:ascii="Calibri" w:hAnsi="Calibri" w:cs="Calibri"/>
                <w:color w:val="000000"/>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2CAEDC1F" w14:textId="77777777" w:rsidR="009B106C" w:rsidRPr="00933133" w:rsidRDefault="009B106C" w:rsidP="00EC7C0D">
            <w:pPr>
              <w:jc w:val="center"/>
              <w:rPr>
                <w:rFonts w:ascii="Calibri" w:hAnsi="Calibri" w:cs="Calibri"/>
                <w:color w:val="000000"/>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4B3F6DF3" w14:textId="77777777" w:rsidR="009B106C" w:rsidRPr="00933133" w:rsidRDefault="009B106C" w:rsidP="00EC7C0D">
            <w:pPr>
              <w:jc w:val="center"/>
              <w:rPr>
                <w:highlight w:val="yellow"/>
                <w:lang w:val="mk-MK"/>
              </w:rPr>
            </w:pPr>
            <w:r w:rsidRPr="00933133">
              <w:rPr>
                <w:b/>
                <w:bCs/>
                <w:lang w:val="mk-MK"/>
              </w:rPr>
              <w:t>Крајна вредност</w:t>
            </w:r>
          </w:p>
        </w:tc>
      </w:tr>
      <w:tr w:rsidR="009B106C" w:rsidRPr="0033370A" w14:paraId="2DA023A8" w14:textId="77777777" w:rsidTr="00092885">
        <w:tc>
          <w:tcPr>
            <w:tcW w:w="5168" w:type="dxa"/>
            <w:vMerge/>
            <w:shd w:val="clear" w:color="auto" w:fill="D9E2F3" w:themeFill="accent1" w:themeFillTint="33"/>
          </w:tcPr>
          <w:p w14:paraId="058B8E23" w14:textId="77777777" w:rsidR="009B106C" w:rsidRPr="00933133" w:rsidRDefault="009B106C" w:rsidP="00EC7C0D">
            <w:pPr>
              <w:rPr>
                <w:rFonts w:ascii="Calibri" w:hAnsi="Calibri" w:cs="Calibri"/>
                <w:color w:val="000000"/>
              </w:rPr>
            </w:pPr>
          </w:p>
        </w:tc>
        <w:tc>
          <w:tcPr>
            <w:tcW w:w="1605" w:type="dxa"/>
            <w:tcBorders>
              <w:top w:val="nil"/>
              <w:right w:val="nil"/>
            </w:tcBorders>
            <w:shd w:val="clear" w:color="auto" w:fill="D9E2F3" w:themeFill="accent1" w:themeFillTint="33"/>
          </w:tcPr>
          <w:p w14:paraId="55D88AD0" w14:textId="77777777" w:rsidR="009B106C" w:rsidRPr="00933133" w:rsidRDefault="009B106C" w:rsidP="00EC7C0D">
            <w:pPr>
              <w:jc w:val="center"/>
              <w:rPr>
                <w:rFonts w:ascii="Calibri" w:hAnsi="Calibri" w:cs="Calibri"/>
                <w:b/>
                <w:bCs/>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49" w:type="dxa"/>
            <w:tcBorders>
              <w:top w:val="nil"/>
              <w:left w:val="nil"/>
              <w:right w:val="nil"/>
            </w:tcBorders>
            <w:shd w:val="clear" w:color="auto" w:fill="D9E2F3" w:themeFill="accent1" w:themeFillTint="33"/>
          </w:tcPr>
          <w:p w14:paraId="6F522CF2" w14:textId="77777777" w:rsidR="009B106C" w:rsidRPr="00933133" w:rsidRDefault="009B106C"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3E932285" w14:textId="77777777" w:rsidR="009B106C" w:rsidRPr="0033370A" w:rsidRDefault="009B106C" w:rsidP="00EC7C0D">
            <w:pPr>
              <w:jc w:val="center"/>
              <w:rPr>
                <w:b/>
                <w:bCs/>
                <w:lang w:val="mk-MK"/>
              </w:rPr>
            </w:pPr>
            <w:r w:rsidRPr="0033370A">
              <w:rPr>
                <w:b/>
                <w:bCs/>
                <w:lang w:val="mk-MK"/>
              </w:rPr>
              <w:t>2030</w:t>
            </w:r>
          </w:p>
        </w:tc>
      </w:tr>
      <w:tr w:rsidR="009B106C" w:rsidRPr="004A1C1C" w14:paraId="2924980F" w14:textId="77777777" w:rsidTr="00092885">
        <w:trPr>
          <w:trHeight w:val="485"/>
        </w:trPr>
        <w:tc>
          <w:tcPr>
            <w:tcW w:w="5168" w:type="dxa"/>
            <w:shd w:val="clear" w:color="auto" w:fill="D9E2F3" w:themeFill="accent1" w:themeFillTint="33"/>
          </w:tcPr>
          <w:p w14:paraId="7384A79D" w14:textId="77777777" w:rsidR="009B106C" w:rsidRPr="004A1C1C" w:rsidRDefault="009B106C" w:rsidP="00EC7C0D">
            <w:pPr>
              <w:rPr>
                <w:rFonts w:cstheme="minorHAnsi"/>
                <w:sz w:val="20"/>
                <w:szCs w:val="20"/>
              </w:rPr>
            </w:pPr>
            <w:r w:rsidRPr="004A1C1C">
              <w:rPr>
                <w:rFonts w:cstheme="minorHAnsi"/>
                <w:bCs/>
                <w:iCs/>
                <w:sz w:val="20"/>
                <w:szCs w:val="20"/>
              </w:rPr>
              <w:t>Број на трансакции на платформата за Интероперабилност</w:t>
            </w:r>
          </w:p>
        </w:tc>
        <w:tc>
          <w:tcPr>
            <w:tcW w:w="1605" w:type="dxa"/>
            <w:shd w:val="clear" w:color="auto" w:fill="D9E2F3" w:themeFill="accent1" w:themeFillTint="33"/>
            <w:vAlign w:val="center"/>
          </w:tcPr>
          <w:p w14:paraId="431F2C18" w14:textId="77777777" w:rsidR="009B106C" w:rsidRPr="004A1C1C" w:rsidRDefault="009B106C" w:rsidP="00EC7C0D">
            <w:pPr>
              <w:jc w:val="center"/>
              <w:rPr>
                <w:rFonts w:cstheme="minorHAnsi"/>
                <w:sz w:val="20"/>
                <w:szCs w:val="20"/>
                <w:lang w:val="mk-MK"/>
              </w:rPr>
            </w:pPr>
            <w:r w:rsidRPr="004A1C1C">
              <w:rPr>
                <w:rFonts w:cstheme="minorHAnsi"/>
                <w:sz w:val="20"/>
                <w:szCs w:val="20"/>
                <w:lang w:val="mk-MK"/>
              </w:rPr>
              <w:t>1.484.018</w:t>
            </w:r>
          </w:p>
        </w:tc>
        <w:tc>
          <w:tcPr>
            <w:tcW w:w="12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EB6A84" w14:textId="77777777" w:rsidR="009B106C" w:rsidRPr="004A1C1C" w:rsidRDefault="009B106C" w:rsidP="00EC7C0D">
            <w:pPr>
              <w:jc w:val="center"/>
              <w:rPr>
                <w:rFonts w:cstheme="minorHAnsi"/>
                <w:sz w:val="20"/>
                <w:szCs w:val="20"/>
                <w:lang w:val="mk-MK"/>
              </w:rPr>
            </w:pPr>
            <w:r w:rsidRPr="004A1C1C">
              <w:rPr>
                <w:rFonts w:cstheme="minorHAnsi"/>
                <w:sz w:val="20"/>
                <w:szCs w:val="20"/>
                <w:lang w:eastAsia="mk-MK"/>
              </w:rPr>
              <w:t>5.000.000</w:t>
            </w:r>
          </w:p>
        </w:tc>
        <w:tc>
          <w:tcPr>
            <w:tcW w:w="13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61FC9A" w14:textId="77777777" w:rsidR="009B106C" w:rsidRPr="004A1C1C" w:rsidRDefault="009B106C" w:rsidP="00EC7C0D">
            <w:pPr>
              <w:jc w:val="center"/>
              <w:rPr>
                <w:rFonts w:cstheme="minorHAnsi"/>
                <w:sz w:val="20"/>
                <w:szCs w:val="20"/>
                <w:lang w:val="mk-MK"/>
              </w:rPr>
            </w:pPr>
            <w:r w:rsidRPr="004A1C1C">
              <w:rPr>
                <w:rFonts w:cstheme="minorHAnsi"/>
                <w:sz w:val="20"/>
                <w:szCs w:val="20"/>
                <w:lang w:eastAsia="mk-MK"/>
              </w:rPr>
              <w:t>7.000.000</w:t>
            </w:r>
          </w:p>
        </w:tc>
      </w:tr>
      <w:tr w:rsidR="009B106C" w:rsidRPr="004A1C1C" w14:paraId="627A8C63" w14:textId="77777777" w:rsidTr="00092885">
        <w:trPr>
          <w:trHeight w:val="458"/>
        </w:trPr>
        <w:tc>
          <w:tcPr>
            <w:tcW w:w="9350" w:type="dxa"/>
            <w:gridSpan w:val="4"/>
            <w:shd w:val="clear" w:color="auto" w:fill="D9E2F3" w:themeFill="accent1" w:themeFillTint="33"/>
          </w:tcPr>
          <w:p w14:paraId="7BEA3184" w14:textId="77777777" w:rsidR="009B106C" w:rsidRPr="004A1C1C" w:rsidRDefault="009B106C" w:rsidP="00EC7C0D">
            <w:pPr>
              <w:rPr>
                <w:rFonts w:cstheme="minorHAnsi"/>
                <w:b/>
                <w:highlight w:val="yellow"/>
                <w:lang w:val="mk-MK"/>
              </w:rPr>
            </w:pPr>
            <w:r w:rsidRPr="004A1C1C">
              <w:rPr>
                <w:rFonts w:cstheme="minorHAnsi"/>
                <w:b/>
              </w:rPr>
              <w:t>М</w:t>
            </w:r>
            <w:r w:rsidRPr="004A1C1C">
              <w:rPr>
                <w:rFonts w:cstheme="minorHAnsi"/>
                <w:b/>
                <w:lang w:val="mk-MK"/>
              </w:rPr>
              <w:t>ерка 4</w:t>
            </w:r>
            <w:r w:rsidRPr="004A1C1C">
              <w:rPr>
                <w:rFonts w:cstheme="minorHAnsi"/>
                <w:b/>
              </w:rPr>
              <w:t>.1.</w:t>
            </w:r>
            <w:r w:rsidRPr="004A1C1C">
              <w:rPr>
                <w:rFonts w:cstheme="minorHAnsi"/>
                <w:b/>
                <w:lang w:val="mk-MK"/>
              </w:rPr>
              <w:t xml:space="preserve">1. </w:t>
            </w:r>
            <w:r w:rsidRPr="0074178E">
              <w:rPr>
                <w:rFonts w:cstheme="minorHAnsi"/>
                <w:b/>
                <w:iCs/>
              </w:rPr>
              <w:t>Подобрување на каналите на електронска комуникација</w:t>
            </w:r>
          </w:p>
        </w:tc>
      </w:tr>
      <w:tr w:rsidR="009B106C" w:rsidRPr="00186921" w14:paraId="0E1685B9" w14:textId="77777777" w:rsidTr="00092885">
        <w:tc>
          <w:tcPr>
            <w:tcW w:w="5168" w:type="dxa"/>
            <w:vMerge w:val="restart"/>
            <w:shd w:val="clear" w:color="auto" w:fill="D9E2F3" w:themeFill="accent1" w:themeFillTint="33"/>
            <w:vAlign w:val="center"/>
          </w:tcPr>
          <w:p w14:paraId="1268A07D" w14:textId="77777777" w:rsidR="009B106C" w:rsidRPr="00186921" w:rsidRDefault="009B106C" w:rsidP="00EC7C0D">
            <w:pPr>
              <w:jc w:val="center"/>
              <w:rPr>
                <w:rFonts w:cstheme="minorHAnsi"/>
                <w:b/>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52E18BD0" w14:textId="77777777" w:rsidR="009B106C" w:rsidRPr="00186921" w:rsidRDefault="009B106C"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31BD9171" w14:textId="77777777" w:rsidR="009B106C" w:rsidRPr="00186921" w:rsidRDefault="009B106C"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50815E96" w14:textId="77777777" w:rsidR="009B106C" w:rsidRPr="00186921" w:rsidRDefault="009B106C" w:rsidP="00EC7C0D">
            <w:pPr>
              <w:jc w:val="center"/>
              <w:rPr>
                <w:highlight w:val="yellow"/>
                <w:lang w:val="mk-MK"/>
              </w:rPr>
            </w:pPr>
            <w:r w:rsidRPr="00933133">
              <w:rPr>
                <w:b/>
                <w:bCs/>
                <w:lang w:val="mk-MK"/>
              </w:rPr>
              <w:t>Крајна вредност</w:t>
            </w:r>
          </w:p>
        </w:tc>
      </w:tr>
      <w:tr w:rsidR="009B106C" w:rsidRPr="0033370A" w14:paraId="217F5B8D" w14:textId="77777777" w:rsidTr="00092885">
        <w:tc>
          <w:tcPr>
            <w:tcW w:w="5168" w:type="dxa"/>
            <w:vMerge/>
            <w:shd w:val="clear" w:color="auto" w:fill="D9E2F3" w:themeFill="accent1" w:themeFillTint="33"/>
          </w:tcPr>
          <w:p w14:paraId="1114CCE5" w14:textId="77777777" w:rsidR="009B106C" w:rsidRPr="00186921" w:rsidRDefault="009B106C" w:rsidP="00EC7C0D">
            <w:pPr>
              <w:rPr>
                <w:rFonts w:cstheme="minorHAnsi"/>
                <w:b/>
              </w:rPr>
            </w:pPr>
          </w:p>
        </w:tc>
        <w:tc>
          <w:tcPr>
            <w:tcW w:w="1605" w:type="dxa"/>
            <w:tcBorders>
              <w:top w:val="nil"/>
              <w:right w:val="nil"/>
            </w:tcBorders>
            <w:shd w:val="clear" w:color="auto" w:fill="D9E2F3" w:themeFill="accent1" w:themeFillTint="33"/>
          </w:tcPr>
          <w:p w14:paraId="660539FE" w14:textId="77777777" w:rsidR="009B106C" w:rsidRPr="00186921" w:rsidRDefault="009B106C" w:rsidP="00EC7C0D">
            <w:pPr>
              <w:jc w:val="center"/>
              <w:rPr>
                <w:rFonts w:ascii="Calibri" w:hAnsi="Calibri" w:cs="Calibri"/>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49" w:type="dxa"/>
            <w:tcBorders>
              <w:top w:val="nil"/>
              <w:left w:val="nil"/>
              <w:right w:val="nil"/>
            </w:tcBorders>
            <w:shd w:val="clear" w:color="auto" w:fill="D9E2F3" w:themeFill="accent1" w:themeFillTint="33"/>
          </w:tcPr>
          <w:p w14:paraId="718EA614" w14:textId="77777777" w:rsidR="009B106C" w:rsidRPr="00186921" w:rsidRDefault="009B106C"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0886412F" w14:textId="77777777" w:rsidR="009B106C" w:rsidRPr="0033370A" w:rsidRDefault="009B106C" w:rsidP="00EC7C0D">
            <w:pPr>
              <w:jc w:val="center"/>
              <w:rPr>
                <w:lang w:val="mk-MK"/>
              </w:rPr>
            </w:pPr>
            <w:r w:rsidRPr="0033370A">
              <w:rPr>
                <w:b/>
                <w:bCs/>
                <w:lang w:val="mk-MK"/>
              </w:rPr>
              <w:t>2030</w:t>
            </w:r>
          </w:p>
        </w:tc>
      </w:tr>
      <w:tr w:rsidR="009B106C" w:rsidRPr="004A1C1C" w14:paraId="6E55428A" w14:textId="77777777" w:rsidTr="00092885">
        <w:tc>
          <w:tcPr>
            <w:tcW w:w="5168" w:type="dxa"/>
            <w:shd w:val="clear" w:color="auto" w:fill="D9E2F3" w:themeFill="accent1" w:themeFillTint="33"/>
          </w:tcPr>
          <w:p w14:paraId="2DE801E5" w14:textId="778AC904" w:rsidR="009B106C" w:rsidRPr="004A1C1C" w:rsidRDefault="009B106C" w:rsidP="00EC7C0D">
            <w:pPr>
              <w:rPr>
                <w:rFonts w:cstheme="minorHAnsi"/>
                <w:b/>
                <w:sz w:val="20"/>
                <w:szCs w:val="20"/>
              </w:rPr>
            </w:pPr>
            <w:r w:rsidRPr="0074178E">
              <w:rPr>
                <w:rFonts w:cstheme="minorHAnsi"/>
                <w:bCs/>
                <w:iCs/>
                <w:sz w:val="20"/>
                <w:szCs w:val="20"/>
              </w:rPr>
              <w:t>Број на нови институции/компании на платформата за Интероперабилност</w:t>
            </w:r>
          </w:p>
        </w:tc>
        <w:tc>
          <w:tcPr>
            <w:tcW w:w="1605" w:type="dxa"/>
            <w:shd w:val="clear" w:color="auto" w:fill="D9E2F3" w:themeFill="accent1" w:themeFillTint="33"/>
            <w:vAlign w:val="center"/>
          </w:tcPr>
          <w:p w14:paraId="389D8795" w14:textId="77777777" w:rsidR="009B106C" w:rsidRPr="004A1C1C" w:rsidRDefault="009B106C" w:rsidP="00EC7C0D">
            <w:pPr>
              <w:jc w:val="center"/>
              <w:rPr>
                <w:rFonts w:cstheme="minorHAnsi"/>
                <w:color w:val="000000"/>
                <w:sz w:val="20"/>
                <w:szCs w:val="20"/>
                <w:lang w:val="mk-MK"/>
              </w:rPr>
            </w:pPr>
            <w:r w:rsidRPr="004A1C1C">
              <w:rPr>
                <w:rFonts w:cstheme="minorHAnsi"/>
                <w:color w:val="000000"/>
                <w:sz w:val="20"/>
                <w:szCs w:val="20"/>
                <w:lang w:val="mk-MK"/>
              </w:rPr>
              <w:t>52</w:t>
            </w:r>
          </w:p>
        </w:tc>
        <w:tc>
          <w:tcPr>
            <w:tcW w:w="1249" w:type="dxa"/>
            <w:shd w:val="clear" w:color="auto" w:fill="D9E2F3" w:themeFill="accent1" w:themeFillTint="33"/>
            <w:vAlign w:val="center"/>
          </w:tcPr>
          <w:p w14:paraId="0E672D5B" w14:textId="77777777" w:rsidR="009B106C" w:rsidRPr="004A1C1C" w:rsidRDefault="009B106C" w:rsidP="00EC7C0D">
            <w:pPr>
              <w:jc w:val="center"/>
              <w:rPr>
                <w:rFonts w:cstheme="minorHAnsi"/>
                <w:color w:val="000000"/>
                <w:sz w:val="20"/>
                <w:szCs w:val="20"/>
                <w:lang w:val="mk-MK"/>
              </w:rPr>
            </w:pPr>
            <w:r w:rsidRPr="004A1C1C">
              <w:rPr>
                <w:rFonts w:cstheme="minorHAnsi"/>
                <w:color w:val="000000"/>
                <w:sz w:val="20"/>
                <w:szCs w:val="20"/>
                <w:lang w:val="mk-MK"/>
              </w:rPr>
              <w:t>72</w:t>
            </w:r>
          </w:p>
        </w:tc>
        <w:tc>
          <w:tcPr>
            <w:tcW w:w="1328" w:type="dxa"/>
            <w:shd w:val="clear" w:color="auto" w:fill="D9E2F3" w:themeFill="accent1" w:themeFillTint="33"/>
            <w:vAlign w:val="center"/>
          </w:tcPr>
          <w:p w14:paraId="2743C7D0" w14:textId="77777777" w:rsidR="009B106C" w:rsidRPr="004A1C1C" w:rsidRDefault="009B106C" w:rsidP="00EC7C0D">
            <w:pPr>
              <w:jc w:val="center"/>
              <w:rPr>
                <w:rFonts w:cstheme="minorHAnsi"/>
                <w:sz w:val="20"/>
                <w:szCs w:val="20"/>
                <w:lang w:val="mk-MK"/>
              </w:rPr>
            </w:pPr>
            <w:r w:rsidRPr="004A1C1C">
              <w:rPr>
                <w:rFonts w:cstheme="minorHAnsi"/>
                <w:sz w:val="20"/>
                <w:szCs w:val="20"/>
                <w:lang w:val="mk-MK"/>
              </w:rPr>
              <w:t>92</w:t>
            </w:r>
          </w:p>
        </w:tc>
      </w:tr>
      <w:tr w:rsidR="009B106C" w:rsidRPr="004A1C1C" w14:paraId="4223330C" w14:textId="77777777" w:rsidTr="00092885">
        <w:tc>
          <w:tcPr>
            <w:tcW w:w="9350" w:type="dxa"/>
            <w:gridSpan w:val="4"/>
            <w:shd w:val="clear" w:color="auto" w:fill="D9E2F3" w:themeFill="accent1" w:themeFillTint="33"/>
          </w:tcPr>
          <w:p w14:paraId="57E68904" w14:textId="77777777" w:rsidR="009B106C" w:rsidRPr="004A1C1C" w:rsidRDefault="009B106C" w:rsidP="00EC7C0D">
            <w:pPr>
              <w:rPr>
                <w:rFonts w:cstheme="minorHAnsi"/>
                <w:b/>
                <w:highlight w:val="yellow"/>
                <w:lang w:val="mk-MK"/>
              </w:rPr>
            </w:pPr>
            <w:r w:rsidRPr="004A1C1C">
              <w:rPr>
                <w:rFonts w:cstheme="minorHAnsi"/>
                <w:b/>
              </w:rPr>
              <w:t>М</w:t>
            </w:r>
            <w:r w:rsidRPr="004A1C1C">
              <w:rPr>
                <w:rFonts w:cstheme="minorHAnsi"/>
                <w:b/>
                <w:lang w:val="mk-MK"/>
              </w:rPr>
              <w:t>ерка 4</w:t>
            </w:r>
            <w:r w:rsidRPr="004A1C1C">
              <w:rPr>
                <w:rFonts w:cstheme="minorHAnsi"/>
                <w:b/>
              </w:rPr>
              <w:t>.</w:t>
            </w:r>
            <w:r w:rsidRPr="004A1C1C">
              <w:rPr>
                <w:rFonts w:cstheme="minorHAnsi"/>
                <w:b/>
                <w:lang w:val="mk-MK"/>
              </w:rPr>
              <w:t>1.</w:t>
            </w:r>
            <w:r w:rsidRPr="004A1C1C">
              <w:rPr>
                <w:rFonts w:cstheme="minorHAnsi"/>
                <w:b/>
              </w:rPr>
              <w:t xml:space="preserve">2. </w:t>
            </w:r>
            <w:r w:rsidRPr="004A1C1C">
              <w:rPr>
                <w:rFonts w:cstheme="minorHAnsi"/>
                <w:b/>
                <w:iCs/>
              </w:rPr>
              <w:t>Воведување на SMART околина во работењето на администрацијата</w:t>
            </w:r>
          </w:p>
        </w:tc>
      </w:tr>
      <w:tr w:rsidR="009B106C" w:rsidRPr="00186921" w14:paraId="7751DAFC" w14:textId="77777777" w:rsidTr="00092885">
        <w:tc>
          <w:tcPr>
            <w:tcW w:w="5168" w:type="dxa"/>
            <w:vMerge w:val="restart"/>
            <w:shd w:val="clear" w:color="auto" w:fill="D9E2F3" w:themeFill="accent1" w:themeFillTint="33"/>
            <w:vAlign w:val="center"/>
          </w:tcPr>
          <w:p w14:paraId="5B6A2FF8" w14:textId="77777777" w:rsidR="009B106C" w:rsidRPr="003D459E" w:rsidRDefault="009B106C"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13BF2A6B" w14:textId="77777777" w:rsidR="009B106C" w:rsidRDefault="009B106C"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27CAFEE0" w14:textId="77777777" w:rsidR="009B106C" w:rsidRDefault="009B106C"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31A08D1A" w14:textId="77777777" w:rsidR="009B106C" w:rsidRPr="00186921" w:rsidRDefault="009B106C" w:rsidP="00EC7C0D">
            <w:pPr>
              <w:jc w:val="center"/>
              <w:rPr>
                <w:highlight w:val="yellow"/>
                <w:lang w:val="mk-MK"/>
              </w:rPr>
            </w:pPr>
            <w:r w:rsidRPr="00933133">
              <w:rPr>
                <w:b/>
                <w:bCs/>
                <w:lang w:val="mk-MK"/>
              </w:rPr>
              <w:t>Крајна вредност</w:t>
            </w:r>
          </w:p>
        </w:tc>
      </w:tr>
      <w:tr w:rsidR="009B106C" w:rsidRPr="0033370A" w14:paraId="404E8C5F" w14:textId="77777777" w:rsidTr="00092885">
        <w:tc>
          <w:tcPr>
            <w:tcW w:w="5168" w:type="dxa"/>
            <w:vMerge/>
            <w:shd w:val="clear" w:color="auto" w:fill="D9E2F3" w:themeFill="accent1" w:themeFillTint="33"/>
          </w:tcPr>
          <w:p w14:paraId="1A4AECC3" w14:textId="77777777" w:rsidR="009B106C" w:rsidRPr="003D459E" w:rsidRDefault="009B106C" w:rsidP="00EC7C0D">
            <w:pPr>
              <w:rPr>
                <w:rFonts w:cstheme="minorHAnsi"/>
                <w:sz w:val="18"/>
                <w:szCs w:val="18"/>
              </w:rPr>
            </w:pPr>
          </w:p>
        </w:tc>
        <w:tc>
          <w:tcPr>
            <w:tcW w:w="1605" w:type="dxa"/>
            <w:tcBorders>
              <w:top w:val="nil"/>
              <w:right w:val="nil"/>
            </w:tcBorders>
            <w:shd w:val="clear" w:color="auto" w:fill="D9E2F3" w:themeFill="accent1" w:themeFillTint="33"/>
          </w:tcPr>
          <w:p w14:paraId="4769A804" w14:textId="77777777" w:rsidR="009B106C" w:rsidRDefault="009B106C"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3B5F7D9E" w14:textId="77777777" w:rsidR="009B106C" w:rsidRDefault="009B106C"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5962D9E8" w14:textId="77777777" w:rsidR="009B106C" w:rsidRPr="0033370A" w:rsidRDefault="009B106C" w:rsidP="00EC7C0D">
            <w:pPr>
              <w:jc w:val="center"/>
              <w:rPr>
                <w:lang w:val="mk-MK"/>
              </w:rPr>
            </w:pPr>
            <w:r w:rsidRPr="0033370A">
              <w:rPr>
                <w:b/>
                <w:bCs/>
                <w:lang w:val="mk-MK"/>
              </w:rPr>
              <w:t>2030</w:t>
            </w:r>
          </w:p>
        </w:tc>
      </w:tr>
      <w:tr w:rsidR="009B106C" w:rsidRPr="004A1C1C" w14:paraId="6F37602C" w14:textId="77777777" w:rsidTr="00092885">
        <w:trPr>
          <w:trHeight w:val="602"/>
        </w:trPr>
        <w:tc>
          <w:tcPr>
            <w:tcW w:w="5168" w:type="dxa"/>
            <w:shd w:val="clear" w:color="auto" w:fill="D9E2F3" w:themeFill="accent1" w:themeFillTint="33"/>
          </w:tcPr>
          <w:p w14:paraId="206BF25A" w14:textId="224E9597" w:rsidR="009B106C" w:rsidRPr="00775C96" w:rsidRDefault="009B106C" w:rsidP="00EC7C0D">
            <w:pPr>
              <w:rPr>
                <w:rFonts w:cstheme="minorHAnsi"/>
                <w:sz w:val="20"/>
                <w:szCs w:val="20"/>
              </w:rPr>
            </w:pPr>
            <w:r w:rsidRPr="0074178E">
              <w:rPr>
                <w:rFonts w:cstheme="minorHAnsi"/>
                <w:bCs/>
                <w:iCs/>
                <w:sz w:val="20"/>
                <w:szCs w:val="20"/>
              </w:rPr>
              <w:t>Вкупен број на институции кои го користат ДМС системот</w:t>
            </w:r>
          </w:p>
        </w:tc>
        <w:tc>
          <w:tcPr>
            <w:tcW w:w="1605" w:type="dxa"/>
            <w:shd w:val="clear" w:color="auto" w:fill="D9E2F3" w:themeFill="accent1" w:themeFillTint="33"/>
            <w:vAlign w:val="center"/>
          </w:tcPr>
          <w:p w14:paraId="683D385D" w14:textId="77777777" w:rsidR="009B106C" w:rsidRPr="00775C96" w:rsidRDefault="009B106C" w:rsidP="00EC7C0D">
            <w:pPr>
              <w:jc w:val="center"/>
              <w:rPr>
                <w:rFonts w:cstheme="minorHAnsi"/>
                <w:color w:val="000000"/>
                <w:sz w:val="20"/>
                <w:szCs w:val="20"/>
                <w:lang w:val="mk-MK"/>
              </w:rPr>
            </w:pPr>
            <w:r w:rsidRPr="00775C96">
              <w:rPr>
                <w:rFonts w:cstheme="minorHAnsi"/>
                <w:color w:val="000000"/>
                <w:sz w:val="20"/>
                <w:szCs w:val="20"/>
                <w:lang w:val="mk-MK"/>
              </w:rPr>
              <w:t>21</w:t>
            </w:r>
          </w:p>
        </w:tc>
        <w:tc>
          <w:tcPr>
            <w:tcW w:w="1249" w:type="dxa"/>
            <w:shd w:val="clear" w:color="auto" w:fill="D9E2F3" w:themeFill="accent1" w:themeFillTint="33"/>
            <w:vAlign w:val="center"/>
          </w:tcPr>
          <w:p w14:paraId="0FA8478B" w14:textId="77777777" w:rsidR="009B106C" w:rsidRPr="00775C96" w:rsidRDefault="009B106C" w:rsidP="00EC7C0D">
            <w:pPr>
              <w:jc w:val="center"/>
              <w:rPr>
                <w:rFonts w:cstheme="minorHAnsi"/>
                <w:color w:val="000000"/>
                <w:sz w:val="20"/>
                <w:szCs w:val="20"/>
                <w:lang w:val="mk-MK"/>
              </w:rPr>
            </w:pPr>
            <w:r w:rsidRPr="00775C96">
              <w:rPr>
                <w:rFonts w:cstheme="minorHAnsi"/>
                <w:color w:val="000000"/>
                <w:sz w:val="20"/>
                <w:szCs w:val="20"/>
                <w:lang w:val="mk-MK"/>
              </w:rPr>
              <w:t>30</w:t>
            </w:r>
          </w:p>
        </w:tc>
        <w:tc>
          <w:tcPr>
            <w:tcW w:w="1328" w:type="dxa"/>
            <w:shd w:val="clear" w:color="auto" w:fill="D9E2F3" w:themeFill="accent1" w:themeFillTint="33"/>
            <w:vAlign w:val="center"/>
          </w:tcPr>
          <w:p w14:paraId="45CD475C" w14:textId="77777777" w:rsidR="009B106C" w:rsidRPr="00775C96" w:rsidRDefault="009B106C" w:rsidP="00EC7C0D">
            <w:pPr>
              <w:jc w:val="center"/>
              <w:rPr>
                <w:rFonts w:cstheme="minorHAnsi"/>
                <w:sz w:val="20"/>
                <w:szCs w:val="20"/>
                <w:lang w:val="mk-MK"/>
              </w:rPr>
            </w:pPr>
            <w:r w:rsidRPr="00775C96">
              <w:rPr>
                <w:rFonts w:cstheme="minorHAnsi"/>
                <w:sz w:val="20"/>
                <w:szCs w:val="20"/>
                <w:lang w:val="mk-MK"/>
              </w:rPr>
              <w:t>60</w:t>
            </w:r>
          </w:p>
        </w:tc>
      </w:tr>
      <w:tr w:rsidR="009B106C" w:rsidRPr="004A1C1C" w14:paraId="2C08D330" w14:textId="77777777" w:rsidTr="00092885">
        <w:tc>
          <w:tcPr>
            <w:tcW w:w="9350" w:type="dxa"/>
            <w:gridSpan w:val="4"/>
            <w:shd w:val="clear" w:color="auto" w:fill="D9E2F3" w:themeFill="accent1" w:themeFillTint="33"/>
            <w:vAlign w:val="center"/>
          </w:tcPr>
          <w:p w14:paraId="3A716A53" w14:textId="77777777" w:rsidR="009B106C" w:rsidRPr="004A1C1C" w:rsidRDefault="009B106C" w:rsidP="00EC7C0D">
            <w:pPr>
              <w:rPr>
                <w:rFonts w:cstheme="minorHAnsi"/>
                <w:b/>
                <w:bCs/>
                <w:highlight w:val="yellow"/>
                <w:lang w:val="mk-MK"/>
              </w:rPr>
            </w:pPr>
            <w:r w:rsidRPr="004A1C1C">
              <w:rPr>
                <w:rFonts w:cstheme="minorHAnsi"/>
                <w:b/>
              </w:rPr>
              <w:t>М</w:t>
            </w:r>
            <w:r w:rsidRPr="004A1C1C">
              <w:rPr>
                <w:rFonts w:cstheme="minorHAnsi"/>
                <w:b/>
                <w:lang w:val="mk-MK"/>
              </w:rPr>
              <w:t>ерка</w:t>
            </w:r>
            <w:r w:rsidRPr="004A1C1C">
              <w:rPr>
                <w:rFonts w:cstheme="minorHAnsi"/>
                <w:b/>
              </w:rPr>
              <w:t xml:space="preserve"> </w:t>
            </w:r>
            <w:r w:rsidRPr="004A1C1C">
              <w:rPr>
                <w:rFonts w:cstheme="minorHAnsi"/>
                <w:b/>
                <w:lang w:val="mk-MK"/>
              </w:rPr>
              <w:t>4</w:t>
            </w:r>
            <w:r w:rsidRPr="004A1C1C">
              <w:rPr>
                <w:rFonts w:cstheme="minorHAnsi"/>
                <w:b/>
              </w:rPr>
              <w:t>.</w:t>
            </w:r>
            <w:r w:rsidRPr="004A1C1C">
              <w:rPr>
                <w:rFonts w:cstheme="minorHAnsi"/>
                <w:b/>
                <w:lang w:val="mk-MK"/>
              </w:rPr>
              <w:t>1.</w:t>
            </w:r>
            <w:r w:rsidRPr="004A1C1C">
              <w:rPr>
                <w:rFonts w:cstheme="minorHAnsi"/>
                <w:b/>
              </w:rPr>
              <w:t xml:space="preserve">3 </w:t>
            </w:r>
            <w:r w:rsidRPr="004A1C1C">
              <w:rPr>
                <w:rFonts w:cstheme="minorHAnsi"/>
                <w:b/>
                <w:bCs/>
                <w:iCs/>
              </w:rPr>
              <w:t>Подобрување на институционалната и законската рамка за ИКТ</w:t>
            </w:r>
          </w:p>
        </w:tc>
      </w:tr>
      <w:tr w:rsidR="009B106C" w:rsidRPr="00933133" w14:paraId="624C6E2B" w14:textId="77777777" w:rsidTr="00092885">
        <w:tc>
          <w:tcPr>
            <w:tcW w:w="5168" w:type="dxa"/>
            <w:vMerge w:val="restart"/>
            <w:shd w:val="clear" w:color="auto" w:fill="D9E2F3" w:themeFill="accent1" w:themeFillTint="33"/>
            <w:vAlign w:val="center"/>
          </w:tcPr>
          <w:p w14:paraId="699A9487" w14:textId="77777777" w:rsidR="009B106C" w:rsidRPr="002068B9" w:rsidRDefault="009B106C" w:rsidP="00EC7C0D">
            <w:pPr>
              <w:jc w:val="center"/>
              <w:rPr>
                <w:rFonts w:cstheme="minorHAnsi"/>
                <w:bCs/>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6A40F2CE" w14:textId="77777777" w:rsidR="009B106C" w:rsidRPr="006869D0" w:rsidRDefault="009B106C"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58AFBB07" w14:textId="77777777" w:rsidR="009B106C" w:rsidRPr="006869D0" w:rsidRDefault="009B106C"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68A6CE7D" w14:textId="77777777" w:rsidR="009B106C" w:rsidRPr="00933133" w:rsidRDefault="009B106C" w:rsidP="00EC7C0D">
            <w:pPr>
              <w:jc w:val="center"/>
              <w:rPr>
                <w:b/>
                <w:bCs/>
                <w:highlight w:val="yellow"/>
                <w:lang w:val="mk-MK"/>
              </w:rPr>
            </w:pPr>
            <w:r w:rsidRPr="00933133">
              <w:rPr>
                <w:b/>
                <w:bCs/>
                <w:lang w:val="mk-MK"/>
              </w:rPr>
              <w:t>Крајна вредност</w:t>
            </w:r>
          </w:p>
        </w:tc>
      </w:tr>
      <w:tr w:rsidR="009B106C" w:rsidRPr="00823E83" w14:paraId="29F27C12" w14:textId="77777777" w:rsidTr="00092885">
        <w:tc>
          <w:tcPr>
            <w:tcW w:w="5168" w:type="dxa"/>
            <w:vMerge/>
            <w:shd w:val="clear" w:color="auto" w:fill="D9E2F3" w:themeFill="accent1" w:themeFillTint="33"/>
          </w:tcPr>
          <w:p w14:paraId="292B62E1" w14:textId="77777777" w:rsidR="009B106C" w:rsidRPr="002068B9" w:rsidRDefault="009B106C" w:rsidP="00EC7C0D">
            <w:pPr>
              <w:rPr>
                <w:rFonts w:cstheme="minorHAnsi"/>
                <w:bCs/>
                <w:sz w:val="18"/>
                <w:szCs w:val="18"/>
              </w:rPr>
            </w:pPr>
          </w:p>
        </w:tc>
        <w:tc>
          <w:tcPr>
            <w:tcW w:w="1605" w:type="dxa"/>
            <w:tcBorders>
              <w:top w:val="nil"/>
              <w:right w:val="nil"/>
            </w:tcBorders>
            <w:shd w:val="clear" w:color="auto" w:fill="D9E2F3" w:themeFill="accent1" w:themeFillTint="33"/>
          </w:tcPr>
          <w:p w14:paraId="007D23DD" w14:textId="77777777" w:rsidR="009B106C" w:rsidRPr="006869D0" w:rsidRDefault="009B106C"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5BD58BC2" w14:textId="77777777" w:rsidR="009B106C" w:rsidRPr="006869D0" w:rsidRDefault="009B106C"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2A5F6D57" w14:textId="77777777" w:rsidR="009B106C" w:rsidRPr="00823E83" w:rsidRDefault="009B106C" w:rsidP="00EC7C0D">
            <w:pPr>
              <w:jc w:val="center"/>
              <w:rPr>
                <w:b/>
                <w:bCs/>
                <w:lang w:val="mk-MK"/>
              </w:rPr>
            </w:pPr>
            <w:r w:rsidRPr="00823E83">
              <w:rPr>
                <w:b/>
                <w:bCs/>
                <w:lang w:val="mk-MK"/>
              </w:rPr>
              <w:t>2030</w:t>
            </w:r>
          </w:p>
        </w:tc>
      </w:tr>
      <w:tr w:rsidR="009B106C" w:rsidRPr="004A1C1C" w14:paraId="63B99429" w14:textId="77777777" w:rsidTr="00092885">
        <w:trPr>
          <w:trHeight w:val="413"/>
        </w:trPr>
        <w:tc>
          <w:tcPr>
            <w:tcW w:w="5168" w:type="dxa"/>
            <w:shd w:val="clear" w:color="auto" w:fill="D9E2F3" w:themeFill="accent1" w:themeFillTint="33"/>
          </w:tcPr>
          <w:p w14:paraId="568E93BB" w14:textId="77777777" w:rsidR="009B106C" w:rsidRPr="00775C96" w:rsidRDefault="009B106C" w:rsidP="00EC7C0D">
            <w:pPr>
              <w:rPr>
                <w:rFonts w:cstheme="minorHAnsi"/>
                <w:bCs/>
                <w:sz w:val="20"/>
                <w:szCs w:val="20"/>
              </w:rPr>
            </w:pPr>
            <w:r w:rsidRPr="0074178E">
              <w:rPr>
                <w:rFonts w:cstheme="minorHAnsi"/>
                <w:bCs/>
                <w:iCs/>
                <w:sz w:val="20"/>
                <w:szCs w:val="20"/>
              </w:rPr>
              <w:t>Степен на воспоставена законска и институционална рамка во областа на ИКТ</w:t>
            </w:r>
          </w:p>
        </w:tc>
        <w:tc>
          <w:tcPr>
            <w:tcW w:w="1605" w:type="dxa"/>
            <w:shd w:val="clear" w:color="auto" w:fill="D9E2F3" w:themeFill="accent1" w:themeFillTint="33"/>
            <w:vAlign w:val="center"/>
          </w:tcPr>
          <w:p w14:paraId="36C65AEE" w14:textId="77777777" w:rsidR="009B106C" w:rsidRPr="00775C96" w:rsidRDefault="009B106C" w:rsidP="00EC7C0D">
            <w:pPr>
              <w:jc w:val="center"/>
              <w:rPr>
                <w:rFonts w:cstheme="minorHAnsi"/>
                <w:color w:val="000000"/>
                <w:sz w:val="20"/>
                <w:szCs w:val="20"/>
                <w:lang w:val="mk-MK"/>
              </w:rPr>
            </w:pPr>
            <w:r w:rsidRPr="00775C96">
              <w:rPr>
                <w:rFonts w:cstheme="minorHAnsi"/>
                <w:color w:val="000000"/>
                <w:sz w:val="20"/>
                <w:szCs w:val="20"/>
                <w:lang w:val="mk-MK"/>
              </w:rPr>
              <w:t>0</w:t>
            </w:r>
          </w:p>
        </w:tc>
        <w:tc>
          <w:tcPr>
            <w:tcW w:w="1249" w:type="dxa"/>
            <w:shd w:val="clear" w:color="auto" w:fill="D9E2F3" w:themeFill="accent1" w:themeFillTint="33"/>
            <w:vAlign w:val="center"/>
          </w:tcPr>
          <w:p w14:paraId="729B28CF" w14:textId="77777777" w:rsidR="009B106C" w:rsidRPr="00775C96" w:rsidRDefault="009B106C" w:rsidP="00EC7C0D">
            <w:pPr>
              <w:jc w:val="center"/>
              <w:rPr>
                <w:rFonts w:cstheme="minorHAnsi"/>
                <w:color w:val="000000"/>
                <w:sz w:val="20"/>
                <w:szCs w:val="20"/>
                <w:lang w:val="mk-MK"/>
              </w:rPr>
            </w:pPr>
            <w:r w:rsidRPr="00775C96">
              <w:rPr>
                <w:rFonts w:cstheme="minorHAnsi"/>
                <w:color w:val="000000"/>
                <w:sz w:val="20"/>
                <w:szCs w:val="20"/>
                <w:lang w:val="mk-MK"/>
              </w:rPr>
              <w:t>2</w:t>
            </w:r>
          </w:p>
        </w:tc>
        <w:tc>
          <w:tcPr>
            <w:tcW w:w="1328" w:type="dxa"/>
            <w:shd w:val="clear" w:color="auto" w:fill="D9E2F3" w:themeFill="accent1" w:themeFillTint="33"/>
            <w:vAlign w:val="center"/>
          </w:tcPr>
          <w:p w14:paraId="457990EC" w14:textId="77777777" w:rsidR="009B106C" w:rsidRPr="00775C96" w:rsidRDefault="009B106C" w:rsidP="00EC7C0D">
            <w:pPr>
              <w:jc w:val="center"/>
              <w:rPr>
                <w:rFonts w:cstheme="minorHAnsi"/>
                <w:sz w:val="20"/>
                <w:szCs w:val="20"/>
                <w:lang w:val="mk-MK"/>
              </w:rPr>
            </w:pPr>
            <w:r w:rsidRPr="00775C96">
              <w:rPr>
                <w:rFonts w:cstheme="minorHAnsi"/>
                <w:sz w:val="20"/>
                <w:szCs w:val="20"/>
                <w:lang w:val="mk-MK"/>
              </w:rPr>
              <w:t>3</w:t>
            </w:r>
          </w:p>
        </w:tc>
      </w:tr>
    </w:tbl>
    <w:p w14:paraId="645C3F67" w14:textId="77777777" w:rsidR="00AC4875" w:rsidRDefault="00AC4875" w:rsidP="00AC4875">
      <w:pPr>
        <w:jc w:val="both"/>
        <w:rPr>
          <w:rFonts w:cs="Calibri"/>
        </w:rPr>
      </w:pPr>
    </w:p>
    <w:p w14:paraId="41F9473B" w14:textId="4566A559" w:rsidR="00AC4875" w:rsidRPr="00E402B0" w:rsidRDefault="00AC4875" w:rsidP="00AC4875">
      <w:pPr>
        <w:rPr>
          <w:rFonts w:cs="Calibri"/>
          <w:b/>
          <w:bCs/>
          <w:u w:val="single"/>
        </w:rPr>
      </w:pPr>
      <w:r w:rsidRPr="00E402B0">
        <w:rPr>
          <w:rFonts w:cs="Calibri"/>
          <w:b/>
          <w:bCs/>
          <w:u w:val="single"/>
        </w:rPr>
        <w:lastRenderedPageBreak/>
        <w:t xml:space="preserve">Посебна цел </w:t>
      </w:r>
      <w:r w:rsidR="009B106C">
        <w:rPr>
          <w:rFonts w:cs="Calibri"/>
          <w:b/>
          <w:bCs/>
          <w:u w:val="single"/>
          <w:lang w:val="mk-MK"/>
        </w:rPr>
        <w:t>4.</w:t>
      </w:r>
      <w:r w:rsidRPr="00E402B0">
        <w:rPr>
          <w:rFonts w:cs="Calibri"/>
          <w:b/>
          <w:bCs/>
          <w:u w:val="single"/>
        </w:rPr>
        <w:t>2</w:t>
      </w:r>
      <w:r w:rsidR="009B106C">
        <w:rPr>
          <w:rFonts w:cs="Calibri"/>
          <w:b/>
          <w:bCs/>
          <w:u w:val="single"/>
          <w:lang w:val="mk-MK"/>
        </w:rPr>
        <w:t>.</w:t>
      </w:r>
      <w:r w:rsidRPr="00E402B0">
        <w:rPr>
          <w:rFonts w:cs="Calibri"/>
          <w:b/>
          <w:bCs/>
          <w:u w:val="single"/>
        </w:rPr>
        <w:t>: Зголемен квалитет и достапност до услугите</w:t>
      </w:r>
    </w:p>
    <w:p w14:paraId="19839E25" w14:textId="5F9C8020" w:rsidR="00775C96" w:rsidRPr="00906A55" w:rsidRDefault="00AC4875" w:rsidP="00AC4875">
      <w:pPr>
        <w:jc w:val="both"/>
        <w:rPr>
          <w:rFonts w:cs="Calibri"/>
          <w:lang w:val="mk-MK"/>
        </w:rPr>
      </w:pPr>
      <w:r w:rsidRPr="00906A55">
        <w:rPr>
          <w:rFonts w:cs="Calibri"/>
          <w:lang w:val="mk-MK"/>
        </w:rPr>
        <w:t>Во предвидените мерки и активности ќе биде зголемен бројот на е-услугите, како и квалитетот и достапноста на истите. Преку зголемување на бројот на е-услуги на Националниот портал се врши директна примена на ЗОУП</w:t>
      </w:r>
      <w:r w:rsidR="008A4FA5">
        <w:rPr>
          <w:rFonts w:cs="Calibri"/>
          <w:lang w:val="mk-MK"/>
        </w:rPr>
        <w:t xml:space="preserve">, како што </w:t>
      </w:r>
      <w:r w:rsidRPr="00906A55">
        <w:rPr>
          <w:rFonts w:cs="Calibri"/>
          <w:lang w:val="mk-MK"/>
        </w:rPr>
        <w:t>е предвиден</w:t>
      </w:r>
      <w:r w:rsidR="008A4FA5">
        <w:rPr>
          <w:rFonts w:cs="Calibri"/>
          <w:lang w:val="mk-MK"/>
        </w:rPr>
        <w:t>о</w:t>
      </w:r>
      <w:r w:rsidRPr="00906A55">
        <w:rPr>
          <w:rFonts w:cs="Calibri"/>
          <w:lang w:val="mk-MK"/>
        </w:rPr>
        <w:t xml:space="preserve"> </w:t>
      </w:r>
      <w:r w:rsidR="008A4FA5">
        <w:rPr>
          <w:rFonts w:cs="Calibri"/>
          <w:lang w:val="mk-MK"/>
        </w:rPr>
        <w:t>в</w:t>
      </w:r>
      <w:r w:rsidRPr="00906A55">
        <w:rPr>
          <w:rFonts w:cs="Calibri"/>
          <w:lang w:val="mk-MK"/>
        </w:rPr>
        <w:t xml:space="preserve">о </w:t>
      </w:r>
      <w:r w:rsidR="008A4FA5">
        <w:rPr>
          <w:rFonts w:cs="Calibri"/>
          <w:lang w:val="mk-MK"/>
        </w:rPr>
        <w:t xml:space="preserve">Приоритетна </w:t>
      </w:r>
      <w:r w:rsidRPr="00906A55">
        <w:rPr>
          <w:rFonts w:cs="Calibri"/>
          <w:lang w:val="mk-MK"/>
        </w:rPr>
        <w:t>област</w:t>
      </w:r>
      <w:r w:rsidR="008A4FA5">
        <w:rPr>
          <w:rFonts w:cs="Calibri"/>
          <w:lang w:val="mk-MK"/>
        </w:rPr>
        <w:t xml:space="preserve"> 3:</w:t>
      </w:r>
      <w:r w:rsidRPr="00906A55">
        <w:rPr>
          <w:rFonts w:cs="Calibri"/>
          <w:lang w:val="mk-MK"/>
        </w:rPr>
        <w:t xml:space="preserve"> Одговорност, отчетност и транспарентност.  </w:t>
      </w:r>
    </w:p>
    <w:p w14:paraId="7A67EF54" w14:textId="3824FAE3" w:rsidR="00AC4875" w:rsidRPr="00E402B0" w:rsidRDefault="00AC4875" w:rsidP="00AC4875">
      <w:pPr>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2.</w:t>
      </w:r>
      <w:r w:rsidRPr="00E402B0">
        <w:rPr>
          <w:rFonts w:cs="Calibri"/>
          <w:b/>
          <w:bCs/>
        </w:rPr>
        <w:t>1</w:t>
      </w:r>
      <w:r>
        <w:rPr>
          <w:rFonts w:cs="Calibri"/>
          <w:b/>
          <w:bCs/>
          <w:lang w:val="mk-MK"/>
        </w:rPr>
        <w:t>.</w:t>
      </w:r>
      <w:r w:rsidRPr="00E402B0">
        <w:rPr>
          <w:rFonts w:cs="Calibri"/>
          <w:b/>
          <w:bCs/>
        </w:rPr>
        <w:t xml:space="preserve">: Дигитализирање на регистрите за давање услуги </w:t>
      </w:r>
    </w:p>
    <w:p w14:paraId="005571E4" w14:textId="77777777" w:rsidR="00AC4875" w:rsidRPr="00E402B0" w:rsidRDefault="00AC4875" w:rsidP="00AC4875">
      <w:pPr>
        <w:jc w:val="both"/>
        <w:rPr>
          <w:rFonts w:cs="Calibri"/>
        </w:rPr>
      </w:pPr>
      <w:r w:rsidRPr="00E402B0">
        <w:rPr>
          <w:rFonts w:cs="Calibri"/>
        </w:rPr>
        <w:t xml:space="preserve">Бројните предизвици со кои се соочува администрацијата преку физичкото (хартиено) собирање, обработка и чување на податоци ќе се надмине со воспоставување на дигитални регистри. Дигиталната трансформација и развојот на дигитални услуги не може да се замисли без дигитализирање на хартиените регистри. Имено, преку воспоставување на платформа за дигитални регистри се овозможува лесна миграција, со брз и ефикасен пристап до податоците од регистрите. </w:t>
      </w:r>
    </w:p>
    <w:p w14:paraId="68FEDB6B" w14:textId="58E6C3E9" w:rsidR="00AC4875" w:rsidRPr="00E402B0" w:rsidRDefault="00AC4875" w:rsidP="00AC4875">
      <w:pPr>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2.</w:t>
      </w:r>
      <w:r w:rsidRPr="00E402B0">
        <w:rPr>
          <w:rFonts w:cs="Calibri"/>
          <w:b/>
          <w:bCs/>
        </w:rPr>
        <w:t>2</w:t>
      </w:r>
      <w:r>
        <w:rPr>
          <w:rFonts w:cs="Calibri"/>
          <w:b/>
          <w:bCs/>
          <w:lang w:val="mk-MK"/>
        </w:rPr>
        <w:t>.</w:t>
      </w:r>
      <w:r w:rsidRPr="00E402B0">
        <w:rPr>
          <w:rFonts w:cs="Calibri"/>
          <w:b/>
          <w:bCs/>
        </w:rPr>
        <w:t>: Зголемување на бројот на е-услуги</w:t>
      </w:r>
    </w:p>
    <w:p w14:paraId="14347C6E" w14:textId="77777777" w:rsidR="00AC4875" w:rsidRPr="00E402B0" w:rsidRDefault="00AC4875" w:rsidP="00AC4875">
      <w:pPr>
        <w:jc w:val="both"/>
        <w:rPr>
          <w:rFonts w:cs="Calibri"/>
          <w:b/>
          <w:bCs/>
        </w:rPr>
      </w:pPr>
      <w:r w:rsidRPr="00E402B0">
        <w:rPr>
          <w:rFonts w:cs="Calibri"/>
        </w:rPr>
        <w:t xml:space="preserve">Дигитализацијата на регистрите и лесното следење на активностите од патоказот за дигитализација ќе придонесе до зголемување на </w:t>
      </w:r>
      <w:r w:rsidRPr="00E402B0">
        <w:rPr>
          <w:rFonts w:cs="Calibri"/>
          <w:lang w:val="mk-MK"/>
        </w:rPr>
        <w:t xml:space="preserve">нивото на дигитализација и </w:t>
      </w:r>
      <w:r w:rsidRPr="00E402B0">
        <w:rPr>
          <w:rFonts w:cs="Calibri"/>
        </w:rPr>
        <w:t xml:space="preserve">бројот на е-услуги кои ќе бидат достапни 24/7 за корисниците. Овие активности ќе бидат континуирани, а објавувањето на нови е-услуги на Националниот </w:t>
      </w:r>
      <w:r w:rsidRPr="00E402B0">
        <w:rPr>
          <w:rFonts w:cs="Calibri"/>
          <w:lang w:val="mk-MK"/>
        </w:rPr>
        <w:t>портал</w:t>
      </w:r>
      <w:r w:rsidRPr="00E402B0">
        <w:rPr>
          <w:rFonts w:cs="Calibri"/>
        </w:rPr>
        <w:t xml:space="preserve"> за е-услуги ќе биде цел на сите институции.</w:t>
      </w:r>
    </w:p>
    <w:p w14:paraId="3C9640AF" w14:textId="143AC357" w:rsidR="00AC4875" w:rsidRPr="00E402B0" w:rsidRDefault="00AC4875" w:rsidP="00AC4875">
      <w:pPr>
        <w:jc w:val="both"/>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2.</w:t>
      </w:r>
      <w:r w:rsidRPr="00E402B0">
        <w:rPr>
          <w:rFonts w:cs="Calibri"/>
          <w:b/>
          <w:bCs/>
        </w:rPr>
        <w:t>3</w:t>
      </w:r>
      <w:r>
        <w:rPr>
          <w:rFonts w:cs="Calibri"/>
          <w:b/>
          <w:bCs/>
          <w:lang w:val="mk-MK"/>
        </w:rPr>
        <w:t>.</w:t>
      </w:r>
      <w:r w:rsidRPr="00E402B0">
        <w:rPr>
          <w:rFonts w:cs="Calibri"/>
          <w:b/>
          <w:bCs/>
        </w:rPr>
        <w:t>: Зголемување на бројот на центри „Една точка за услуги“</w:t>
      </w:r>
      <w:r w:rsidR="005C5FE8">
        <w:rPr>
          <w:rFonts w:cs="Calibri"/>
          <w:b/>
          <w:bCs/>
          <w:lang w:val="mk-MK"/>
        </w:rPr>
        <w:t xml:space="preserve"> </w:t>
      </w:r>
      <w:r w:rsidRPr="00E402B0">
        <w:rPr>
          <w:rFonts w:cs="Calibri"/>
          <w:b/>
          <w:bCs/>
        </w:rPr>
        <w:t>и унапредување на едношалтерскиот систем</w:t>
      </w:r>
    </w:p>
    <w:p w14:paraId="6B3C404E" w14:textId="091ED79A" w:rsidR="00AC4875" w:rsidRPr="00E402B0" w:rsidRDefault="00AC4875" w:rsidP="00AC4875">
      <w:pPr>
        <w:spacing w:after="0"/>
        <w:jc w:val="both"/>
        <w:rPr>
          <w:rFonts w:cs="Calibri"/>
        </w:rPr>
      </w:pPr>
      <w:r w:rsidRPr="00E402B0">
        <w:rPr>
          <w:rFonts w:cs="Calibri"/>
        </w:rPr>
        <w:t xml:space="preserve">Иако општата цел е дигитализирана јавна администрација, сепак ова не значи дека сите услуги ќе бидат достапни само дигитално. За граѓаните кои немаат соодветните дигитални вештини ќе биде овозможен пристап до услугите преку центрите „Една точка за </w:t>
      </w:r>
      <w:r w:rsidR="005C5FE8">
        <w:rPr>
          <w:rFonts w:cs="Calibri"/>
        </w:rPr>
        <w:t>услуги</w:t>
      </w:r>
      <w:r w:rsidR="005C5FE8" w:rsidRPr="00E402B0">
        <w:rPr>
          <w:rFonts w:cs="Calibri"/>
        </w:rPr>
        <w:t>“</w:t>
      </w:r>
      <w:r w:rsidRPr="00E402B0">
        <w:rPr>
          <w:rFonts w:cs="Calibri"/>
        </w:rPr>
        <w:t>.</w:t>
      </w:r>
    </w:p>
    <w:p w14:paraId="017BDC29" w14:textId="77777777" w:rsidR="00AC4875" w:rsidRPr="00E402B0" w:rsidRDefault="00AC4875" w:rsidP="00AC4875">
      <w:pPr>
        <w:spacing w:after="0"/>
        <w:jc w:val="center"/>
        <w:rPr>
          <w:rFonts w:cs="Calibri"/>
          <w:b/>
          <w:bCs/>
          <w:lang w:val="mk-MK"/>
        </w:rPr>
      </w:pPr>
    </w:p>
    <w:p w14:paraId="07B9D30F" w14:textId="19984239" w:rsidR="00AC4875" w:rsidRPr="00E402B0" w:rsidRDefault="00AC4875" w:rsidP="00AC4875">
      <w:pPr>
        <w:rPr>
          <w:rFonts w:cs="Calibri"/>
          <w:b/>
          <w:bCs/>
        </w:rPr>
      </w:pPr>
      <w:r w:rsidRPr="00E402B0">
        <w:rPr>
          <w:rFonts w:cs="Calibri"/>
          <w:b/>
          <w:bCs/>
        </w:rPr>
        <w:t>М</w:t>
      </w:r>
      <w:r>
        <w:rPr>
          <w:rFonts w:cs="Calibri"/>
          <w:b/>
          <w:bCs/>
          <w:lang w:val="mk-MK"/>
        </w:rPr>
        <w:t xml:space="preserve"> </w:t>
      </w:r>
      <w:r w:rsidR="009B106C">
        <w:rPr>
          <w:rFonts w:cs="Calibri"/>
          <w:b/>
          <w:bCs/>
          <w:lang w:val="mk-MK"/>
        </w:rPr>
        <w:t>4.</w:t>
      </w:r>
      <w:r>
        <w:rPr>
          <w:rFonts w:cs="Calibri"/>
          <w:b/>
          <w:bCs/>
          <w:lang w:val="mk-MK"/>
        </w:rPr>
        <w:t>2.</w:t>
      </w:r>
      <w:r w:rsidRPr="00E402B0">
        <w:rPr>
          <w:rFonts w:cs="Calibri"/>
          <w:b/>
          <w:bCs/>
        </w:rPr>
        <w:t>4</w:t>
      </w:r>
      <w:r>
        <w:rPr>
          <w:rFonts w:cs="Calibri"/>
          <w:b/>
          <w:bCs/>
          <w:lang w:val="mk-MK"/>
        </w:rPr>
        <w:t>.</w:t>
      </w:r>
      <w:r w:rsidRPr="00E402B0">
        <w:rPr>
          <w:rFonts w:cs="Calibri"/>
          <w:b/>
          <w:bCs/>
        </w:rPr>
        <w:t>: Подобрена пристапност на институциите за лицата со попреченост, возрасни лица, како и лица кои се на ниско ниво на дигитална писменост</w:t>
      </w:r>
    </w:p>
    <w:p w14:paraId="7EE2A8D5" w14:textId="3775BCE7" w:rsidR="00AC4875" w:rsidRPr="00E402B0" w:rsidRDefault="00AC4875" w:rsidP="00AC4875">
      <w:pPr>
        <w:jc w:val="both"/>
        <w:rPr>
          <w:rFonts w:cs="Calibri"/>
          <w:b/>
          <w:bCs/>
        </w:rPr>
      </w:pPr>
      <w:r w:rsidRPr="00E402B0">
        <w:rPr>
          <w:rFonts w:cs="Calibri"/>
        </w:rPr>
        <w:t xml:space="preserve">Дигитализацијата треба да се спроведе со целосна инклузивност, а преку оваа мерка се предвидува да се воспостават </w:t>
      </w:r>
      <w:r w:rsidR="00282815">
        <w:rPr>
          <w:rFonts w:cs="Calibri"/>
          <w:lang w:val="mk-MK"/>
        </w:rPr>
        <w:t xml:space="preserve">и </w:t>
      </w:r>
      <w:r w:rsidRPr="00E402B0">
        <w:rPr>
          <w:rFonts w:cs="Calibri"/>
        </w:rPr>
        <w:t>дигитални асистенти за комуникација со граѓаните и бизнисите.</w:t>
      </w:r>
    </w:p>
    <w:p w14:paraId="5873FC89" w14:textId="5AA69954" w:rsidR="00AC4875" w:rsidRDefault="00AC4875" w:rsidP="00AC4875">
      <w:pPr>
        <w:rPr>
          <w:b/>
          <w:bCs/>
          <w:lang w:val="mk-MK"/>
        </w:rPr>
      </w:pPr>
      <w:r w:rsidRPr="006645C8">
        <w:rPr>
          <w:b/>
          <w:bCs/>
        </w:rPr>
        <w:t>М</w:t>
      </w:r>
      <w:r>
        <w:rPr>
          <w:b/>
          <w:bCs/>
          <w:lang w:val="mk-MK"/>
        </w:rPr>
        <w:t xml:space="preserve"> </w:t>
      </w:r>
      <w:r w:rsidR="009B106C">
        <w:rPr>
          <w:b/>
          <w:bCs/>
          <w:lang w:val="mk-MK"/>
        </w:rPr>
        <w:t>4.</w:t>
      </w:r>
      <w:r>
        <w:rPr>
          <w:b/>
          <w:bCs/>
          <w:lang w:val="mk-MK"/>
        </w:rPr>
        <w:t>2.</w:t>
      </w:r>
      <w:r w:rsidRPr="006645C8">
        <w:rPr>
          <w:b/>
          <w:bCs/>
        </w:rPr>
        <w:t>5</w:t>
      </w:r>
      <w:r>
        <w:rPr>
          <w:b/>
          <w:bCs/>
          <w:lang w:val="mk-MK"/>
        </w:rPr>
        <w:t>.</w:t>
      </w:r>
      <w:r w:rsidRPr="006645C8">
        <w:rPr>
          <w:b/>
          <w:bCs/>
        </w:rPr>
        <w:t>: Унапредена примена на моделите на системот за управување со квалитет</w:t>
      </w:r>
      <w:r>
        <w:rPr>
          <w:b/>
          <w:bCs/>
          <w:lang w:val="mk-MK"/>
        </w:rPr>
        <w:t xml:space="preserve"> и </w:t>
      </w:r>
      <w:r>
        <w:rPr>
          <w:b/>
          <w:bCs/>
        </w:rPr>
        <w:t>м</w:t>
      </w:r>
      <w:r w:rsidRPr="006645C8">
        <w:rPr>
          <w:b/>
          <w:bCs/>
        </w:rPr>
        <w:t xml:space="preserve">ерење на задоволството на корисници </w:t>
      </w:r>
      <w:r>
        <w:rPr>
          <w:b/>
          <w:bCs/>
          <w:lang w:val="mk-MK"/>
        </w:rPr>
        <w:t xml:space="preserve">од </w:t>
      </w:r>
      <w:r w:rsidRPr="006645C8">
        <w:rPr>
          <w:b/>
          <w:bCs/>
        </w:rPr>
        <w:t>услуги</w:t>
      </w:r>
      <w:r>
        <w:rPr>
          <w:b/>
          <w:bCs/>
          <w:lang w:val="mk-MK"/>
        </w:rPr>
        <w:t xml:space="preserve"> на државните органи</w:t>
      </w:r>
    </w:p>
    <w:p w14:paraId="74ABED75" w14:textId="2FC44599" w:rsidR="00AC4875" w:rsidRPr="00906A55" w:rsidRDefault="00282815" w:rsidP="00AC4875">
      <w:pPr>
        <w:jc w:val="both"/>
        <w:rPr>
          <w:lang w:val="mk-MK"/>
        </w:rPr>
      </w:pPr>
      <w:r>
        <w:rPr>
          <w:lang w:val="mk-MK"/>
        </w:rPr>
        <w:t xml:space="preserve">Институциите </w:t>
      </w:r>
      <w:r w:rsidR="00AC4875" w:rsidRPr="00906A55">
        <w:rPr>
          <w:lang w:val="mk-MK"/>
        </w:rPr>
        <w:t>во јавниот сектор се реформираат со цел да се обезбедат подобри, побрзи и побројни услуги за граѓаните и бизнис секторот. Јавниот сектор треба да го зголеми сопствениот капацитет за да може да се фокусира на потребите на граѓанинот/корисникот и да го подобри начинот на кој истите се испорачуваат.</w:t>
      </w:r>
      <w:r w:rsidR="00AC4875" w:rsidRPr="00906A55">
        <w:t xml:space="preserve"> </w:t>
      </w:r>
      <w:r w:rsidR="00AC4875" w:rsidRPr="00906A55">
        <w:rPr>
          <w:lang w:val="mk-MK"/>
        </w:rPr>
        <w:t xml:space="preserve">Сепак, квалитетот, квантитетот и брзината не се единствените </w:t>
      </w:r>
      <w:r w:rsidR="00691C57">
        <w:rPr>
          <w:lang w:val="mk-MK"/>
        </w:rPr>
        <w:t xml:space="preserve">квалитети </w:t>
      </w:r>
      <w:r w:rsidR="00AC4875" w:rsidRPr="00906A55">
        <w:rPr>
          <w:lang w:val="mk-MK"/>
        </w:rPr>
        <w:t>што општеството ги бара од својата влада. Бидејќи текот на општествените промени се забрзува, владите подеднакво треба да бидат способни да одговорат на променливите барања со тоа што ќе понудат нови решенија. Квалитетот, задоволството на корисниците на услугите и постојаното подобрување на институциите стануваат централни елементи во реформите и начините за подобрување на институционалниот капацитет и подобрување на ефикасноста и ефективноста на јавната администрација.</w:t>
      </w:r>
    </w:p>
    <w:p w14:paraId="02C18B9B" w14:textId="77777777" w:rsidR="00AC4875" w:rsidRDefault="00AC4875" w:rsidP="00AC4875">
      <w:pPr>
        <w:jc w:val="both"/>
        <w:rPr>
          <w:b/>
          <w:bCs/>
        </w:rPr>
      </w:pPr>
      <w:r>
        <w:lastRenderedPageBreak/>
        <w:t>Континуираната заложба за подобри институции кои нудат подобри услуги за граѓаните ќе биде следена преку активности во оваа мерка. Предвидено е донесување на Национален план за управување со квалитет</w:t>
      </w:r>
      <w:r>
        <w:rPr>
          <w:lang w:val="mk-MK"/>
        </w:rPr>
        <w:t xml:space="preserve"> 2023-2025 кој ги опфаќа сите активности од областа на управување со квалитет.</w:t>
      </w:r>
      <w:r>
        <w:t xml:space="preserve"> </w:t>
      </w:r>
    </w:p>
    <w:p w14:paraId="56157493" w14:textId="17AEB9C7" w:rsidR="00AC4875" w:rsidRDefault="00AC4875" w:rsidP="00AC4875">
      <w:pPr>
        <w:jc w:val="both"/>
      </w:pPr>
      <w:r>
        <w:t xml:space="preserve">Целиот процес на давање на услуги ќе биде заокружен со континуирано </w:t>
      </w:r>
      <w:r>
        <w:rPr>
          <w:lang w:val="mk-MK"/>
        </w:rPr>
        <w:t xml:space="preserve">мерење </w:t>
      </w:r>
      <w:r>
        <w:t>на задоволството на граѓаните како крајни корисници на услугите</w:t>
      </w:r>
      <w:r>
        <w:rPr>
          <w:lang w:val="mk-MK"/>
        </w:rPr>
        <w:t xml:space="preserve"> кои ги испорачуваат државните органи. </w:t>
      </w:r>
      <w:r w:rsidRPr="005C5FE8">
        <w:rPr>
          <w:rFonts w:eastAsia="Times New Roman" w:cs="Calibri"/>
          <w:lang w:val="mk-MK" w:eastAsia="mk-MK"/>
        </w:rPr>
        <w:t xml:space="preserve">Имплементација на </w:t>
      </w:r>
      <w:r w:rsidR="00691C57">
        <w:rPr>
          <w:rFonts w:eastAsia="Times New Roman" w:cs="Calibri"/>
          <w:lang w:val="mk-MK" w:eastAsia="mk-MK"/>
        </w:rPr>
        <w:t>М</w:t>
      </w:r>
      <w:r w:rsidRPr="005C5FE8">
        <w:rPr>
          <w:rFonts w:eastAsia="Times New Roman" w:cs="Calibri"/>
          <w:lang w:val="mk-MK" w:eastAsia="mk-MK"/>
        </w:rPr>
        <w:t>етодологијата за оценка на квалитетот на работата на институциите  овозможува да се идентификуваат институциите кои добро работат и кои испорачуваат квалитетни услуги, истите да се мотивираат за уште поквалитетно работење, како и да се поттикнат институциите да учат една од друга преку споделување на добрите практики од нивното работење</w:t>
      </w:r>
      <w:r w:rsidRPr="005C5FE8">
        <w:t>.</w:t>
      </w:r>
    </w:p>
    <w:p w14:paraId="10261F3F" w14:textId="0DF782F9" w:rsidR="00AC4875" w:rsidRPr="00E402B0" w:rsidRDefault="00AC4875" w:rsidP="00AC4875">
      <w:pPr>
        <w:rPr>
          <w:rFonts w:cs="Calibri"/>
          <w:b/>
          <w:bCs/>
        </w:rPr>
      </w:pPr>
      <w:r>
        <w:rPr>
          <w:rFonts w:cs="Calibri"/>
          <w:b/>
          <w:bCs/>
        </w:rPr>
        <w:t>М</w:t>
      </w:r>
      <w:r>
        <w:rPr>
          <w:rFonts w:cs="Calibri"/>
          <w:b/>
          <w:bCs/>
          <w:lang w:val="mk-MK"/>
        </w:rPr>
        <w:t xml:space="preserve"> </w:t>
      </w:r>
      <w:r w:rsidR="009B106C">
        <w:rPr>
          <w:rFonts w:cs="Calibri"/>
          <w:b/>
          <w:bCs/>
          <w:lang w:val="mk-MK"/>
        </w:rPr>
        <w:t>4.</w:t>
      </w:r>
      <w:r>
        <w:rPr>
          <w:rFonts w:cs="Calibri"/>
          <w:b/>
          <w:bCs/>
          <w:lang w:val="mk-MK"/>
        </w:rPr>
        <w:t>2.</w:t>
      </w:r>
      <w:r>
        <w:rPr>
          <w:rFonts w:cs="Calibri"/>
          <w:b/>
          <w:bCs/>
        </w:rPr>
        <w:t>6</w:t>
      </w:r>
      <w:r>
        <w:rPr>
          <w:rFonts w:cs="Calibri"/>
          <w:b/>
          <w:bCs/>
          <w:lang w:val="mk-MK"/>
        </w:rPr>
        <w:t>.</w:t>
      </w:r>
      <w:r w:rsidRPr="00E402B0">
        <w:rPr>
          <w:rFonts w:cs="Calibri"/>
          <w:b/>
          <w:bCs/>
        </w:rPr>
        <w:t>: Промоција и информирање на граѓаните и администрацијата за електронски услуги </w:t>
      </w:r>
    </w:p>
    <w:p w14:paraId="3EE508A2" w14:textId="6956AEE1" w:rsidR="00AC4875" w:rsidRDefault="00AC4875" w:rsidP="00775C96">
      <w:pPr>
        <w:spacing w:after="0"/>
        <w:jc w:val="both"/>
        <w:rPr>
          <w:lang w:val="mk-MK"/>
        </w:rPr>
      </w:pPr>
      <w:r w:rsidRPr="00E402B0">
        <w:rPr>
          <w:rFonts w:cs="Calibri"/>
        </w:rPr>
        <w:t xml:space="preserve">Паралелно на овие активности, јавни кампањи, едукативни работилници и промоции за дигиталните услуги ќе бидат спроведени со цел да се подигне </w:t>
      </w:r>
      <w:r w:rsidRPr="00E402B0">
        <w:rPr>
          <w:rFonts w:cs="Calibri"/>
          <w:lang w:val="mk-MK"/>
        </w:rPr>
        <w:t xml:space="preserve">свеста за потребата и користа од примена на </w:t>
      </w:r>
      <w:r w:rsidRPr="00E402B0">
        <w:rPr>
          <w:rFonts w:cs="Calibri"/>
        </w:rPr>
        <w:t>дигитализација</w:t>
      </w:r>
      <w:r w:rsidRPr="00E402B0">
        <w:rPr>
          <w:rFonts w:cs="Calibri"/>
          <w:lang w:val="mk-MK"/>
        </w:rPr>
        <w:t>та</w:t>
      </w:r>
      <w:r w:rsidRPr="00E402B0">
        <w:rPr>
          <w:rFonts w:cs="Calibri"/>
        </w:rPr>
        <w:t xml:space="preserve">. Се разбира, ваков вид на активности ќе треба да бидат преземени и во рамките на </w:t>
      </w:r>
      <w:r w:rsidRPr="00E402B0">
        <w:rPr>
          <w:rFonts w:cs="Calibri"/>
          <w:lang w:val="mk-MK"/>
        </w:rPr>
        <w:t xml:space="preserve">управното судство </w:t>
      </w:r>
      <w:r w:rsidRPr="00E402B0">
        <w:rPr>
          <w:rFonts w:cs="Calibri"/>
        </w:rPr>
        <w:t>во услови на негова поврзаност со институциите од јавната адм</w:t>
      </w:r>
      <w:r>
        <w:rPr>
          <w:rFonts w:cs="Calibri"/>
          <w:lang w:val="mk-MK"/>
        </w:rPr>
        <w:t>инистрација.</w:t>
      </w:r>
    </w:p>
    <w:p w14:paraId="6F878BD7" w14:textId="77777777" w:rsidR="00775C96" w:rsidRDefault="00775C96" w:rsidP="00775C96">
      <w:pPr>
        <w:spacing w:after="0"/>
        <w:jc w:val="both"/>
        <w:rPr>
          <w:lang w:val="mk-MK"/>
        </w:rPr>
      </w:pPr>
    </w:p>
    <w:p w14:paraId="1084E5D2" w14:textId="77777777" w:rsidR="009B106C" w:rsidRDefault="009B106C" w:rsidP="009B106C">
      <w:pPr>
        <w:spacing w:after="0"/>
        <w:jc w:val="both"/>
        <w:rPr>
          <w:lang w:val="mk-MK"/>
        </w:rPr>
      </w:pPr>
      <w:r w:rsidRPr="00C1585A">
        <w:rPr>
          <w:lang w:val="mk-MK"/>
        </w:rPr>
        <w:t>Посебн</w:t>
      </w:r>
      <w:r>
        <w:rPr>
          <w:lang w:val="mk-MK"/>
        </w:rPr>
        <w:t>а</w:t>
      </w:r>
      <w:r w:rsidRPr="00C1585A">
        <w:rPr>
          <w:lang w:val="mk-MK"/>
        </w:rPr>
        <w:t>та</w:t>
      </w:r>
      <w:r>
        <w:rPr>
          <w:lang w:val="mk-MK"/>
        </w:rPr>
        <w:t xml:space="preserve"> цел и мерките за остварување на посебната цел ќе се следат преку следниве показатели на ниво на исход и на резултат:</w:t>
      </w:r>
    </w:p>
    <w:p w14:paraId="0DD35DC0" w14:textId="77777777" w:rsidR="00775C96" w:rsidRDefault="00775C96" w:rsidP="009B106C">
      <w:pPr>
        <w:spacing w:after="0"/>
        <w:jc w:val="both"/>
        <w:rPr>
          <w:lang w:val="mk-MK"/>
        </w:rPr>
      </w:pPr>
    </w:p>
    <w:tbl>
      <w:tblPr>
        <w:tblStyle w:val="TableGrid"/>
        <w:tblW w:w="0" w:type="auto"/>
        <w:tblLook w:val="04A0" w:firstRow="1" w:lastRow="0" w:firstColumn="1" w:lastColumn="0" w:noHBand="0" w:noVBand="1"/>
      </w:tblPr>
      <w:tblGrid>
        <w:gridCol w:w="5168"/>
        <w:gridCol w:w="1605"/>
        <w:gridCol w:w="1249"/>
        <w:gridCol w:w="1328"/>
      </w:tblGrid>
      <w:tr w:rsidR="00775C96" w:rsidRPr="004A1C1C" w14:paraId="169A8598" w14:textId="77777777" w:rsidTr="00092885">
        <w:tc>
          <w:tcPr>
            <w:tcW w:w="9350" w:type="dxa"/>
            <w:gridSpan w:val="4"/>
            <w:tcBorders>
              <w:top w:val="single" w:sz="12" w:space="0" w:color="auto"/>
            </w:tcBorders>
            <w:shd w:val="clear" w:color="auto" w:fill="D9E2F3" w:themeFill="accent1" w:themeFillTint="33"/>
          </w:tcPr>
          <w:p w14:paraId="23372BDD" w14:textId="0D2A0004" w:rsidR="00775C96" w:rsidRPr="004A1C1C" w:rsidRDefault="00775C96" w:rsidP="00EC7C0D">
            <w:pPr>
              <w:jc w:val="both"/>
              <w:rPr>
                <w:rFonts w:cstheme="minorHAnsi"/>
                <w:highlight w:val="yellow"/>
                <w:lang w:val="mk-MK"/>
              </w:rPr>
            </w:pPr>
            <w:r w:rsidRPr="00470192">
              <w:rPr>
                <w:rFonts w:cstheme="minorHAnsi"/>
                <w:b/>
                <w:bCs/>
              </w:rPr>
              <w:t xml:space="preserve">Посебна цел </w:t>
            </w:r>
            <w:r w:rsidRPr="00470192">
              <w:rPr>
                <w:rFonts w:cstheme="minorHAnsi"/>
                <w:b/>
                <w:bCs/>
                <w:lang w:val="mk-MK"/>
              </w:rPr>
              <w:t>4.2</w:t>
            </w:r>
            <w:r w:rsidRPr="00470192">
              <w:rPr>
                <w:rFonts w:cstheme="minorHAnsi"/>
                <w:b/>
                <w:bCs/>
              </w:rPr>
              <w:t>.:</w:t>
            </w:r>
            <w:r w:rsidR="00092885">
              <w:rPr>
                <w:rFonts w:cstheme="minorHAnsi"/>
                <w:b/>
                <w:bCs/>
                <w:lang w:val="mk-MK"/>
              </w:rPr>
              <w:t xml:space="preserve"> </w:t>
            </w:r>
            <w:r w:rsidRPr="004A1C1C">
              <w:rPr>
                <w:rFonts w:cstheme="minorHAnsi"/>
                <w:b/>
                <w:bCs/>
                <w:iCs/>
              </w:rPr>
              <w:t>Зголемен квалитет и достапност до услугите</w:t>
            </w:r>
          </w:p>
        </w:tc>
      </w:tr>
      <w:tr w:rsidR="00775C96" w:rsidRPr="00933133" w14:paraId="7E5E2639" w14:textId="77777777" w:rsidTr="00092885">
        <w:tc>
          <w:tcPr>
            <w:tcW w:w="5168" w:type="dxa"/>
            <w:vMerge w:val="restart"/>
            <w:shd w:val="clear" w:color="auto" w:fill="D9E2F3" w:themeFill="accent1" w:themeFillTint="33"/>
            <w:vAlign w:val="center"/>
          </w:tcPr>
          <w:p w14:paraId="4103D68F" w14:textId="77777777" w:rsidR="00775C96" w:rsidRPr="00933133" w:rsidRDefault="00775C96" w:rsidP="00EC7C0D">
            <w:pPr>
              <w:jc w:val="center"/>
              <w:rPr>
                <w:rFonts w:ascii="Calibri" w:hAnsi="Calibri" w:cs="Calibri"/>
                <w:color w:val="000000"/>
                <w:lang w:val="mk-MK"/>
              </w:rPr>
            </w:pPr>
          </w:p>
          <w:p w14:paraId="4B4B0A95" w14:textId="77777777" w:rsidR="00775C96" w:rsidRPr="00933133" w:rsidRDefault="00775C96" w:rsidP="00EC7C0D">
            <w:pPr>
              <w:jc w:val="center"/>
              <w:rPr>
                <w:rFonts w:ascii="Calibri" w:hAnsi="Calibri" w:cs="Calibri"/>
                <w:b/>
                <w:bCs/>
                <w:color w:val="000000"/>
                <w:lang w:val="mk-MK"/>
              </w:rPr>
            </w:pPr>
            <w:r w:rsidRPr="00933133">
              <w:rPr>
                <w:rFonts w:ascii="Calibri" w:hAnsi="Calibri" w:cs="Calibri"/>
                <w:b/>
                <w:bCs/>
                <w:color w:val="000000"/>
                <w:lang w:val="mk-MK"/>
              </w:rPr>
              <w:t>Показател на исход:</w:t>
            </w:r>
          </w:p>
        </w:tc>
        <w:tc>
          <w:tcPr>
            <w:tcW w:w="1605" w:type="dxa"/>
            <w:tcBorders>
              <w:bottom w:val="nil"/>
              <w:right w:val="nil"/>
            </w:tcBorders>
            <w:shd w:val="clear" w:color="auto" w:fill="D9E2F3" w:themeFill="accent1" w:themeFillTint="33"/>
          </w:tcPr>
          <w:p w14:paraId="18E1DFC8" w14:textId="77777777" w:rsidR="00775C96" w:rsidRPr="00933133" w:rsidRDefault="00775C96" w:rsidP="00EC7C0D">
            <w:pPr>
              <w:jc w:val="center"/>
              <w:rPr>
                <w:rFonts w:ascii="Calibri" w:hAnsi="Calibri" w:cs="Calibri"/>
                <w:color w:val="000000"/>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2C52B37B" w14:textId="77777777" w:rsidR="00775C96" w:rsidRPr="00933133" w:rsidRDefault="00775C96" w:rsidP="00EC7C0D">
            <w:pPr>
              <w:jc w:val="center"/>
              <w:rPr>
                <w:rFonts w:ascii="Calibri" w:hAnsi="Calibri" w:cs="Calibri"/>
                <w:color w:val="000000"/>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7BBC3585" w14:textId="77777777" w:rsidR="00775C96" w:rsidRPr="00933133" w:rsidRDefault="00775C96" w:rsidP="00EC7C0D">
            <w:pPr>
              <w:jc w:val="center"/>
              <w:rPr>
                <w:highlight w:val="yellow"/>
                <w:lang w:val="mk-MK"/>
              </w:rPr>
            </w:pPr>
            <w:r w:rsidRPr="00933133">
              <w:rPr>
                <w:b/>
                <w:bCs/>
                <w:lang w:val="mk-MK"/>
              </w:rPr>
              <w:t>Крајна вредност</w:t>
            </w:r>
          </w:p>
        </w:tc>
      </w:tr>
      <w:tr w:rsidR="00775C96" w:rsidRPr="00823E83" w14:paraId="7D84C832" w14:textId="77777777" w:rsidTr="00092885">
        <w:tc>
          <w:tcPr>
            <w:tcW w:w="5168" w:type="dxa"/>
            <w:vMerge/>
            <w:shd w:val="clear" w:color="auto" w:fill="D9E2F3" w:themeFill="accent1" w:themeFillTint="33"/>
          </w:tcPr>
          <w:p w14:paraId="7CED6319" w14:textId="77777777" w:rsidR="00775C96" w:rsidRPr="00933133" w:rsidRDefault="00775C96" w:rsidP="00EC7C0D">
            <w:pPr>
              <w:rPr>
                <w:rFonts w:ascii="Calibri" w:hAnsi="Calibri" w:cs="Calibri"/>
                <w:color w:val="000000"/>
              </w:rPr>
            </w:pPr>
          </w:p>
        </w:tc>
        <w:tc>
          <w:tcPr>
            <w:tcW w:w="1605" w:type="dxa"/>
            <w:tcBorders>
              <w:top w:val="nil"/>
              <w:right w:val="nil"/>
            </w:tcBorders>
            <w:shd w:val="clear" w:color="auto" w:fill="D9E2F3" w:themeFill="accent1" w:themeFillTint="33"/>
          </w:tcPr>
          <w:p w14:paraId="39FFA2CE" w14:textId="77777777" w:rsidR="00775C96" w:rsidRPr="00933133" w:rsidRDefault="00775C96" w:rsidP="00EC7C0D">
            <w:pPr>
              <w:jc w:val="center"/>
              <w:rPr>
                <w:rFonts w:ascii="Calibri" w:hAnsi="Calibri" w:cs="Calibri"/>
                <w:b/>
                <w:bCs/>
                <w:color w:val="000000"/>
                <w:lang w:val="mk-MK"/>
              </w:rPr>
            </w:pPr>
            <w:r w:rsidRPr="00933133">
              <w:rPr>
                <w:rFonts w:ascii="Calibri" w:hAnsi="Calibri" w:cs="Calibri"/>
                <w:b/>
                <w:bCs/>
                <w:color w:val="000000"/>
                <w:lang w:val="mk-MK"/>
              </w:rPr>
              <w:t>202</w:t>
            </w:r>
            <w:r>
              <w:rPr>
                <w:rFonts w:ascii="Calibri" w:hAnsi="Calibri" w:cs="Calibri"/>
                <w:b/>
                <w:bCs/>
                <w:color w:val="000000"/>
                <w:lang w:val="mk-MK"/>
              </w:rPr>
              <w:t>2</w:t>
            </w:r>
          </w:p>
        </w:tc>
        <w:tc>
          <w:tcPr>
            <w:tcW w:w="1249" w:type="dxa"/>
            <w:tcBorders>
              <w:top w:val="nil"/>
              <w:left w:val="nil"/>
              <w:right w:val="nil"/>
            </w:tcBorders>
            <w:shd w:val="clear" w:color="auto" w:fill="D9E2F3" w:themeFill="accent1" w:themeFillTint="33"/>
          </w:tcPr>
          <w:p w14:paraId="1F1581E5" w14:textId="77777777" w:rsidR="00775C96" w:rsidRPr="00933133" w:rsidRDefault="00775C96" w:rsidP="00EC7C0D">
            <w:pPr>
              <w:jc w:val="center"/>
              <w:rPr>
                <w:rFonts w:ascii="Calibri" w:hAnsi="Calibri" w:cs="Calibri"/>
                <w:b/>
                <w:bCs/>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1724E57E" w14:textId="77777777" w:rsidR="00775C96" w:rsidRPr="00823E83" w:rsidRDefault="00775C96" w:rsidP="00EC7C0D">
            <w:pPr>
              <w:jc w:val="center"/>
              <w:rPr>
                <w:b/>
                <w:bCs/>
                <w:lang w:val="mk-MK"/>
              </w:rPr>
            </w:pPr>
            <w:r w:rsidRPr="00823E83">
              <w:rPr>
                <w:b/>
                <w:bCs/>
                <w:lang w:val="mk-MK"/>
              </w:rPr>
              <w:t>2030</w:t>
            </w:r>
          </w:p>
        </w:tc>
      </w:tr>
      <w:tr w:rsidR="00775C96" w:rsidRPr="004A1C1C" w14:paraId="6CC149D2" w14:textId="77777777" w:rsidTr="00092885">
        <w:trPr>
          <w:trHeight w:val="602"/>
        </w:trPr>
        <w:tc>
          <w:tcPr>
            <w:tcW w:w="5168" w:type="dxa"/>
            <w:shd w:val="clear" w:color="auto" w:fill="D9E2F3" w:themeFill="accent1" w:themeFillTint="33"/>
          </w:tcPr>
          <w:p w14:paraId="6A01138F" w14:textId="77777777" w:rsidR="00775C96" w:rsidRPr="005C5FE8" w:rsidRDefault="00775C96" w:rsidP="00EC7C0D">
            <w:pPr>
              <w:rPr>
                <w:rFonts w:cstheme="minorHAnsi"/>
                <w:sz w:val="20"/>
                <w:szCs w:val="20"/>
              </w:rPr>
            </w:pPr>
            <w:r w:rsidRPr="005C5FE8">
              <w:rPr>
                <w:rFonts w:cstheme="minorHAnsi"/>
                <w:bCs/>
                <w:iCs/>
                <w:sz w:val="20"/>
                <w:szCs w:val="20"/>
              </w:rPr>
              <w:t>Процент на граѓани кои користат електронски услуги (истражување на јавното мислење на Балкан барометар)</w:t>
            </w:r>
          </w:p>
        </w:tc>
        <w:tc>
          <w:tcPr>
            <w:tcW w:w="1605" w:type="dxa"/>
            <w:shd w:val="clear" w:color="auto" w:fill="D9E2F3" w:themeFill="accent1" w:themeFillTint="33"/>
            <w:vAlign w:val="center"/>
          </w:tcPr>
          <w:p w14:paraId="46583648" w14:textId="77777777" w:rsidR="00775C96" w:rsidRPr="004A1C1C" w:rsidRDefault="00775C96" w:rsidP="00EC7C0D">
            <w:pPr>
              <w:jc w:val="center"/>
              <w:rPr>
                <w:rFonts w:cstheme="minorHAnsi"/>
                <w:color w:val="000000"/>
                <w:sz w:val="20"/>
                <w:szCs w:val="20"/>
                <w:lang w:val="mk-MK"/>
              </w:rPr>
            </w:pPr>
            <w:r w:rsidRPr="004A1C1C">
              <w:rPr>
                <w:rFonts w:cstheme="minorHAnsi"/>
                <w:color w:val="000000"/>
                <w:sz w:val="20"/>
                <w:szCs w:val="20"/>
                <w:lang w:val="mk-MK"/>
              </w:rPr>
              <w:t>22%</w:t>
            </w:r>
          </w:p>
        </w:tc>
        <w:tc>
          <w:tcPr>
            <w:tcW w:w="1249" w:type="dxa"/>
            <w:shd w:val="clear" w:color="auto" w:fill="D9E2F3" w:themeFill="accent1" w:themeFillTint="33"/>
            <w:vAlign w:val="center"/>
          </w:tcPr>
          <w:p w14:paraId="4127401F" w14:textId="77777777" w:rsidR="00775C96" w:rsidRPr="004A1C1C" w:rsidRDefault="00775C96" w:rsidP="00EC7C0D">
            <w:pPr>
              <w:jc w:val="center"/>
              <w:rPr>
                <w:rFonts w:cstheme="minorHAnsi"/>
                <w:color w:val="000000"/>
                <w:sz w:val="20"/>
                <w:szCs w:val="20"/>
                <w:lang w:val="mk-MK"/>
              </w:rPr>
            </w:pPr>
            <w:r w:rsidRPr="004A1C1C">
              <w:rPr>
                <w:rFonts w:cstheme="minorHAnsi"/>
                <w:color w:val="000000"/>
                <w:sz w:val="20"/>
                <w:szCs w:val="20"/>
                <w:lang w:val="mk-MK"/>
              </w:rPr>
              <w:t>30%</w:t>
            </w:r>
          </w:p>
        </w:tc>
        <w:tc>
          <w:tcPr>
            <w:tcW w:w="1328" w:type="dxa"/>
            <w:shd w:val="clear" w:color="auto" w:fill="D9E2F3" w:themeFill="accent1" w:themeFillTint="33"/>
            <w:vAlign w:val="center"/>
          </w:tcPr>
          <w:p w14:paraId="19D3C88B" w14:textId="77777777" w:rsidR="00775C96" w:rsidRPr="004A1C1C" w:rsidRDefault="00775C96" w:rsidP="00EC7C0D">
            <w:pPr>
              <w:jc w:val="center"/>
              <w:rPr>
                <w:rFonts w:cstheme="minorHAnsi"/>
                <w:sz w:val="20"/>
                <w:szCs w:val="20"/>
                <w:lang w:val="mk-MK"/>
              </w:rPr>
            </w:pPr>
            <w:r w:rsidRPr="004A1C1C">
              <w:rPr>
                <w:rFonts w:cstheme="minorHAnsi"/>
                <w:sz w:val="20"/>
                <w:szCs w:val="20"/>
                <w:lang w:val="mk-MK"/>
              </w:rPr>
              <w:t>60%</w:t>
            </w:r>
          </w:p>
        </w:tc>
      </w:tr>
      <w:tr w:rsidR="00775C96" w:rsidRPr="00470192" w14:paraId="54CAB573" w14:textId="77777777" w:rsidTr="00092885">
        <w:trPr>
          <w:trHeight w:val="530"/>
        </w:trPr>
        <w:tc>
          <w:tcPr>
            <w:tcW w:w="5168" w:type="dxa"/>
            <w:shd w:val="clear" w:color="auto" w:fill="D9E2F3" w:themeFill="accent1" w:themeFillTint="33"/>
          </w:tcPr>
          <w:p w14:paraId="4E39E883" w14:textId="77777777" w:rsidR="00775C96" w:rsidRPr="005C5FE8" w:rsidRDefault="00775C96" w:rsidP="00EC7C0D">
            <w:pPr>
              <w:rPr>
                <w:rFonts w:cstheme="minorHAnsi"/>
                <w:bCs/>
                <w:iCs/>
                <w:sz w:val="20"/>
                <w:szCs w:val="20"/>
              </w:rPr>
            </w:pPr>
            <w:r w:rsidRPr="005C5FE8">
              <w:rPr>
                <w:rFonts w:cstheme="minorHAnsi"/>
                <w:bCs/>
                <w:iCs/>
                <w:sz w:val="20"/>
                <w:szCs w:val="20"/>
              </w:rPr>
              <w:t>Број на едношалтерски услуги</w:t>
            </w:r>
          </w:p>
        </w:tc>
        <w:tc>
          <w:tcPr>
            <w:tcW w:w="1605" w:type="dxa"/>
            <w:shd w:val="clear" w:color="auto" w:fill="D9E2F3" w:themeFill="accent1" w:themeFillTint="33"/>
            <w:vAlign w:val="center"/>
          </w:tcPr>
          <w:p w14:paraId="1E99C0BC"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83</w:t>
            </w:r>
          </w:p>
        </w:tc>
        <w:tc>
          <w:tcPr>
            <w:tcW w:w="1249" w:type="dxa"/>
            <w:shd w:val="clear" w:color="auto" w:fill="D9E2F3" w:themeFill="accent1" w:themeFillTint="33"/>
            <w:vAlign w:val="center"/>
          </w:tcPr>
          <w:p w14:paraId="0B83A94B"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120</w:t>
            </w:r>
          </w:p>
        </w:tc>
        <w:tc>
          <w:tcPr>
            <w:tcW w:w="1328" w:type="dxa"/>
            <w:shd w:val="clear" w:color="auto" w:fill="D9E2F3" w:themeFill="accent1" w:themeFillTint="33"/>
            <w:vAlign w:val="center"/>
          </w:tcPr>
          <w:p w14:paraId="5502502D" w14:textId="77777777" w:rsidR="00775C96" w:rsidRPr="00470192" w:rsidRDefault="00775C96" w:rsidP="00EC7C0D">
            <w:pPr>
              <w:jc w:val="center"/>
              <w:rPr>
                <w:rFonts w:cstheme="minorHAnsi"/>
                <w:sz w:val="20"/>
                <w:szCs w:val="20"/>
                <w:lang w:val="mk-MK"/>
              </w:rPr>
            </w:pPr>
            <w:r w:rsidRPr="00470192">
              <w:rPr>
                <w:rFonts w:cstheme="minorHAnsi"/>
                <w:sz w:val="20"/>
                <w:szCs w:val="20"/>
                <w:lang w:val="mk-MK"/>
              </w:rPr>
              <w:t>300</w:t>
            </w:r>
          </w:p>
        </w:tc>
      </w:tr>
      <w:tr w:rsidR="00775C96" w:rsidRPr="00470192" w14:paraId="319D4136" w14:textId="77777777" w:rsidTr="00092885">
        <w:tc>
          <w:tcPr>
            <w:tcW w:w="9350" w:type="dxa"/>
            <w:gridSpan w:val="4"/>
            <w:shd w:val="clear" w:color="auto" w:fill="D9E2F3" w:themeFill="accent1" w:themeFillTint="33"/>
          </w:tcPr>
          <w:p w14:paraId="7F9FD437" w14:textId="77777777" w:rsidR="00775C96" w:rsidRPr="005C5FE8" w:rsidRDefault="00775C96" w:rsidP="00EC7C0D">
            <w:pPr>
              <w:suppressAutoHyphens/>
              <w:jc w:val="both"/>
              <w:rPr>
                <w:rFonts w:eastAsia="Times New Roman" w:cstheme="minorHAnsi"/>
                <w:b/>
                <w:bCs/>
                <w:iCs/>
                <w:lang w:val="mk-MK"/>
              </w:rPr>
            </w:pPr>
            <w:r w:rsidRPr="005C5FE8">
              <w:rPr>
                <w:rFonts w:eastAsia="Times New Roman" w:cstheme="minorHAnsi"/>
                <w:b/>
                <w:bCs/>
                <w:iCs/>
                <w:lang w:val="sr-Cyrl-RS"/>
              </w:rPr>
              <w:t xml:space="preserve">Мерка 4.2.1 </w:t>
            </w:r>
            <w:r w:rsidRPr="005C5FE8">
              <w:rPr>
                <w:rFonts w:eastAsia="Times New Roman" w:cstheme="minorHAnsi"/>
                <w:b/>
                <w:bCs/>
                <w:iCs/>
                <w:lang w:val="mk-MK"/>
              </w:rPr>
              <w:t>Дигитализирање на регистрите за давање услуги</w:t>
            </w:r>
          </w:p>
        </w:tc>
      </w:tr>
      <w:tr w:rsidR="00775C96" w:rsidRPr="00186921" w14:paraId="701BDB40" w14:textId="77777777" w:rsidTr="00092885">
        <w:tc>
          <w:tcPr>
            <w:tcW w:w="5168" w:type="dxa"/>
            <w:vMerge w:val="restart"/>
            <w:shd w:val="clear" w:color="auto" w:fill="D9E2F3" w:themeFill="accent1" w:themeFillTint="33"/>
            <w:vAlign w:val="center"/>
          </w:tcPr>
          <w:p w14:paraId="78DB7893"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16AD95F1"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1C5DFFD1"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5D2BB06B"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2F5FE4DF" w14:textId="77777777" w:rsidTr="00092885">
        <w:tc>
          <w:tcPr>
            <w:tcW w:w="5168" w:type="dxa"/>
            <w:vMerge/>
            <w:shd w:val="clear" w:color="auto" w:fill="D9E2F3" w:themeFill="accent1" w:themeFillTint="33"/>
          </w:tcPr>
          <w:p w14:paraId="77B7130B"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4562834F"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6F544058"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0E355739" w14:textId="77777777" w:rsidR="00775C96" w:rsidRPr="00823E83" w:rsidRDefault="00775C96" w:rsidP="00EC7C0D">
            <w:pPr>
              <w:jc w:val="center"/>
              <w:rPr>
                <w:lang w:val="mk-MK"/>
              </w:rPr>
            </w:pPr>
            <w:r w:rsidRPr="00823E83">
              <w:rPr>
                <w:b/>
                <w:bCs/>
                <w:lang w:val="mk-MK"/>
              </w:rPr>
              <w:t>2030</w:t>
            </w:r>
          </w:p>
        </w:tc>
      </w:tr>
      <w:tr w:rsidR="00775C96" w:rsidRPr="00470192" w14:paraId="47D94EEC" w14:textId="77777777" w:rsidTr="00092885">
        <w:trPr>
          <w:trHeight w:val="422"/>
        </w:trPr>
        <w:tc>
          <w:tcPr>
            <w:tcW w:w="5168" w:type="dxa"/>
            <w:shd w:val="clear" w:color="auto" w:fill="D9E2F3" w:themeFill="accent1" w:themeFillTint="33"/>
          </w:tcPr>
          <w:p w14:paraId="0CDC1D93" w14:textId="77777777" w:rsidR="00775C96" w:rsidRPr="00470192" w:rsidRDefault="00775C96" w:rsidP="00EC7C0D">
            <w:pPr>
              <w:rPr>
                <w:rFonts w:cstheme="minorHAnsi"/>
                <w:sz w:val="20"/>
                <w:szCs w:val="20"/>
              </w:rPr>
            </w:pPr>
            <w:r w:rsidRPr="005C5FE8">
              <w:rPr>
                <w:rFonts w:cstheme="minorHAnsi"/>
                <w:bCs/>
                <w:iCs/>
                <w:sz w:val="20"/>
                <w:szCs w:val="20"/>
              </w:rPr>
              <w:t>Број на воспоставени дигитални регистри</w:t>
            </w:r>
          </w:p>
        </w:tc>
        <w:tc>
          <w:tcPr>
            <w:tcW w:w="1605" w:type="dxa"/>
            <w:shd w:val="clear" w:color="auto" w:fill="D9E2F3" w:themeFill="accent1" w:themeFillTint="33"/>
            <w:vAlign w:val="center"/>
          </w:tcPr>
          <w:p w14:paraId="73674CB8"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0</w:t>
            </w:r>
          </w:p>
        </w:tc>
        <w:tc>
          <w:tcPr>
            <w:tcW w:w="1249" w:type="dxa"/>
            <w:shd w:val="clear" w:color="auto" w:fill="D9E2F3" w:themeFill="accent1" w:themeFillTint="33"/>
            <w:vAlign w:val="center"/>
          </w:tcPr>
          <w:p w14:paraId="5CF71126"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7</w:t>
            </w:r>
          </w:p>
        </w:tc>
        <w:tc>
          <w:tcPr>
            <w:tcW w:w="1328" w:type="dxa"/>
            <w:shd w:val="clear" w:color="auto" w:fill="D9E2F3" w:themeFill="accent1" w:themeFillTint="33"/>
            <w:vAlign w:val="center"/>
          </w:tcPr>
          <w:p w14:paraId="0D59C4A3" w14:textId="77777777" w:rsidR="00775C96" w:rsidRPr="00470192" w:rsidRDefault="00775C96" w:rsidP="00EC7C0D">
            <w:pPr>
              <w:jc w:val="center"/>
              <w:rPr>
                <w:rFonts w:cstheme="minorHAnsi"/>
                <w:sz w:val="20"/>
                <w:szCs w:val="20"/>
                <w:lang w:val="mk-MK"/>
              </w:rPr>
            </w:pPr>
            <w:r w:rsidRPr="00470192">
              <w:rPr>
                <w:rFonts w:cstheme="minorHAnsi"/>
                <w:sz w:val="20"/>
                <w:szCs w:val="20"/>
                <w:lang w:val="mk-MK"/>
              </w:rPr>
              <w:t>12</w:t>
            </w:r>
          </w:p>
        </w:tc>
      </w:tr>
      <w:tr w:rsidR="00775C96" w:rsidRPr="00470192" w14:paraId="2CDFDF44" w14:textId="77777777" w:rsidTr="00092885">
        <w:tc>
          <w:tcPr>
            <w:tcW w:w="9350" w:type="dxa"/>
            <w:gridSpan w:val="4"/>
            <w:shd w:val="clear" w:color="auto" w:fill="D9E2F3" w:themeFill="accent1" w:themeFillTint="33"/>
          </w:tcPr>
          <w:p w14:paraId="76B585ED" w14:textId="77777777" w:rsidR="00775C96" w:rsidRPr="00470192" w:rsidRDefault="00775C96" w:rsidP="00EC7C0D">
            <w:pPr>
              <w:jc w:val="both"/>
              <w:rPr>
                <w:rFonts w:cstheme="minorHAnsi"/>
                <w:b/>
                <w:bCs/>
                <w:highlight w:val="yellow"/>
                <w:lang w:val="mk-MK"/>
              </w:rPr>
            </w:pPr>
            <w:r w:rsidRPr="005C5FE8">
              <w:rPr>
                <w:rFonts w:eastAsia="Calibri" w:cstheme="minorHAnsi"/>
                <w:b/>
                <w:bCs/>
                <w:iCs/>
                <w:lang w:val="sr-Cyrl-RS"/>
              </w:rPr>
              <w:t xml:space="preserve">Мерка 4.2.2 </w:t>
            </w:r>
            <w:r w:rsidRPr="005C5FE8">
              <w:rPr>
                <w:rFonts w:eastAsia="Calibri" w:cstheme="minorHAnsi"/>
                <w:b/>
                <w:bCs/>
                <w:iCs/>
              </w:rPr>
              <w:t>Зголемување на бројот на е-услуги</w:t>
            </w:r>
          </w:p>
        </w:tc>
      </w:tr>
      <w:tr w:rsidR="00775C96" w:rsidRPr="00186921" w14:paraId="6DAFBBD8" w14:textId="77777777" w:rsidTr="00092885">
        <w:tc>
          <w:tcPr>
            <w:tcW w:w="5168" w:type="dxa"/>
            <w:vMerge w:val="restart"/>
            <w:shd w:val="clear" w:color="auto" w:fill="D9E2F3" w:themeFill="accent1" w:themeFillTint="33"/>
            <w:vAlign w:val="center"/>
          </w:tcPr>
          <w:p w14:paraId="23850B72"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4214E2CA"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364D3913"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4B9351A3"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50E7BCA4" w14:textId="77777777" w:rsidTr="00092885">
        <w:tc>
          <w:tcPr>
            <w:tcW w:w="5168" w:type="dxa"/>
            <w:vMerge/>
            <w:shd w:val="clear" w:color="auto" w:fill="D9E2F3" w:themeFill="accent1" w:themeFillTint="33"/>
          </w:tcPr>
          <w:p w14:paraId="09C64150"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15C446A6"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25D704B4"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44DC4249" w14:textId="77777777" w:rsidR="00775C96" w:rsidRPr="00823E83" w:rsidRDefault="00775C96" w:rsidP="00EC7C0D">
            <w:pPr>
              <w:jc w:val="center"/>
              <w:rPr>
                <w:lang w:val="mk-MK"/>
              </w:rPr>
            </w:pPr>
            <w:r w:rsidRPr="00823E83">
              <w:rPr>
                <w:b/>
                <w:bCs/>
                <w:lang w:val="mk-MK"/>
              </w:rPr>
              <w:t>2030</w:t>
            </w:r>
          </w:p>
        </w:tc>
      </w:tr>
      <w:tr w:rsidR="00775C96" w:rsidRPr="00470192" w14:paraId="298362D1" w14:textId="77777777" w:rsidTr="00092885">
        <w:trPr>
          <w:trHeight w:val="503"/>
        </w:trPr>
        <w:tc>
          <w:tcPr>
            <w:tcW w:w="5168" w:type="dxa"/>
            <w:shd w:val="clear" w:color="auto" w:fill="D9E2F3" w:themeFill="accent1" w:themeFillTint="33"/>
          </w:tcPr>
          <w:p w14:paraId="653CBC6A" w14:textId="70F8A3AB" w:rsidR="00775C96" w:rsidRPr="00976FFF" w:rsidRDefault="00775C96" w:rsidP="00EC7C0D">
            <w:pPr>
              <w:rPr>
                <w:rFonts w:cstheme="minorHAnsi"/>
                <w:sz w:val="20"/>
                <w:szCs w:val="20"/>
              </w:rPr>
            </w:pPr>
            <w:r w:rsidRPr="00976FFF">
              <w:rPr>
                <w:rFonts w:eastAsia="Calibri" w:cstheme="minorHAnsi"/>
                <w:iCs/>
                <w:sz w:val="20"/>
                <w:szCs w:val="20"/>
              </w:rPr>
              <w:t>Број на еУслуги на Националниот портал за еУслуги</w:t>
            </w:r>
          </w:p>
        </w:tc>
        <w:tc>
          <w:tcPr>
            <w:tcW w:w="1605" w:type="dxa"/>
            <w:shd w:val="clear" w:color="auto" w:fill="D9E2F3" w:themeFill="accent1" w:themeFillTint="33"/>
            <w:vAlign w:val="center"/>
          </w:tcPr>
          <w:p w14:paraId="66150A5E" w14:textId="42578875" w:rsidR="00775C96" w:rsidRPr="00470192" w:rsidRDefault="00976FFF" w:rsidP="00EC7C0D">
            <w:pPr>
              <w:jc w:val="center"/>
              <w:rPr>
                <w:rFonts w:cstheme="minorHAnsi"/>
                <w:color w:val="000000"/>
                <w:sz w:val="20"/>
                <w:szCs w:val="20"/>
                <w:lang w:val="mk-MK"/>
              </w:rPr>
            </w:pPr>
            <w:r>
              <w:rPr>
                <w:rFonts w:cstheme="minorHAnsi"/>
                <w:color w:val="000000"/>
                <w:sz w:val="20"/>
                <w:szCs w:val="20"/>
                <w:lang w:val="mk-MK"/>
              </w:rPr>
              <w:t>95</w:t>
            </w:r>
          </w:p>
        </w:tc>
        <w:tc>
          <w:tcPr>
            <w:tcW w:w="1249" w:type="dxa"/>
            <w:shd w:val="clear" w:color="auto" w:fill="D9E2F3" w:themeFill="accent1" w:themeFillTint="33"/>
            <w:vAlign w:val="center"/>
          </w:tcPr>
          <w:p w14:paraId="503BAC83"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302</w:t>
            </w:r>
          </w:p>
        </w:tc>
        <w:tc>
          <w:tcPr>
            <w:tcW w:w="1328" w:type="dxa"/>
            <w:shd w:val="clear" w:color="auto" w:fill="D9E2F3" w:themeFill="accent1" w:themeFillTint="33"/>
            <w:vAlign w:val="center"/>
          </w:tcPr>
          <w:p w14:paraId="1C55FACE" w14:textId="77777777" w:rsidR="00775C96" w:rsidRPr="005C5FE8" w:rsidRDefault="00775C96" w:rsidP="00EC7C0D">
            <w:pPr>
              <w:jc w:val="center"/>
              <w:rPr>
                <w:rFonts w:cstheme="minorHAnsi"/>
                <w:bCs/>
                <w:sz w:val="20"/>
                <w:szCs w:val="20"/>
                <w:lang w:val="mk-MK"/>
              </w:rPr>
            </w:pPr>
            <w:r w:rsidRPr="005C5FE8">
              <w:rPr>
                <w:rFonts w:cstheme="minorHAnsi"/>
                <w:bCs/>
                <w:sz w:val="20"/>
                <w:szCs w:val="20"/>
                <w:lang w:val="mk-MK"/>
              </w:rPr>
              <w:t>500</w:t>
            </w:r>
          </w:p>
        </w:tc>
      </w:tr>
      <w:tr w:rsidR="00775C96" w:rsidRPr="00470192" w14:paraId="393D19E0" w14:textId="77777777" w:rsidTr="00092885">
        <w:tc>
          <w:tcPr>
            <w:tcW w:w="9350" w:type="dxa"/>
            <w:gridSpan w:val="4"/>
            <w:shd w:val="clear" w:color="auto" w:fill="D9E2F3" w:themeFill="accent1" w:themeFillTint="33"/>
          </w:tcPr>
          <w:p w14:paraId="3072A552" w14:textId="77777777" w:rsidR="00775C96" w:rsidRPr="00976FFF" w:rsidRDefault="00775C96" w:rsidP="00EC7C0D">
            <w:pPr>
              <w:suppressAutoHyphens/>
              <w:jc w:val="both"/>
              <w:rPr>
                <w:rFonts w:eastAsia="Calibri" w:cstheme="minorHAnsi"/>
                <w:b/>
                <w:bCs/>
                <w:iCs/>
                <w:lang w:val="mk-MK" w:eastAsia="en-GB"/>
              </w:rPr>
            </w:pPr>
            <w:r w:rsidRPr="00976FFF">
              <w:rPr>
                <w:rFonts w:eastAsia="Calibri" w:cstheme="minorHAnsi"/>
                <w:b/>
                <w:bCs/>
                <w:iCs/>
                <w:lang w:val="sr-Cyrl-RS" w:eastAsia="en-GB"/>
              </w:rPr>
              <w:t xml:space="preserve">4.2.3 </w:t>
            </w:r>
            <w:r w:rsidRPr="00976FFF">
              <w:rPr>
                <w:rFonts w:eastAsia="Calibri" w:cstheme="minorHAnsi"/>
                <w:b/>
                <w:bCs/>
                <w:iCs/>
                <w:lang w:val="mk-MK" w:eastAsia="en-GB"/>
              </w:rPr>
              <w:t>Зголемување на бројот на центрите „Една точка за услуги - ЕТУ“ и унапредување на едношалтерскиот систем</w:t>
            </w:r>
          </w:p>
        </w:tc>
      </w:tr>
      <w:tr w:rsidR="00775C96" w:rsidRPr="00186921" w14:paraId="56B8FF65" w14:textId="77777777" w:rsidTr="00092885">
        <w:tc>
          <w:tcPr>
            <w:tcW w:w="5168" w:type="dxa"/>
            <w:vMerge w:val="restart"/>
            <w:shd w:val="clear" w:color="auto" w:fill="D9E2F3" w:themeFill="accent1" w:themeFillTint="33"/>
            <w:vAlign w:val="center"/>
          </w:tcPr>
          <w:p w14:paraId="78166D1B"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0F6490A2"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200D5904"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3B1CB0D7"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2AF7973A" w14:textId="77777777" w:rsidTr="00092885">
        <w:tc>
          <w:tcPr>
            <w:tcW w:w="5168" w:type="dxa"/>
            <w:vMerge/>
            <w:shd w:val="clear" w:color="auto" w:fill="BDD6EE" w:themeFill="accent5" w:themeFillTint="66"/>
          </w:tcPr>
          <w:p w14:paraId="122AB6FC"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0BBAAD9A"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13A2AE70"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630AA8B8" w14:textId="77777777" w:rsidR="00775C96" w:rsidRPr="00823E83" w:rsidRDefault="00775C96" w:rsidP="00EC7C0D">
            <w:pPr>
              <w:jc w:val="center"/>
              <w:rPr>
                <w:lang w:val="mk-MK"/>
              </w:rPr>
            </w:pPr>
            <w:r w:rsidRPr="00823E83">
              <w:rPr>
                <w:b/>
                <w:bCs/>
                <w:lang w:val="mk-MK"/>
              </w:rPr>
              <w:t>2030</w:t>
            </w:r>
          </w:p>
        </w:tc>
      </w:tr>
      <w:tr w:rsidR="00775C96" w:rsidRPr="00470192" w14:paraId="58C8CEAA" w14:textId="77777777" w:rsidTr="00092885">
        <w:trPr>
          <w:trHeight w:val="512"/>
        </w:trPr>
        <w:tc>
          <w:tcPr>
            <w:tcW w:w="5168" w:type="dxa"/>
            <w:shd w:val="clear" w:color="auto" w:fill="D9E2F3" w:themeFill="accent1" w:themeFillTint="33"/>
          </w:tcPr>
          <w:p w14:paraId="777153A0" w14:textId="2D104DD3" w:rsidR="00775C96" w:rsidRPr="00902252" w:rsidRDefault="00775C96" w:rsidP="00EC7C0D">
            <w:pPr>
              <w:rPr>
                <w:rFonts w:cstheme="minorHAnsi"/>
                <w:sz w:val="20"/>
                <w:szCs w:val="20"/>
                <w:lang w:val="mk-MK"/>
              </w:rPr>
            </w:pPr>
            <w:r w:rsidRPr="005C5FE8">
              <w:rPr>
                <w:rFonts w:eastAsia="Calibri" w:cstheme="minorHAnsi"/>
                <w:iCs/>
                <w:sz w:val="20"/>
                <w:szCs w:val="20"/>
              </w:rPr>
              <w:lastRenderedPageBreak/>
              <w:t>Број на ЕТУ – едношалтерски точки</w:t>
            </w:r>
          </w:p>
        </w:tc>
        <w:tc>
          <w:tcPr>
            <w:tcW w:w="1605" w:type="dxa"/>
            <w:shd w:val="clear" w:color="auto" w:fill="D9E2F3" w:themeFill="accent1" w:themeFillTint="33"/>
            <w:vAlign w:val="center"/>
          </w:tcPr>
          <w:p w14:paraId="51A20CDF"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5</w:t>
            </w:r>
          </w:p>
        </w:tc>
        <w:tc>
          <w:tcPr>
            <w:tcW w:w="1249" w:type="dxa"/>
            <w:shd w:val="clear" w:color="auto" w:fill="D9E2F3" w:themeFill="accent1" w:themeFillTint="33"/>
            <w:vAlign w:val="center"/>
          </w:tcPr>
          <w:p w14:paraId="50D4A8A5"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8</w:t>
            </w:r>
          </w:p>
        </w:tc>
        <w:tc>
          <w:tcPr>
            <w:tcW w:w="1328" w:type="dxa"/>
            <w:shd w:val="clear" w:color="auto" w:fill="D9E2F3" w:themeFill="accent1" w:themeFillTint="33"/>
            <w:vAlign w:val="center"/>
          </w:tcPr>
          <w:p w14:paraId="09568F6C" w14:textId="77777777" w:rsidR="00775C96" w:rsidRPr="005C5FE8" w:rsidRDefault="00775C96" w:rsidP="00EC7C0D">
            <w:pPr>
              <w:jc w:val="center"/>
              <w:rPr>
                <w:rFonts w:cstheme="minorHAnsi"/>
                <w:bCs/>
                <w:sz w:val="20"/>
                <w:szCs w:val="20"/>
                <w:lang w:val="mk-MK"/>
              </w:rPr>
            </w:pPr>
            <w:r w:rsidRPr="005C5FE8">
              <w:rPr>
                <w:rFonts w:cstheme="minorHAnsi"/>
                <w:bCs/>
                <w:sz w:val="20"/>
                <w:szCs w:val="20"/>
                <w:lang w:val="mk-MK"/>
              </w:rPr>
              <w:t>15</w:t>
            </w:r>
          </w:p>
        </w:tc>
      </w:tr>
      <w:tr w:rsidR="00775C96" w:rsidRPr="00470192" w14:paraId="543AD50D" w14:textId="77777777" w:rsidTr="00092885">
        <w:tc>
          <w:tcPr>
            <w:tcW w:w="9350" w:type="dxa"/>
            <w:gridSpan w:val="4"/>
            <w:shd w:val="clear" w:color="auto" w:fill="D9E2F3" w:themeFill="accent1" w:themeFillTint="33"/>
          </w:tcPr>
          <w:p w14:paraId="2AAD44F3" w14:textId="77777777" w:rsidR="00775C96" w:rsidRPr="00470192" w:rsidRDefault="00775C96" w:rsidP="00EC7C0D">
            <w:pPr>
              <w:suppressAutoHyphens/>
              <w:jc w:val="both"/>
              <w:rPr>
                <w:rFonts w:eastAsia="Calibri" w:cstheme="minorHAnsi"/>
                <w:b/>
                <w:bCs/>
                <w:iCs/>
                <w:color w:val="3B3838" w:themeColor="background2" w:themeShade="40"/>
                <w:sz w:val="24"/>
                <w:szCs w:val="24"/>
                <w:lang w:val="mk-MK" w:eastAsia="en-GB"/>
              </w:rPr>
            </w:pPr>
            <w:r w:rsidRPr="005C5FE8">
              <w:rPr>
                <w:rFonts w:cstheme="minorHAnsi"/>
                <w:b/>
                <w:bCs/>
                <w:iCs/>
              </w:rPr>
              <w:t xml:space="preserve">М 4.2.4. Подобрена пристапност во институциите за лицата со попреченост, возрасни лица, како и лица кои се на ниско ниво на дигитална писменост  </w:t>
            </w:r>
          </w:p>
        </w:tc>
      </w:tr>
      <w:tr w:rsidR="00775C96" w:rsidRPr="00186921" w14:paraId="7BE1CA73" w14:textId="77777777" w:rsidTr="00092885">
        <w:tc>
          <w:tcPr>
            <w:tcW w:w="5168" w:type="dxa"/>
            <w:vMerge w:val="restart"/>
            <w:shd w:val="clear" w:color="auto" w:fill="D9E2F3" w:themeFill="accent1" w:themeFillTint="33"/>
            <w:vAlign w:val="center"/>
          </w:tcPr>
          <w:p w14:paraId="700C2518"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1CF7ED9A"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6E62E55D"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6306185E"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4DF11F98" w14:textId="77777777" w:rsidTr="00092885">
        <w:tc>
          <w:tcPr>
            <w:tcW w:w="5168" w:type="dxa"/>
            <w:vMerge/>
            <w:shd w:val="clear" w:color="auto" w:fill="D9E2F3" w:themeFill="accent1" w:themeFillTint="33"/>
          </w:tcPr>
          <w:p w14:paraId="2020AB18"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20508160"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4B80088E"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09D510C6" w14:textId="77777777" w:rsidR="00775C96" w:rsidRPr="00823E83" w:rsidRDefault="00775C96" w:rsidP="00EC7C0D">
            <w:pPr>
              <w:jc w:val="center"/>
              <w:rPr>
                <w:lang w:val="mk-MK"/>
              </w:rPr>
            </w:pPr>
            <w:r w:rsidRPr="00823E83">
              <w:rPr>
                <w:b/>
                <w:bCs/>
                <w:lang w:val="mk-MK"/>
              </w:rPr>
              <w:t>2030</w:t>
            </w:r>
          </w:p>
        </w:tc>
      </w:tr>
      <w:tr w:rsidR="00775C96" w:rsidRPr="00470192" w14:paraId="18DC1308" w14:textId="77777777" w:rsidTr="00092885">
        <w:trPr>
          <w:trHeight w:val="422"/>
        </w:trPr>
        <w:tc>
          <w:tcPr>
            <w:tcW w:w="5168" w:type="dxa"/>
            <w:shd w:val="clear" w:color="auto" w:fill="D9E2F3" w:themeFill="accent1" w:themeFillTint="33"/>
          </w:tcPr>
          <w:p w14:paraId="3655F5BE" w14:textId="77777777" w:rsidR="00775C96" w:rsidRPr="005C5FE8" w:rsidRDefault="00775C96" w:rsidP="00EC7C0D">
            <w:pPr>
              <w:rPr>
                <w:rFonts w:cstheme="minorHAnsi"/>
                <w:sz w:val="20"/>
                <w:szCs w:val="20"/>
              </w:rPr>
            </w:pPr>
            <w:r w:rsidRPr="005C5FE8">
              <w:rPr>
                <w:rFonts w:cstheme="minorHAnsi"/>
                <w:bCs/>
                <w:iCs/>
                <w:sz w:val="20"/>
                <w:szCs w:val="20"/>
              </w:rPr>
              <w:t>Број на достапни веб страни со WCAG стандардот</w:t>
            </w:r>
          </w:p>
        </w:tc>
        <w:tc>
          <w:tcPr>
            <w:tcW w:w="1605" w:type="dxa"/>
            <w:shd w:val="clear" w:color="auto" w:fill="D9E2F3" w:themeFill="accent1" w:themeFillTint="33"/>
            <w:vAlign w:val="center"/>
          </w:tcPr>
          <w:p w14:paraId="1AC1469A" w14:textId="77777777" w:rsidR="00775C96" w:rsidRPr="005C5FE8" w:rsidRDefault="00775C96" w:rsidP="00EC7C0D">
            <w:pPr>
              <w:jc w:val="center"/>
              <w:rPr>
                <w:rFonts w:cstheme="minorHAnsi"/>
                <w:sz w:val="20"/>
                <w:szCs w:val="20"/>
                <w:lang w:val="mk-MK"/>
              </w:rPr>
            </w:pPr>
            <w:r w:rsidRPr="005C5FE8">
              <w:rPr>
                <w:rFonts w:cstheme="minorHAnsi"/>
                <w:sz w:val="20"/>
                <w:szCs w:val="20"/>
                <w:lang w:val="mk-MK"/>
              </w:rPr>
              <w:t>2</w:t>
            </w:r>
          </w:p>
        </w:tc>
        <w:tc>
          <w:tcPr>
            <w:tcW w:w="1249" w:type="dxa"/>
            <w:shd w:val="clear" w:color="auto" w:fill="D9E2F3" w:themeFill="accent1" w:themeFillTint="33"/>
            <w:vAlign w:val="center"/>
          </w:tcPr>
          <w:p w14:paraId="03BE4DDA"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15</w:t>
            </w:r>
          </w:p>
        </w:tc>
        <w:tc>
          <w:tcPr>
            <w:tcW w:w="1328" w:type="dxa"/>
            <w:shd w:val="clear" w:color="auto" w:fill="D9E2F3" w:themeFill="accent1" w:themeFillTint="33"/>
            <w:vAlign w:val="center"/>
          </w:tcPr>
          <w:p w14:paraId="36BD57BF" w14:textId="77777777" w:rsidR="00775C96" w:rsidRPr="00470192" w:rsidRDefault="00775C96" w:rsidP="00EC7C0D">
            <w:pPr>
              <w:jc w:val="center"/>
              <w:rPr>
                <w:sz w:val="20"/>
                <w:szCs w:val="20"/>
                <w:lang w:val="mk-MK"/>
              </w:rPr>
            </w:pPr>
            <w:r w:rsidRPr="00470192">
              <w:rPr>
                <w:sz w:val="20"/>
                <w:szCs w:val="20"/>
                <w:lang w:val="mk-MK"/>
              </w:rPr>
              <w:t>30</w:t>
            </w:r>
          </w:p>
        </w:tc>
      </w:tr>
      <w:tr w:rsidR="00775C96" w:rsidRPr="00470192" w14:paraId="2A6EA22A" w14:textId="77777777" w:rsidTr="00092885">
        <w:tc>
          <w:tcPr>
            <w:tcW w:w="9350" w:type="dxa"/>
            <w:gridSpan w:val="4"/>
            <w:shd w:val="clear" w:color="auto" w:fill="D9E2F3" w:themeFill="accent1" w:themeFillTint="33"/>
          </w:tcPr>
          <w:p w14:paraId="4DD2C8D0" w14:textId="77777777" w:rsidR="00775C96" w:rsidRPr="005C5FE8" w:rsidRDefault="00775C96" w:rsidP="00EC7C0D">
            <w:pPr>
              <w:suppressAutoHyphens/>
              <w:jc w:val="both"/>
              <w:rPr>
                <w:rFonts w:eastAsia="Calibri" w:cstheme="minorHAnsi"/>
                <w:b/>
                <w:bCs/>
                <w:iCs/>
                <w:sz w:val="24"/>
                <w:szCs w:val="24"/>
                <w:lang w:val="mk-MK" w:eastAsia="en-GB"/>
              </w:rPr>
            </w:pPr>
            <w:r w:rsidRPr="005C5FE8">
              <w:rPr>
                <w:rFonts w:eastAsia="Calibri" w:cstheme="minorHAnsi"/>
                <w:b/>
                <w:bCs/>
                <w:iCs/>
              </w:rPr>
              <w:t>М</w:t>
            </w:r>
            <w:r w:rsidRPr="005C5FE8">
              <w:rPr>
                <w:rFonts w:eastAsia="Calibri" w:cstheme="minorHAnsi"/>
                <w:b/>
                <w:bCs/>
                <w:iCs/>
                <w:lang w:val="mk-MK"/>
              </w:rPr>
              <w:t xml:space="preserve"> </w:t>
            </w:r>
            <w:r w:rsidRPr="005C5FE8">
              <w:rPr>
                <w:rFonts w:eastAsia="Calibri" w:cstheme="minorHAnsi"/>
                <w:b/>
                <w:bCs/>
                <w:iCs/>
              </w:rPr>
              <w:t>4.2.5. Унапредена примена на моделите на системот за управување со квалитет</w:t>
            </w:r>
          </w:p>
        </w:tc>
      </w:tr>
      <w:tr w:rsidR="00775C96" w:rsidRPr="00186921" w14:paraId="7287576F" w14:textId="77777777" w:rsidTr="00092885">
        <w:tc>
          <w:tcPr>
            <w:tcW w:w="5168" w:type="dxa"/>
            <w:vMerge w:val="restart"/>
            <w:shd w:val="clear" w:color="auto" w:fill="D9E2F3" w:themeFill="accent1" w:themeFillTint="33"/>
            <w:vAlign w:val="center"/>
          </w:tcPr>
          <w:p w14:paraId="714FED7C"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2256B226"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72FD1845"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7298FF4E"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567C6278" w14:textId="77777777" w:rsidTr="00092885">
        <w:trPr>
          <w:trHeight w:val="197"/>
        </w:trPr>
        <w:tc>
          <w:tcPr>
            <w:tcW w:w="5168" w:type="dxa"/>
            <w:vMerge/>
            <w:shd w:val="clear" w:color="auto" w:fill="D9E2F3" w:themeFill="accent1" w:themeFillTint="33"/>
          </w:tcPr>
          <w:p w14:paraId="4D322027"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1708687D"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389D419A"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03EA81A6" w14:textId="77777777" w:rsidR="00775C96" w:rsidRPr="00823E83" w:rsidRDefault="00775C96" w:rsidP="00EC7C0D">
            <w:pPr>
              <w:jc w:val="center"/>
              <w:rPr>
                <w:lang w:val="mk-MK"/>
              </w:rPr>
            </w:pPr>
            <w:r w:rsidRPr="00823E83">
              <w:rPr>
                <w:b/>
                <w:bCs/>
                <w:lang w:val="mk-MK"/>
              </w:rPr>
              <w:t>2030</w:t>
            </w:r>
          </w:p>
        </w:tc>
      </w:tr>
      <w:tr w:rsidR="00775C96" w:rsidRPr="00470192" w14:paraId="199426D1" w14:textId="77777777" w:rsidTr="00092885">
        <w:trPr>
          <w:trHeight w:val="467"/>
        </w:trPr>
        <w:tc>
          <w:tcPr>
            <w:tcW w:w="5168" w:type="dxa"/>
            <w:shd w:val="clear" w:color="auto" w:fill="D9E2F3" w:themeFill="accent1" w:themeFillTint="33"/>
          </w:tcPr>
          <w:p w14:paraId="7CDA7307" w14:textId="77777777" w:rsidR="00775C96" w:rsidRPr="00470192" w:rsidRDefault="00775C96" w:rsidP="00EC7C0D">
            <w:pPr>
              <w:rPr>
                <w:rFonts w:cstheme="minorHAnsi"/>
                <w:sz w:val="20"/>
                <w:szCs w:val="20"/>
              </w:rPr>
            </w:pPr>
            <w:r w:rsidRPr="005C5FE8">
              <w:rPr>
                <w:rFonts w:eastAsia="Calibri" w:cstheme="minorHAnsi"/>
                <w:iCs/>
              </w:rPr>
              <w:t>Оценка за индекс на квалитет на институциите</w:t>
            </w:r>
          </w:p>
        </w:tc>
        <w:tc>
          <w:tcPr>
            <w:tcW w:w="1605" w:type="dxa"/>
            <w:shd w:val="clear" w:color="auto" w:fill="D9E2F3" w:themeFill="accent1" w:themeFillTint="33"/>
            <w:vAlign w:val="center"/>
          </w:tcPr>
          <w:p w14:paraId="637BC0C9"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70%</w:t>
            </w:r>
          </w:p>
        </w:tc>
        <w:tc>
          <w:tcPr>
            <w:tcW w:w="1249" w:type="dxa"/>
            <w:shd w:val="clear" w:color="auto" w:fill="D9E2F3" w:themeFill="accent1" w:themeFillTint="33"/>
            <w:vAlign w:val="center"/>
          </w:tcPr>
          <w:p w14:paraId="1D9FD8EE"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75%</w:t>
            </w:r>
          </w:p>
        </w:tc>
        <w:tc>
          <w:tcPr>
            <w:tcW w:w="1328" w:type="dxa"/>
            <w:shd w:val="clear" w:color="auto" w:fill="D9E2F3" w:themeFill="accent1" w:themeFillTint="33"/>
            <w:vAlign w:val="center"/>
          </w:tcPr>
          <w:p w14:paraId="1851EA3F" w14:textId="0D3E1760" w:rsidR="00775C96" w:rsidRPr="00976FFF" w:rsidRDefault="00976FFF" w:rsidP="00EC7C0D">
            <w:pPr>
              <w:jc w:val="center"/>
              <w:rPr>
                <w:rFonts w:cstheme="minorHAnsi"/>
                <w:bCs/>
                <w:sz w:val="20"/>
                <w:szCs w:val="20"/>
                <w:lang w:val="mk-MK"/>
              </w:rPr>
            </w:pPr>
            <w:r w:rsidRPr="00976FFF">
              <w:rPr>
                <w:rFonts w:cstheme="minorHAnsi"/>
                <w:bCs/>
                <w:sz w:val="20"/>
                <w:szCs w:val="20"/>
                <w:lang w:val="mk-MK"/>
              </w:rPr>
              <w:t>85</w:t>
            </w:r>
            <w:r w:rsidR="00775C96" w:rsidRPr="00976FFF">
              <w:rPr>
                <w:rFonts w:cstheme="minorHAnsi"/>
                <w:bCs/>
                <w:sz w:val="20"/>
                <w:szCs w:val="20"/>
                <w:lang w:val="mk-MK"/>
              </w:rPr>
              <w:t>%</w:t>
            </w:r>
          </w:p>
        </w:tc>
      </w:tr>
      <w:tr w:rsidR="00775C96" w:rsidRPr="00470192" w14:paraId="5182D03D" w14:textId="77777777" w:rsidTr="00092885">
        <w:tc>
          <w:tcPr>
            <w:tcW w:w="9350" w:type="dxa"/>
            <w:gridSpan w:val="4"/>
            <w:shd w:val="clear" w:color="auto" w:fill="D9E2F3" w:themeFill="accent1" w:themeFillTint="33"/>
          </w:tcPr>
          <w:p w14:paraId="63A1CEAE" w14:textId="77777777" w:rsidR="00775C96" w:rsidRPr="005C5FE8" w:rsidRDefault="00775C96" w:rsidP="00EC7C0D">
            <w:pPr>
              <w:suppressAutoHyphens/>
              <w:jc w:val="both"/>
              <w:rPr>
                <w:rFonts w:eastAsia="Calibri" w:cstheme="minorHAnsi"/>
                <w:b/>
                <w:bCs/>
                <w:iCs/>
                <w:lang w:val="mk-MK" w:eastAsia="en-GB"/>
              </w:rPr>
            </w:pPr>
            <w:r w:rsidRPr="005C5FE8">
              <w:rPr>
                <w:rFonts w:cstheme="minorHAnsi"/>
                <w:b/>
                <w:bCs/>
                <w:iCs/>
                <w:lang w:val="sr-Cyrl-RS"/>
              </w:rPr>
              <w:t xml:space="preserve">4.2.6 </w:t>
            </w:r>
            <w:r w:rsidRPr="005C5FE8">
              <w:rPr>
                <w:rFonts w:cstheme="minorHAnsi"/>
                <w:b/>
                <w:bCs/>
                <w:iCs/>
              </w:rPr>
              <w:t>Промоција и информирање на граѓаните и администрацијата за електронските услуги</w:t>
            </w:r>
          </w:p>
        </w:tc>
      </w:tr>
      <w:tr w:rsidR="00775C96" w:rsidRPr="00186921" w14:paraId="00CC1394" w14:textId="77777777" w:rsidTr="00092885">
        <w:tc>
          <w:tcPr>
            <w:tcW w:w="5168" w:type="dxa"/>
            <w:vMerge w:val="restart"/>
            <w:shd w:val="clear" w:color="auto" w:fill="D9E2F3" w:themeFill="accent1" w:themeFillTint="33"/>
            <w:vAlign w:val="center"/>
          </w:tcPr>
          <w:p w14:paraId="227B84A3" w14:textId="77777777" w:rsidR="00775C96" w:rsidRPr="003D459E" w:rsidRDefault="00775C96" w:rsidP="00EC7C0D">
            <w:pPr>
              <w:jc w:val="center"/>
              <w:rPr>
                <w:rFonts w:cstheme="minorHAnsi"/>
                <w:sz w:val="18"/>
                <w:szCs w:val="18"/>
              </w:rPr>
            </w:pPr>
            <w:r w:rsidRPr="00186921">
              <w:rPr>
                <w:rFonts w:ascii="Calibri" w:hAnsi="Calibri" w:cs="Calibri"/>
                <w:b/>
                <w:bCs/>
                <w:color w:val="000000"/>
                <w:lang w:val="mk-MK"/>
              </w:rPr>
              <w:t>Показател на резултат:</w:t>
            </w:r>
          </w:p>
        </w:tc>
        <w:tc>
          <w:tcPr>
            <w:tcW w:w="1605" w:type="dxa"/>
            <w:tcBorders>
              <w:bottom w:val="nil"/>
              <w:right w:val="nil"/>
            </w:tcBorders>
            <w:shd w:val="clear" w:color="auto" w:fill="D9E2F3" w:themeFill="accent1" w:themeFillTint="33"/>
          </w:tcPr>
          <w:p w14:paraId="779C17D6" w14:textId="77777777" w:rsidR="00775C96" w:rsidRDefault="00775C96" w:rsidP="00EC7C0D">
            <w:pPr>
              <w:jc w:val="center"/>
              <w:rPr>
                <w:rFonts w:ascii="Calibri" w:hAnsi="Calibri" w:cs="Calibri"/>
                <w:color w:val="000000"/>
                <w:lang w:val="mk-MK"/>
              </w:rPr>
            </w:pPr>
            <w:r w:rsidRPr="00933133">
              <w:rPr>
                <w:b/>
                <w:bCs/>
                <w:lang w:val="mk-MK"/>
              </w:rPr>
              <w:t>Почетна вредност</w:t>
            </w:r>
          </w:p>
        </w:tc>
        <w:tc>
          <w:tcPr>
            <w:tcW w:w="1249" w:type="dxa"/>
            <w:tcBorders>
              <w:left w:val="nil"/>
              <w:bottom w:val="nil"/>
              <w:right w:val="nil"/>
            </w:tcBorders>
            <w:shd w:val="clear" w:color="auto" w:fill="D9E2F3" w:themeFill="accent1" w:themeFillTint="33"/>
          </w:tcPr>
          <w:p w14:paraId="3A4B568B" w14:textId="77777777" w:rsidR="00775C96" w:rsidRDefault="00775C96" w:rsidP="00EC7C0D">
            <w:pPr>
              <w:jc w:val="center"/>
              <w:rPr>
                <w:rFonts w:ascii="Calibri" w:hAnsi="Calibri" w:cs="Calibri"/>
                <w:color w:val="000000"/>
                <w:lang w:val="mk-MK"/>
              </w:rPr>
            </w:pPr>
            <w:r w:rsidRPr="00933133">
              <w:rPr>
                <w:b/>
                <w:bCs/>
                <w:lang w:val="mk-MK"/>
              </w:rPr>
              <w:t>Преодна вредност</w:t>
            </w:r>
          </w:p>
        </w:tc>
        <w:tc>
          <w:tcPr>
            <w:tcW w:w="1328" w:type="dxa"/>
            <w:tcBorders>
              <w:left w:val="nil"/>
              <w:bottom w:val="nil"/>
            </w:tcBorders>
            <w:shd w:val="clear" w:color="auto" w:fill="D9E2F3" w:themeFill="accent1" w:themeFillTint="33"/>
          </w:tcPr>
          <w:p w14:paraId="7743D840" w14:textId="77777777" w:rsidR="00775C96" w:rsidRPr="00186921" w:rsidRDefault="00775C96" w:rsidP="00EC7C0D">
            <w:pPr>
              <w:jc w:val="center"/>
              <w:rPr>
                <w:highlight w:val="yellow"/>
                <w:lang w:val="mk-MK"/>
              </w:rPr>
            </w:pPr>
            <w:r w:rsidRPr="00933133">
              <w:rPr>
                <w:b/>
                <w:bCs/>
                <w:lang w:val="mk-MK"/>
              </w:rPr>
              <w:t>Крајна вредност</w:t>
            </w:r>
          </w:p>
        </w:tc>
      </w:tr>
      <w:tr w:rsidR="00775C96" w:rsidRPr="00823E83" w14:paraId="24EA0035" w14:textId="77777777" w:rsidTr="00092885">
        <w:tc>
          <w:tcPr>
            <w:tcW w:w="5168" w:type="dxa"/>
            <w:vMerge/>
            <w:shd w:val="clear" w:color="auto" w:fill="D9E2F3" w:themeFill="accent1" w:themeFillTint="33"/>
          </w:tcPr>
          <w:p w14:paraId="3017BFDA" w14:textId="77777777" w:rsidR="00775C96" w:rsidRPr="003D459E" w:rsidRDefault="00775C96" w:rsidP="00EC7C0D">
            <w:pPr>
              <w:rPr>
                <w:rFonts w:cstheme="minorHAnsi"/>
                <w:sz w:val="18"/>
                <w:szCs w:val="18"/>
              </w:rPr>
            </w:pPr>
          </w:p>
        </w:tc>
        <w:tc>
          <w:tcPr>
            <w:tcW w:w="1605" w:type="dxa"/>
            <w:tcBorders>
              <w:top w:val="nil"/>
              <w:right w:val="nil"/>
            </w:tcBorders>
            <w:shd w:val="clear" w:color="auto" w:fill="D9E2F3" w:themeFill="accent1" w:themeFillTint="33"/>
          </w:tcPr>
          <w:p w14:paraId="1A27D2AF"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w:t>
            </w:r>
            <w:r>
              <w:rPr>
                <w:rFonts w:ascii="Calibri" w:hAnsi="Calibri" w:cs="Calibri"/>
                <w:b/>
                <w:bCs/>
                <w:color w:val="000000"/>
                <w:lang w:val="mk-MK"/>
              </w:rPr>
              <w:t>22</w:t>
            </w:r>
          </w:p>
        </w:tc>
        <w:tc>
          <w:tcPr>
            <w:tcW w:w="1249" w:type="dxa"/>
            <w:tcBorders>
              <w:top w:val="nil"/>
              <w:left w:val="nil"/>
              <w:right w:val="nil"/>
            </w:tcBorders>
            <w:shd w:val="clear" w:color="auto" w:fill="D9E2F3" w:themeFill="accent1" w:themeFillTint="33"/>
          </w:tcPr>
          <w:p w14:paraId="04CA434E" w14:textId="77777777" w:rsidR="00775C96" w:rsidRDefault="00775C96" w:rsidP="00EC7C0D">
            <w:pPr>
              <w:jc w:val="center"/>
              <w:rPr>
                <w:rFonts w:ascii="Calibri" w:hAnsi="Calibri" w:cs="Calibri"/>
                <w:color w:val="000000"/>
                <w:lang w:val="mk-MK"/>
              </w:rPr>
            </w:pPr>
            <w:r w:rsidRPr="00933133">
              <w:rPr>
                <w:rFonts w:ascii="Calibri" w:hAnsi="Calibri" w:cs="Calibri"/>
                <w:b/>
                <w:bCs/>
                <w:color w:val="000000"/>
                <w:lang w:val="mk-MK"/>
              </w:rPr>
              <w:t>2026</w:t>
            </w:r>
          </w:p>
        </w:tc>
        <w:tc>
          <w:tcPr>
            <w:tcW w:w="1328" w:type="dxa"/>
            <w:tcBorders>
              <w:top w:val="nil"/>
              <w:left w:val="nil"/>
            </w:tcBorders>
            <w:shd w:val="clear" w:color="auto" w:fill="D9E2F3" w:themeFill="accent1" w:themeFillTint="33"/>
          </w:tcPr>
          <w:p w14:paraId="5E84BA40" w14:textId="77777777" w:rsidR="00775C96" w:rsidRPr="00823E83" w:rsidRDefault="00775C96" w:rsidP="00EC7C0D">
            <w:pPr>
              <w:jc w:val="center"/>
              <w:rPr>
                <w:lang w:val="mk-MK"/>
              </w:rPr>
            </w:pPr>
            <w:r w:rsidRPr="00823E83">
              <w:rPr>
                <w:b/>
                <w:bCs/>
                <w:lang w:val="mk-MK"/>
              </w:rPr>
              <w:t>2030</w:t>
            </w:r>
          </w:p>
        </w:tc>
      </w:tr>
      <w:tr w:rsidR="00775C96" w:rsidRPr="00470192" w14:paraId="74D71128" w14:textId="77777777" w:rsidTr="00092885">
        <w:trPr>
          <w:trHeight w:val="638"/>
        </w:trPr>
        <w:tc>
          <w:tcPr>
            <w:tcW w:w="5168" w:type="dxa"/>
            <w:shd w:val="clear" w:color="auto" w:fill="D9E2F3" w:themeFill="accent1" w:themeFillTint="33"/>
          </w:tcPr>
          <w:p w14:paraId="4016B00B" w14:textId="77777777" w:rsidR="00775C96" w:rsidRPr="00470192" w:rsidRDefault="00775C96" w:rsidP="00EC7C0D">
            <w:pPr>
              <w:rPr>
                <w:rFonts w:cstheme="minorHAnsi"/>
                <w:sz w:val="20"/>
                <w:szCs w:val="20"/>
              </w:rPr>
            </w:pPr>
            <w:r w:rsidRPr="005C5FE8">
              <w:rPr>
                <w:rFonts w:cstheme="minorHAnsi"/>
                <w:bCs/>
                <w:iCs/>
                <w:sz w:val="20"/>
                <w:szCs w:val="20"/>
              </w:rPr>
              <w:t>Број на обучен кадар за digital-first принцип, стекнување на знаење за националните системи и агилно работење во администрација во секоја институција</w:t>
            </w:r>
          </w:p>
        </w:tc>
        <w:tc>
          <w:tcPr>
            <w:tcW w:w="1605" w:type="dxa"/>
            <w:shd w:val="clear" w:color="auto" w:fill="D9E2F3" w:themeFill="accent1" w:themeFillTint="33"/>
            <w:vAlign w:val="center"/>
          </w:tcPr>
          <w:p w14:paraId="416C7814" w14:textId="77777777"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0</w:t>
            </w:r>
          </w:p>
        </w:tc>
        <w:tc>
          <w:tcPr>
            <w:tcW w:w="1249" w:type="dxa"/>
            <w:shd w:val="clear" w:color="auto" w:fill="D9E2F3" w:themeFill="accent1" w:themeFillTint="33"/>
            <w:vAlign w:val="center"/>
          </w:tcPr>
          <w:p w14:paraId="7947682F" w14:textId="6D40CDD5" w:rsidR="00775C96" w:rsidRPr="00470192" w:rsidRDefault="00775C96" w:rsidP="00EC7C0D">
            <w:pPr>
              <w:jc w:val="center"/>
              <w:rPr>
                <w:rFonts w:cstheme="minorHAnsi"/>
                <w:color w:val="000000"/>
                <w:sz w:val="20"/>
                <w:szCs w:val="20"/>
                <w:lang w:val="mk-MK"/>
              </w:rPr>
            </w:pPr>
            <w:r w:rsidRPr="00470192">
              <w:rPr>
                <w:rFonts w:cstheme="minorHAnsi"/>
                <w:color w:val="000000"/>
                <w:sz w:val="20"/>
                <w:szCs w:val="20"/>
                <w:lang w:val="mk-MK"/>
              </w:rPr>
              <w:t>200</w:t>
            </w:r>
            <w:r w:rsidR="00C25F3D">
              <w:rPr>
                <w:rFonts w:cstheme="minorHAnsi"/>
                <w:color w:val="000000"/>
                <w:sz w:val="20"/>
                <w:szCs w:val="20"/>
                <w:lang w:val="mk-MK"/>
              </w:rPr>
              <w:t>0</w:t>
            </w:r>
          </w:p>
        </w:tc>
        <w:tc>
          <w:tcPr>
            <w:tcW w:w="1328" w:type="dxa"/>
            <w:shd w:val="clear" w:color="auto" w:fill="D9E2F3" w:themeFill="accent1" w:themeFillTint="33"/>
            <w:vAlign w:val="center"/>
          </w:tcPr>
          <w:p w14:paraId="4374D9DF" w14:textId="77777777" w:rsidR="00775C96" w:rsidRPr="00470192" w:rsidRDefault="00775C96" w:rsidP="00EC7C0D">
            <w:pPr>
              <w:jc w:val="center"/>
              <w:rPr>
                <w:rFonts w:cstheme="minorHAnsi"/>
                <w:sz w:val="20"/>
                <w:szCs w:val="20"/>
                <w:lang w:val="mk-MK"/>
              </w:rPr>
            </w:pPr>
            <w:r w:rsidRPr="00470192">
              <w:rPr>
                <w:rFonts w:cstheme="minorHAnsi"/>
                <w:sz w:val="20"/>
                <w:szCs w:val="20"/>
                <w:lang w:val="mk-MK"/>
              </w:rPr>
              <w:t>5000</w:t>
            </w:r>
          </w:p>
        </w:tc>
      </w:tr>
    </w:tbl>
    <w:p w14:paraId="18E62DF5" w14:textId="77777777" w:rsidR="009B106C" w:rsidRDefault="009B106C" w:rsidP="00AC4875">
      <w:pPr>
        <w:rPr>
          <w:lang w:val="mk-MK"/>
        </w:rPr>
      </w:pPr>
    </w:p>
    <w:p w14:paraId="2D50E0C1" w14:textId="0DF08960" w:rsidR="00AC4875" w:rsidRDefault="00916C3A" w:rsidP="003B5D17">
      <w:pPr>
        <w:pStyle w:val="Heading1"/>
        <w:numPr>
          <w:ilvl w:val="0"/>
          <w:numId w:val="4"/>
        </w:numPr>
        <w:rPr>
          <w:lang w:val="mk-MK"/>
        </w:rPr>
      </w:pPr>
      <w:r>
        <w:rPr>
          <w:lang w:val="mk-MK"/>
        </w:rPr>
        <w:t>Рамка за следење, оценување и известување</w:t>
      </w:r>
    </w:p>
    <w:p w14:paraId="35DB2558" w14:textId="33347D35" w:rsidR="00916C3A" w:rsidRDefault="00916C3A" w:rsidP="00916C3A">
      <w:pPr>
        <w:rPr>
          <w:lang w:val="mk-MK"/>
        </w:rPr>
      </w:pPr>
    </w:p>
    <w:p w14:paraId="7FB424BB" w14:textId="65991C38" w:rsidR="00916C3A" w:rsidRDefault="003B5D17" w:rsidP="003B5D17">
      <w:pPr>
        <w:pStyle w:val="Heading2"/>
        <w:numPr>
          <w:ilvl w:val="1"/>
          <w:numId w:val="5"/>
        </w:numPr>
        <w:rPr>
          <w:lang w:val="mk-MK"/>
        </w:rPr>
      </w:pPr>
      <w:r>
        <w:rPr>
          <w:lang w:val="mk-MK"/>
        </w:rPr>
        <w:t xml:space="preserve">Показатели на успешност за следење на постигнување на општите и посебните цели </w:t>
      </w:r>
    </w:p>
    <w:p w14:paraId="16CBB2BA" w14:textId="7E3B36A7" w:rsidR="003B5D17" w:rsidRDefault="003B5D17" w:rsidP="003B5D17">
      <w:pPr>
        <w:rPr>
          <w:lang w:val="mk-MK"/>
        </w:rPr>
      </w:pPr>
    </w:p>
    <w:p w14:paraId="40AC9895" w14:textId="11C3B2C8" w:rsidR="00191CB5" w:rsidRDefault="00191CB5" w:rsidP="005C5FE8">
      <w:pPr>
        <w:jc w:val="both"/>
        <w:rPr>
          <w:lang w:val="mk-MK"/>
        </w:rPr>
      </w:pPr>
      <w:r>
        <w:rPr>
          <w:lang w:val="mk-MK"/>
        </w:rPr>
        <w:t xml:space="preserve">Рамката за следење се заснова на показателите на успешност дефинирани на ниво на општа цел, посебни цели и мерки утврдени во Стратегијата за РЈА </w:t>
      </w:r>
      <w:r w:rsidR="004E1A11">
        <w:rPr>
          <w:lang w:val="mk-MK"/>
        </w:rPr>
        <w:t xml:space="preserve">и Акцискиот план 2023-2026 година. За секој од показателите утврдени се методологијата и формулата за пресметување, како и соодветните планирани вредности на показателите (таргети), односно почетната, преодната и крајната вредност на показателот планирани до крајот на спроведувањето на Стратегијата за РЈА. </w:t>
      </w:r>
    </w:p>
    <w:p w14:paraId="1DD1DEBA" w14:textId="67B2EB9E" w:rsidR="004E1A11" w:rsidRDefault="004E1A11" w:rsidP="00AC68FC">
      <w:pPr>
        <w:jc w:val="both"/>
        <w:rPr>
          <w:lang w:val="mk-MK"/>
        </w:rPr>
      </w:pPr>
      <w:r>
        <w:rPr>
          <w:lang w:val="mk-MK"/>
        </w:rPr>
        <w:t>Деталните информации кои се одн</w:t>
      </w:r>
      <w:r w:rsidR="005C5FE8">
        <w:rPr>
          <w:lang w:val="mk-MK"/>
        </w:rPr>
        <w:t>е</w:t>
      </w:r>
      <w:r>
        <w:rPr>
          <w:lang w:val="mk-MK"/>
        </w:rPr>
        <w:t>суваат на показателите,</w:t>
      </w:r>
      <w:r w:rsidR="00A86209">
        <w:rPr>
          <w:lang w:val="mk-MK"/>
        </w:rPr>
        <w:t xml:space="preserve">се содржани во </w:t>
      </w:r>
      <w:r>
        <w:rPr>
          <w:lang w:val="mk-MK"/>
        </w:rPr>
        <w:t xml:space="preserve"> </w:t>
      </w:r>
      <w:r w:rsidR="00775C96">
        <w:rPr>
          <w:lang w:val="mk-MK"/>
        </w:rPr>
        <w:t>„</w:t>
      </w:r>
      <w:r>
        <w:rPr>
          <w:lang w:val="mk-MK"/>
        </w:rPr>
        <w:t>пасошите</w:t>
      </w:r>
      <w:r w:rsidR="00775C96">
        <w:rPr>
          <w:lang w:val="mk-MK"/>
        </w:rPr>
        <w:t>“</w:t>
      </w:r>
      <w:r>
        <w:rPr>
          <w:lang w:val="mk-MK"/>
        </w:rPr>
        <w:t xml:space="preserve"> на показателите, </w:t>
      </w:r>
      <w:r w:rsidR="003C5103">
        <w:rPr>
          <w:lang w:val="mk-MK"/>
        </w:rPr>
        <w:t>каде се дадени називот на показателот</w:t>
      </w:r>
      <w:r>
        <w:rPr>
          <w:lang w:val="mk-MK"/>
        </w:rPr>
        <w:t xml:space="preserve">, </w:t>
      </w:r>
      <w:r w:rsidR="003C5103">
        <w:rPr>
          <w:lang w:val="mk-MK"/>
        </w:rPr>
        <w:t xml:space="preserve">изворот/имателот на податоците, </w:t>
      </w:r>
      <w:r>
        <w:rPr>
          <w:lang w:val="mk-MK"/>
        </w:rPr>
        <w:t xml:space="preserve">начинот и </w:t>
      </w:r>
      <w:r w:rsidR="003C5103">
        <w:rPr>
          <w:lang w:val="mk-MK"/>
        </w:rPr>
        <w:t xml:space="preserve">динамиката за прибирање на податоците за показателите, органот на државната управа задолжен за прибирање на податоците </w:t>
      </w:r>
      <w:r>
        <w:rPr>
          <w:lang w:val="mk-MK"/>
        </w:rPr>
        <w:t xml:space="preserve">од мерењето на показателите, методологијата </w:t>
      </w:r>
      <w:r w:rsidR="003C5103">
        <w:rPr>
          <w:lang w:val="mk-MK"/>
        </w:rPr>
        <w:t xml:space="preserve">и формулата </w:t>
      </w:r>
      <w:r>
        <w:rPr>
          <w:lang w:val="mk-MK"/>
        </w:rPr>
        <w:t>за пресметување на вредностите</w:t>
      </w:r>
      <w:r w:rsidR="003C5103">
        <w:rPr>
          <w:lang w:val="mk-MK"/>
        </w:rPr>
        <w:t xml:space="preserve"> на показателот</w:t>
      </w:r>
      <w:r>
        <w:rPr>
          <w:lang w:val="mk-MK"/>
        </w:rPr>
        <w:t>,</w:t>
      </w:r>
      <w:r w:rsidR="003C5103">
        <w:rPr>
          <w:lang w:val="mk-MK"/>
        </w:rPr>
        <w:t xml:space="preserve"> како и планираните вредности на показателите</w:t>
      </w:r>
      <w:r w:rsidR="00A86209">
        <w:rPr>
          <w:lang w:val="mk-MK"/>
        </w:rPr>
        <w:t xml:space="preserve">. „Пасошите“ на показателите </w:t>
      </w:r>
      <w:r>
        <w:rPr>
          <w:lang w:val="mk-MK"/>
        </w:rPr>
        <w:t xml:space="preserve">за четирите приоритетни области се </w:t>
      </w:r>
      <w:r w:rsidR="003C5103">
        <w:rPr>
          <w:lang w:val="mk-MK"/>
        </w:rPr>
        <w:t xml:space="preserve">дадени во </w:t>
      </w:r>
      <w:r w:rsidR="003C5103" w:rsidRPr="00775C96">
        <w:rPr>
          <w:b/>
          <w:bCs/>
          <w:lang w:val="mk-MK"/>
        </w:rPr>
        <w:t xml:space="preserve">Прилог </w:t>
      </w:r>
      <w:r w:rsidR="00775C96">
        <w:rPr>
          <w:b/>
          <w:bCs/>
          <w:lang w:val="mk-MK"/>
        </w:rPr>
        <w:t xml:space="preserve">бр. </w:t>
      </w:r>
      <w:r w:rsidR="003C5103" w:rsidRPr="00775C96">
        <w:rPr>
          <w:b/>
          <w:bCs/>
          <w:lang w:val="mk-MK"/>
        </w:rPr>
        <w:t>1</w:t>
      </w:r>
      <w:r w:rsidR="003C5103">
        <w:rPr>
          <w:lang w:val="mk-MK"/>
        </w:rPr>
        <w:t xml:space="preserve">. </w:t>
      </w:r>
    </w:p>
    <w:p w14:paraId="3AEFF13B" w14:textId="77777777" w:rsidR="005C5FE8" w:rsidRDefault="005C5FE8" w:rsidP="00AC68FC">
      <w:pPr>
        <w:jc w:val="both"/>
        <w:rPr>
          <w:lang w:val="mk-MK"/>
        </w:rPr>
      </w:pPr>
    </w:p>
    <w:p w14:paraId="04AAB000" w14:textId="6980840F" w:rsidR="003B5D17" w:rsidRPr="00CC708E" w:rsidRDefault="004E1A11" w:rsidP="00CC708E">
      <w:pPr>
        <w:pStyle w:val="Heading2"/>
        <w:numPr>
          <w:ilvl w:val="1"/>
          <w:numId w:val="5"/>
        </w:numPr>
        <w:rPr>
          <w:lang w:val="mk-MK"/>
        </w:rPr>
      </w:pPr>
      <w:r>
        <w:rPr>
          <w:lang w:val="mk-MK"/>
        </w:rPr>
        <w:lastRenderedPageBreak/>
        <w:t>С</w:t>
      </w:r>
      <w:r w:rsidR="003B5D17">
        <w:rPr>
          <w:lang w:val="mk-MK"/>
        </w:rPr>
        <w:t>ледење</w:t>
      </w:r>
      <w:r w:rsidR="00CC708E">
        <w:rPr>
          <w:lang w:val="mk-MK"/>
        </w:rPr>
        <w:t>, и</w:t>
      </w:r>
      <w:r w:rsidR="003B5D17" w:rsidRPr="00CC708E">
        <w:rPr>
          <w:lang w:val="mk-MK"/>
        </w:rPr>
        <w:t xml:space="preserve">звестување и оценување </w:t>
      </w:r>
    </w:p>
    <w:p w14:paraId="70679199" w14:textId="77777777" w:rsidR="005B5D3E" w:rsidRPr="005B5D3E" w:rsidRDefault="005B5D3E" w:rsidP="005B5D3E">
      <w:pPr>
        <w:rPr>
          <w:lang w:val="mk-MK"/>
        </w:rPr>
      </w:pPr>
    </w:p>
    <w:p w14:paraId="5049850E" w14:textId="5F8BA78B" w:rsidR="005B5D3E" w:rsidRPr="008B3CEE" w:rsidRDefault="005B5D3E" w:rsidP="005B5D3E">
      <w:pPr>
        <w:jc w:val="both"/>
        <w:rPr>
          <w:rFonts w:cstheme="minorHAnsi"/>
          <w:lang w:val="mk-MK"/>
        </w:rPr>
      </w:pPr>
      <w:r w:rsidRPr="008B3CEE">
        <w:rPr>
          <w:rFonts w:cstheme="minorHAnsi"/>
          <w:lang w:val="mk-MK"/>
        </w:rPr>
        <w:t>Следењето и известувањето за процесот на РЈА го спроведува МИОА, односно организац</w:t>
      </w:r>
      <w:r w:rsidR="006F4548">
        <w:rPr>
          <w:rFonts w:cstheme="minorHAnsi"/>
          <w:lang w:val="mk-MK"/>
        </w:rPr>
        <w:t xml:space="preserve">ионата единица за координација </w:t>
      </w:r>
      <w:r w:rsidRPr="008B3CEE">
        <w:rPr>
          <w:rFonts w:cstheme="minorHAnsi"/>
          <w:lang w:val="mk-MK"/>
        </w:rPr>
        <w:t xml:space="preserve">на Стратегијата за РЈА во МИОА.  </w:t>
      </w:r>
    </w:p>
    <w:p w14:paraId="2F824846" w14:textId="101CA445" w:rsidR="005B5D3E" w:rsidRPr="008B3CEE" w:rsidRDefault="005B5D3E" w:rsidP="005B5D3E">
      <w:pPr>
        <w:jc w:val="both"/>
        <w:rPr>
          <w:rFonts w:cstheme="minorHAnsi"/>
          <w:lang w:val="mk-MK"/>
        </w:rPr>
      </w:pPr>
      <w:r w:rsidRPr="008B3CEE">
        <w:rPr>
          <w:rFonts w:cstheme="minorHAnsi"/>
          <w:lang w:val="mk-MK"/>
        </w:rPr>
        <w:t xml:space="preserve">Следењето на процесот на РЈА ќе се врши преку собирање на податоци за степенот на реализација на активностите и на утврдување на евентуалните ризици кои можат да произлезат од нереализирани активности или од неостварените резултати, не само од институциите носители и учесници во активностите предвидени во Стратегијата за РЈА, туку и од граѓанските организации кои спроведуваат активности за следење на </w:t>
      </w:r>
      <w:r w:rsidR="003C5103">
        <w:rPr>
          <w:rFonts w:cstheme="minorHAnsi"/>
          <w:lang w:val="mk-MK"/>
        </w:rPr>
        <w:t xml:space="preserve">спроведувањето </w:t>
      </w:r>
      <w:r w:rsidRPr="008B3CEE">
        <w:rPr>
          <w:rFonts w:cstheme="minorHAnsi"/>
          <w:lang w:val="mk-MK"/>
        </w:rPr>
        <w:t>на Стратегијата и процесот на РЈА.</w:t>
      </w:r>
    </w:p>
    <w:p w14:paraId="1A08D89E" w14:textId="4F01ADB4" w:rsidR="005B5D3E" w:rsidRPr="008B3CEE" w:rsidRDefault="005B5D3E" w:rsidP="005B5D3E">
      <w:pPr>
        <w:jc w:val="both"/>
        <w:rPr>
          <w:rFonts w:cstheme="minorHAnsi"/>
          <w:lang w:val="mk-MK"/>
        </w:rPr>
      </w:pPr>
      <w:r w:rsidRPr="008B3CEE">
        <w:rPr>
          <w:rFonts w:cstheme="minorHAnsi"/>
          <w:lang w:val="mk-MK"/>
        </w:rPr>
        <w:t xml:space="preserve">МИОА на секои шест месеци до </w:t>
      </w:r>
      <w:r w:rsidR="003C5103">
        <w:rPr>
          <w:rFonts w:cstheme="minorHAnsi"/>
          <w:lang w:val="mk-MK"/>
        </w:rPr>
        <w:t xml:space="preserve">Секретаријатот </w:t>
      </w:r>
      <w:r w:rsidRPr="008B3CEE">
        <w:rPr>
          <w:rFonts w:cstheme="minorHAnsi"/>
          <w:lang w:val="mk-MK"/>
        </w:rPr>
        <w:t xml:space="preserve">за РЈА </w:t>
      </w:r>
      <w:r w:rsidR="003C5103">
        <w:rPr>
          <w:rFonts w:cstheme="minorHAnsi"/>
          <w:lang w:val="mk-MK"/>
        </w:rPr>
        <w:t xml:space="preserve">ќе </w:t>
      </w:r>
      <w:r w:rsidRPr="008B3CEE">
        <w:rPr>
          <w:rFonts w:cstheme="minorHAnsi"/>
          <w:lang w:val="mk-MK"/>
        </w:rPr>
        <w:t xml:space="preserve">доставува </w:t>
      </w:r>
      <w:r w:rsidR="003C5103">
        <w:rPr>
          <w:rFonts w:cstheme="minorHAnsi"/>
          <w:lang w:val="mk-MK"/>
        </w:rPr>
        <w:t xml:space="preserve">Извештај со </w:t>
      </w:r>
      <w:r w:rsidRPr="008B3CEE">
        <w:rPr>
          <w:rFonts w:cstheme="minorHAnsi"/>
          <w:lang w:val="mk-MK"/>
        </w:rPr>
        <w:t xml:space="preserve">податоци за степенот </w:t>
      </w:r>
      <w:r w:rsidR="003C5103">
        <w:rPr>
          <w:rFonts w:cstheme="minorHAnsi"/>
          <w:lang w:val="mk-MK"/>
        </w:rPr>
        <w:t xml:space="preserve">на </w:t>
      </w:r>
      <w:r w:rsidRPr="008B3CEE">
        <w:rPr>
          <w:rFonts w:cstheme="minorHAnsi"/>
          <w:lang w:val="mk-MK"/>
        </w:rPr>
        <w:t>реализација на А</w:t>
      </w:r>
      <w:r w:rsidR="003C5103">
        <w:rPr>
          <w:rFonts w:cstheme="minorHAnsi"/>
          <w:lang w:val="mk-MK"/>
        </w:rPr>
        <w:t>кцискиот план (во натамошниот текст: АП) на Стратегијата за Р</w:t>
      </w:r>
      <w:r w:rsidRPr="008B3CEE">
        <w:rPr>
          <w:rFonts w:cstheme="minorHAnsi"/>
          <w:lang w:val="mk-MK"/>
        </w:rPr>
        <w:t>ЈА</w:t>
      </w:r>
      <w:r w:rsidR="003C5103">
        <w:rPr>
          <w:rFonts w:cstheme="minorHAnsi"/>
          <w:lang w:val="mk-MK"/>
        </w:rPr>
        <w:t xml:space="preserve">. </w:t>
      </w:r>
      <w:r w:rsidR="003C5103" w:rsidRPr="008B3CEE">
        <w:rPr>
          <w:rFonts w:cstheme="minorHAnsi"/>
          <w:lang w:val="mk-MK"/>
        </w:rPr>
        <w:t>Годиш</w:t>
      </w:r>
      <w:r w:rsidR="003C5103">
        <w:rPr>
          <w:rFonts w:cstheme="minorHAnsi"/>
          <w:lang w:val="mk-MK"/>
        </w:rPr>
        <w:t>ниот</w:t>
      </w:r>
      <w:r w:rsidR="003C5103" w:rsidRPr="008B3CEE">
        <w:rPr>
          <w:rFonts w:cstheme="minorHAnsi"/>
          <w:lang w:val="mk-MK"/>
        </w:rPr>
        <w:t xml:space="preserve"> извештај за спроведување на </w:t>
      </w:r>
      <w:r w:rsidR="003C5103">
        <w:rPr>
          <w:rFonts w:cstheme="minorHAnsi"/>
          <w:lang w:val="mk-MK"/>
        </w:rPr>
        <w:t xml:space="preserve">АП </w:t>
      </w:r>
      <w:r w:rsidR="003C5103" w:rsidRPr="008B3CEE">
        <w:rPr>
          <w:rFonts w:cstheme="minorHAnsi"/>
          <w:lang w:val="mk-MK"/>
        </w:rPr>
        <w:t>2023-2026</w:t>
      </w:r>
      <w:r w:rsidR="003C5103">
        <w:rPr>
          <w:rFonts w:cstheme="minorHAnsi"/>
          <w:lang w:val="mk-MK"/>
        </w:rPr>
        <w:t xml:space="preserve"> </w:t>
      </w:r>
      <w:r w:rsidR="003C5103" w:rsidRPr="008B3CEE">
        <w:rPr>
          <w:rFonts w:cstheme="minorHAnsi"/>
          <w:lang w:val="mk-MK"/>
        </w:rPr>
        <w:t xml:space="preserve">на Стратегијата за РЈА </w:t>
      </w:r>
      <w:r w:rsidR="003C5103">
        <w:rPr>
          <w:rFonts w:cstheme="minorHAnsi"/>
          <w:lang w:val="mk-MK"/>
        </w:rPr>
        <w:t xml:space="preserve">ќе се </w:t>
      </w:r>
      <w:r w:rsidR="003C5103" w:rsidRPr="008B3CEE">
        <w:rPr>
          <w:rFonts w:cstheme="minorHAnsi"/>
          <w:lang w:val="mk-MK"/>
        </w:rPr>
        <w:t xml:space="preserve">доставува </w:t>
      </w:r>
      <w:r w:rsidRPr="008B3CEE">
        <w:rPr>
          <w:rFonts w:cstheme="minorHAnsi"/>
          <w:lang w:val="mk-MK"/>
        </w:rPr>
        <w:t xml:space="preserve">еднаш годишно до Советот за РЈА и </w:t>
      </w:r>
      <w:r w:rsidR="00202BF0">
        <w:rPr>
          <w:rFonts w:cstheme="minorHAnsi"/>
          <w:lang w:val="mk-MK"/>
        </w:rPr>
        <w:t>ВРСМ</w:t>
      </w:r>
      <w:r w:rsidRPr="008B3CEE">
        <w:rPr>
          <w:rFonts w:cstheme="minorHAnsi"/>
          <w:lang w:val="mk-MK"/>
        </w:rPr>
        <w:t>. Извештаите ќе се објавуваат на веб стран</w:t>
      </w:r>
      <w:r w:rsidR="00A86209">
        <w:rPr>
          <w:rFonts w:cstheme="minorHAnsi"/>
          <w:lang w:val="mk-MK"/>
        </w:rPr>
        <w:t>иц</w:t>
      </w:r>
      <w:r w:rsidRPr="008B3CEE">
        <w:rPr>
          <w:rFonts w:cstheme="minorHAnsi"/>
          <w:lang w:val="mk-MK"/>
        </w:rPr>
        <w:t>ата на МИОА.</w:t>
      </w:r>
    </w:p>
    <w:p w14:paraId="606AE2FD" w14:textId="0E71C017" w:rsidR="005B5D3E" w:rsidRPr="008B3CEE" w:rsidRDefault="005B5D3E" w:rsidP="005B5D3E">
      <w:pPr>
        <w:jc w:val="both"/>
        <w:rPr>
          <w:rFonts w:cstheme="minorHAnsi"/>
          <w:lang w:val="mk-MK"/>
        </w:rPr>
      </w:pPr>
      <w:r w:rsidRPr="008B3CEE">
        <w:rPr>
          <w:rFonts w:cstheme="minorHAnsi"/>
          <w:lang w:val="mk-MK"/>
        </w:rPr>
        <w:t xml:space="preserve">На овој начин ќе се обезбеди преглед за степенот на реализација по приоритетните области и ќе се потврдат плановите и активностите за натамошна реализација на Стратегијата за РЈА. </w:t>
      </w:r>
      <w:r w:rsidR="00202BF0">
        <w:rPr>
          <w:rFonts w:cstheme="minorHAnsi"/>
          <w:lang w:val="mk-MK"/>
        </w:rPr>
        <w:t>ВРСМ</w:t>
      </w:r>
      <w:r w:rsidR="00B40405">
        <w:rPr>
          <w:rFonts w:cstheme="minorHAnsi"/>
          <w:lang w:val="mk-MK"/>
        </w:rPr>
        <w:t xml:space="preserve">, </w:t>
      </w:r>
      <w:r w:rsidR="006F4548">
        <w:rPr>
          <w:rFonts w:cstheme="minorHAnsi"/>
          <w:lang w:val="mk-MK"/>
        </w:rPr>
        <w:t>на предлог на Советот за РЈА</w:t>
      </w:r>
      <w:r w:rsidR="0067127F">
        <w:rPr>
          <w:rFonts w:cstheme="minorHAnsi"/>
          <w:lang w:val="mk-MK"/>
        </w:rPr>
        <w:t>,</w:t>
      </w:r>
      <w:r w:rsidR="006F4548">
        <w:rPr>
          <w:rFonts w:cstheme="minorHAnsi"/>
          <w:lang w:val="mk-MK"/>
        </w:rPr>
        <w:t xml:space="preserve"> </w:t>
      </w:r>
      <w:r w:rsidRPr="008B3CEE">
        <w:rPr>
          <w:rFonts w:cstheme="minorHAnsi"/>
          <w:lang w:val="mk-MK"/>
        </w:rPr>
        <w:t>со донесување на заклучоци ќе го насочува процесот на РЈА на годишна основа.</w:t>
      </w:r>
    </w:p>
    <w:p w14:paraId="7F92E996" w14:textId="1E81E061" w:rsidR="005B5D3E" w:rsidRPr="008B3CEE" w:rsidRDefault="005B5D3E" w:rsidP="005B5D3E">
      <w:pPr>
        <w:jc w:val="both"/>
        <w:rPr>
          <w:rFonts w:cstheme="minorHAnsi"/>
          <w:lang w:val="mk-MK"/>
        </w:rPr>
      </w:pPr>
      <w:r w:rsidRPr="008B3CEE">
        <w:rPr>
          <w:rFonts w:cstheme="minorHAnsi"/>
          <w:lang w:val="mk-MK"/>
        </w:rPr>
        <w:t xml:space="preserve">За потребите на известување, </w:t>
      </w:r>
      <w:r w:rsidR="0067127F">
        <w:rPr>
          <w:rFonts w:cstheme="minorHAnsi"/>
          <w:lang w:val="mk-MK"/>
        </w:rPr>
        <w:t>о</w:t>
      </w:r>
      <w:r w:rsidRPr="008B3CEE">
        <w:rPr>
          <w:rFonts w:cstheme="minorHAnsi"/>
          <w:lang w:val="mk-MK"/>
        </w:rPr>
        <w:t>рганизациона</w:t>
      </w:r>
      <w:r w:rsidR="006F4548">
        <w:rPr>
          <w:rFonts w:cstheme="minorHAnsi"/>
          <w:lang w:val="mk-MK"/>
        </w:rPr>
        <w:t>та</w:t>
      </w:r>
      <w:r w:rsidRPr="008B3CEE">
        <w:rPr>
          <w:rFonts w:cstheme="minorHAnsi"/>
          <w:lang w:val="mk-MK"/>
        </w:rPr>
        <w:t xml:space="preserve"> единица за реформа на јавната администрација во МИОА по електронски пат ќе прибира податоци </w:t>
      </w:r>
      <w:r w:rsidR="00B40405" w:rsidRPr="008B3CEE">
        <w:rPr>
          <w:rFonts w:cstheme="minorHAnsi"/>
          <w:lang w:val="mk-MK"/>
        </w:rPr>
        <w:t xml:space="preserve">два пати годишно </w:t>
      </w:r>
      <w:r w:rsidRPr="008B3CEE">
        <w:rPr>
          <w:rFonts w:cstheme="minorHAnsi"/>
          <w:lang w:val="mk-MK"/>
        </w:rPr>
        <w:t>од контакт лицата за РЈА</w:t>
      </w:r>
      <w:r w:rsidR="00B40405">
        <w:rPr>
          <w:rFonts w:cstheme="minorHAnsi"/>
          <w:lang w:val="mk-MK"/>
        </w:rPr>
        <w:t xml:space="preserve"> назначени во соодветните органи на д</w:t>
      </w:r>
      <w:r w:rsidR="006F4548">
        <w:rPr>
          <w:rFonts w:cstheme="minorHAnsi"/>
          <w:lang w:val="mk-MK"/>
        </w:rPr>
        <w:t>ржавната управа и други институ</w:t>
      </w:r>
      <w:r w:rsidR="00B40405">
        <w:rPr>
          <w:rFonts w:cstheme="minorHAnsi"/>
          <w:lang w:val="mk-MK"/>
        </w:rPr>
        <w:t>ции учеснички во спроведувањето на АП</w:t>
      </w:r>
      <w:r w:rsidRPr="008B3CEE">
        <w:rPr>
          <w:rFonts w:cstheme="minorHAnsi"/>
          <w:lang w:val="mk-MK"/>
        </w:rPr>
        <w:t>. Првиот пат</w:t>
      </w:r>
      <w:r w:rsidR="006F4548">
        <w:rPr>
          <w:rFonts w:cstheme="minorHAnsi"/>
          <w:lang w:val="mk-MK"/>
        </w:rPr>
        <w:t>,</w:t>
      </w:r>
      <w:r w:rsidRPr="008B3CEE">
        <w:rPr>
          <w:rFonts w:cstheme="minorHAnsi"/>
          <w:lang w:val="mk-MK"/>
        </w:rPr>
        <w:t xml:space="preserve"> на шест месечна основа за интерна анализа за подготовката на табелата за рано предупредување за процесот на имплементација на </w:t>
      </w:r>
      <w:r w:rsidR="00B40405">
        <w:rPr>
          <w:rFonts w:cstheme="minorHAnsi"/>
          <w:lang w:val="mk-MK"/>
        </w:rPr>
        <w:t xml:space="preserve">АП на </w:t>
      </w:r>
      <w:r w:rsidRPr="008B3CEE">
        <w:rPr>
          <w:rFonts w:cstheme="minorHAnsi"/>
          <w:lang w:val="mk-MK"/>
        </w:rPr>
        <w:t>Стратегијата за РЈА. Додека пак, вториот пат</w:t>
      </w:r>
      <w:r w:rsidR="006F4548">
        <w:rPr>
          <w:rFonts w:cstheme="minorHAnsi"/>
          <w:lang w:val="mk-MK"/>
        </w:rPr>
        <w:t>,</w:t>
      </w:r>
      <w:r w:rsidRPr="008B3CEE">
        <w:rPr>
          <w:rFonts w:cstheme="minorHAnsi"/>
          <w:lang w:val="mk-MK"/>
        </w:rPr>
        <w:t xml:space="preserve"> на годишно ниво ќе </w:t>
      </w:r>
      <w:r w:rsidR="00B40405">
        <w:rPr>
          <w:rFonts w:cstheme="minorHAnsi"/>
          <w:lang w:val="mk-MK"/>
        </w:rPr>
        <w:t xml:space="preserve">се </w:t>
      </w:r>
      <w:r w:rsidRPr="008B3CEE">
        <w:rPr>
          <w:rFonts w:cstheme="minorHAnsi"/>
          <w:lang w:val="mk-MK"/>
        </w:rPr>
        <w:t>прибираат податоци за подготовка на Годишниот извештај</w:t>
      </w:r>
      <w:r w:rsidR="00B40405">
        <w:rPr>
          <w:rFonts w:cstheme="minorHAnsi"/>
          <w:lang w:val="mk-MK"/>
        </w:rPr>
        <w:t xml:space="preserve"> за спроведување на АП 2023-2026</w:t>
      </w:r>
      <w:r w:rsidRPr="008B3CEE">
        <w:rPr>
          <w:rFonts w:cstheme="minorHAnsi"/>
          <w:lang w:val="mk-MK"/>
        </w:rPr>
        <w:t>, а за точноста и ажурноста на податоците ќе се потврдува со официјален допис од институциите. Истовремено, еднаш годишно преку јавен повик до граѓанските организации, МИОА по електронски пат ќе прибира податоци од граѓанските организации во однос на напредокот во постигнувањето на планираните резултати кои ќе бидат земени предвид при подготовката на Годишниот извешта</w:t>
      </w:r>
      <w:r w:rsidR="006F4548">
        <w:rPr>
          <w:rFonts w:cstheme="minorHAnsi"/>
          <w:lang w:val="mk-MK"/>
        </w:rPr>
        <w:t>ј</w:t>
      </w:r>
      <w:r w:rsidR="00B40405">
        <w:rPr>
          <w:rFonts w:cstheme="minorHAnsi"/>
          <w:lang w:val="mk-MK"/>
        </w:rPr>
        <w:t xml:space="preserve"> за спроведување на АП</w:t>
      </w:r>
      <w:r w:rsidRPr="008B3CEE">
        <w:rPr>
          <w:rFonts w:cstheme="minorHAnsi"/>
          <w:lang w:val="mk-MK"/>
        </w:rPr>
        <w:t xml:space="preserve">. По направената проценка и анализа, податоците ќе бидат интегрирани во </w:t>
      </w:r>
      <w:r w:rsidR="00B40405">
        <w:rPr>
          <w:rFonts w:cstheme="minorHAnsi"/>
          <w:lang w:val="mk-MK"/>
        </w:rPr>
        <w:t>Г</w:t>
      </w:r>
      <w:r w:rsidR="00BD3F8B">
        <w:rPr>
          <w:rFonts w:cstheme="minorHAnsi"/>
          <w:lang w:val="mk-MK"/>
        </w:rPr>
        <w:t>одишн</w:t>
      </w:r>
      <w:r w:rsidRPr="008B3CEE">
        <w:rPr>
          <w:rFonts w:cstheme="minorHAnsi"/>
          <w:lang w:val="mk-MK"/>
        </w:rPr>
        <w:t xml:space="preserve">иот извештај за спроведување на </w:t>
      </w:r>
      <w:r w:rsidR="00B40405">
        <w:rPr>
          <w:rFonts w:cstheme="minorHAnsi"/>
          <w:lang w:val="mk-MK"/>
        </w:rPr>
        <w:t xml:space="preserve">АП на </w:t>
      </w:r>
      <w:r w:rsidRPr="008B3CEE">
        <w:rPr>
          <w:rFonts w:cstheme="minorHAnsi"/>
          <w:lang w:val="mk-MK"/>
        </w:rPr>
        <w:t xml:space="preserve">Стратегијата за РЈА 2023 – 2030.  </w:t>
      </w:r>
    </w:p>
    <w:p w14:paraId="04A0C560" w14:textId="77777777" w:rsidR="00B40405" w:rsidRDefault="005B5D3E" w:rsidP="005B5D3E">
      <w:pPr>
        <w:jc w:val="both"/>
        <w:rPr>
          <w:rFonts w:cstheme="minorHAnsi"/>
          <w:lang w:val="mk-MK"/>
        </w:rPr>
      </w:pPr>
      <w:r w:rsidRPr="008B3CEE">
        <w:rPr>
          <w:rFonts w:cstheme="minorHAnsi"/>
          <w:lang w:val="mk-MK"/>
        </w:rPr>
        <w:t xml:space="preserve">Целта на оценувањето ќе биде да се направи пресек за напредокот и/или назадувањето во постигнувањето на планираните посебни цели во приоритетните области. Оценувањето ќе се прави од страна на независни експерти на среден рок (по завршување на првиот акциски план односно по четири години), како и по истекот на временската рамка на Стратегијата за РЈА 2023 – 2030. </w:t>
      </w:r>
    </w:p>
    <w:p w14:paraId="42180BFD" w14:textId="6D14FD24" w:rsidR="005B5D3E" w:rsidRPr="008B3CEE" w:rsidRDefault="005B5D3E" w:rsidP="005B5D3E">
      <w:pPr>
        <w:jc w:val="both"/>
        <w:rPr>
          <w:rFonts w:cstheme="minorHAnsi"/>
          <w:lang w:val="mk-MK"/>
        </w:rPr>
      </w:pPr>
      <w:r w:rsidRPr="008B3CEE">
        <w:rPr>
          <w:rFonts w:cstheme="minorHAnsi"/>
          <w:lang w:val="mk-MK"/>
        </w:rPr>
        <w:t xml:space="preserve">Врз основа на извештаите за степенот на имплементација </w:t>
      </w:r>
      <w:r w:rsidR="00B40405">
        <w:rPr>
          <w:rFonts w:cstheme="minorHAnsi"/>
          <w:lang w:val="mk-MK"/>
        </w:rPr>
        <w:t xml:space="preserve">може да се направи </w:t>
      </w:r>
      <w:r w:rsidR="006F4548">
        <w:rPr>
          <w:rFonts w:cstheme="minorHAnsi"/>
          <w:lang w:val="mk-MK"/>
        </w:rPr>
        <w:t>ревизија на АП 2023-2026 година</w:t>
      </w:r>
      <w:r w:rsidR="00B40405">
        <w:rPr>
          <w:rFonts w:cstheme="minorHAnsi"/>
          <w:lang w:val="mk-MK"/>
        </w:rPr>
        <w:t xml:space="preserve"> доколку има потреба. Наодите од</w:t>
      </w:r>
      <w:r w:rsidRPr="008B3CEE">
        <w:rPr>
          <w:rFonts w:cstheme="minorHAnsi"/>
          <w:lang w:val="mk-MK"/>
        </w:rPr>
        <w:t xml:space="preserve"> оценувањето </w:t>
      </w:r>
      <w:r w:rsidR="00B40405">
        <w:rPr>
          <w:rFonts w:cstheme="minorHAnsi"/>
          <w:lang w:val="mk-MK"/>
        </w:rPr>
        <w:t xml:space="preserve">по спроведувањето на првиот АП 2023-2026 </w:t>
      </w:r>
      <w:r w:rsidRPr="008B3CEE">
        <w:rPr>
          <w:rFonts w:cstheme="minorHAnsi"/>
          <w:lang w:val="mk-MK"/>
        </w:rPr>
        <w:t xml:space="preserve">ќе </w:t>
      </w:r>
      <w:r w:rsidR="00B40405">
        <w:rPr>
          <w:rFonts w:cstheme="minorHAnsi"/>
          <w:lang w:val="mk-MK"/>
        </w:rPr>
        <w:t>бидат земени предвид при подготовката на вториот АП 2027-2030 н</w:t>
      </w:r>
      <w:r w:rsidRPr="008B3CEE">
        <w:rPr>
          <w:rFonts w:cstheme="minorHAnsi"/>
          <w:lang w:val="mk-MK"/>
        </w:rPr>
        <w:t xml:space="preserve">а Стратегијата за РЈА 2023 – 2030, односно </w:t>
      </w:r>
      <w:r w:rsidR="00B40405">
        <w:rPr>
          <w:rFonts w:cstheme="minorHAnsi"/>
          <w:lang w:val="mk-MK"/>
        </w:rPr>
        <w:t xml:space="preserve">при </w:t>
      </w:r>
      <w:r w:rsidRPr="008B3CEE">
        <w:rPr>
          <w:rFonts w:cstheme="minorHAnsi"/>
          <w:lang w:val="mk-MK"/>
        </w:rPr>
        <w:t>дефинирање на основата за следната стратегија.</w:t>
      </w:r>
    </w:p>
    <w:p w14:paraId="2F90C35A" w14:textId="1DDF5FA0" w:rsidR="005B5D3E" w:rsidRPr="008B3CEE" w:rsidRDefault="005B5D3E" w:rsidP="005B5D3E">
      <w:pPr>
        <w:jc w:val="both"/>
        <w:rPr>
          <w:rFonts w:cstheme="minorHAnsi"/>
          <w:lang w:val="mk-MK"/>
        </w:rPr>
      </w:pPr>
      <w:r w:rsidRPr="008B3CEE">
        <w:rPr>
          <w:rFonts w:cstheme="minorHAnsi"/>
          <w:lang w:val="mk-MK"/>
        </w:rPr>
        <w:t xml:space="preserve">Во насока на обезбедување транспарентност и инклузивност во процесот на следење и известување, МИОА ќе остварува редовна соработка со сите засегнати страни. Имено, </w:t>
      </w:r>
      <w:r w:rsidR="00B6525D">
        <w:rPr>
          <w:rFonts w:cstheme="minorHAnsi"/>
          <w:lang w:val="mk-MK"/>
        </w:rPr>
        <w:t xml:space="preserve">најмалку </w:t>
      </w:r>
      <w:r w:rsidRPr="008B3CEE">
        <w:rPr>
          <w:rFonts w:cstheme="minorHAnsi"/>
          <w:lang w:val="mk-MK"/>
        </w:rPr>
        <w:lastRenderedPageBreak/>
        <w:t xml:space="preserve">еднаш годишно (по доставување на </w:t>
      </w:r>
      <w:r w:rsidR="00152374">
        <w:rPr>
          <w:rFonts w:cstheme="minorHAnsi"/>
          <w:lang w:val="mk-MK"/>
        </w:rPr>
        <w:t>Г</w:t>
      </w:r>
      <w:r w:rsidRPr="008B3CEE">
        <w:rPr>
          <w:rFonts w:cstheme="minorHAnsi"/>
          <w:lang w:val="mk-MK"/>
        </w:rPr>
        <w:t>одишниот извештај за спроведување на Акцискиот план на Стратегијата за РЈА 2023 – 2030 до Советот за РЈА</w:t>
      </w:r>
      <w:r w:rsidR="00B6525D">
        <w:rPr>
          <w:rFonts w:cstheme="minorHAnsi"/>
          <w:lang w:val="mk-MK"/>
        </w:rPr>
        <w:t>)</w:t>
      </w:r>
      <w:r w:rsidRPr="008B3CEE">
        <w:rPr>
          <w:rFonts w:cstheme="minorHAnsi"/>
          <w:lang w:val="mk-MK"/>
        </w:rPr>
        <w:t>, ќе се одржуваат јавни расправи за степенот на имплементацијата и постигнатите резултати на Стратегијата за РЈА (2023 – 2030). Јавните расправи ќе бидат отворени за сите заинтересирани страни (институциите надлежни за имплементација, крајните корисници, стручната и научната јавност, претставниците на граѓанското општество, стопанските комори, синдикатите и др.).</w:t>
      </w:r>
    </w:p>
    <w:p w14:paraId="5FA31063" w14:textId="2E587EB7" w:rsidR="005B5D3E" w:rsidRDefault="005B5D3E" w:rsidP="005B5D3E">
      <w:pPr>
        <w:jc w:val="both"/>
        <w:rPr>
          <w:rFonts w:cstheme="minorHAnsi"/>
          <w:lang w:val="mk-MK"/>
        </w:rPr>
      </w:pPr>
      <w:r w:rsidRPr="008B3CEE">
        <w:rPr>
          <w:rFonts w:cstheme="minorHAnsi"/>
          <w:lang w:val="mk-MK"/>
        </w:rPr>
        <w:t xml:space="preserve">Организационата единица за РЈА во МИОА ќе одржува редовни состаноци </w:t>
      </w:r>
      <w:r w:rsidR="00152374">
        <w:rPr>
          <w:rFonts w:cstheme="minorHAnsi"/>
          <w:lang w:val="mk-MK"/>
        </w:rPr>
        <w:t xml:space="preserve">за координација </w:t>
      </w:r>
      <w:r w:rsidRPr="008B3CEE">
        <w:rPr>
          <w:rFonts w:cstheme="minorHAnsi"/>
          <w:lang w:val="mk-MK"/>
        </w:rPr>
        <w:t>со мрежата на контакт лица</w:t>
      </w:r>
      <w:r w:rsidR="00152374">
        <w:rPr>
          <w:rFonts w:cstheme="minorHAnsi"/>
          <w:lang w:val="mk-MK"/>
        </w:rPr>
        <w:t xml:space="preserve"> за РЈА </w:t>
      </w:r>
      <w:r w:rsidR="006F4548">
        <w:rPr>
          <w:rFonts w:cstheme="minorHAnsi"/>
          <w:lang w:val="mk-MK"/>
        </w:rPr>
        <w:t>во институ</w:t>
      </w:r>
      <w:r w:rsidRPr="008B3CEE">
        <w:rPr>
          <w:rFonts w:cstheme="minorHAnsi"/>
          <w:lang w:val="mk-MK"/>
        </w:rPr>
        <w:t>циите задолжени за спроведување за да се обезбеди редовна размена на информации и навремено да се детектираат евентуалните проблеми во спроведувањето, односно</w:t>
      </w:r>
      <w:r w:rsidR="006F4548">
        <w:rPr>
          <w:rFonts w:cstheme="minorHAnsi"/>
          <w:lang w:val="mk-MK"/>
        </w:rPr>
        <w:t>,</w:t>
      </w:r>
      <w:r w:rsidRPr="008B3CEE">
        <w:rPr>
          <w:rFonts w:cstheme="minorHAnsi"/>
          <w:lang w:val="mk-MK"/>
        </w:rPr>
        <w:t xml:space="preserve"> следењето на </w:t>
      </w:r>
      <w:r w:rsidR="00152374">
        <w:rPr>
          <w:rFonts w:cstheme="minorHAnsi"/>
          <w:lang w:val="mk-MK"/>
        </w:rPr>
        <w:t xml:space="preserve">АП </w:t>
      </w:r>
      <w:r w:rsidRPr="008B3CEE">
        <w:rPr>
          <w:rFonts w:cstheme="minorHAnsi"/>
          <w:lang w:val="mk-MK"/>
        </w:rPr>
        <w:t xml:space="preserve">на Стратегијата за РЈА. </w:t>
      </w:r>
    </w:p>
    <w:p w14:paraId="1401FDF0" w14:textId="77777777" w:rsidR="00AD0428" w:rsidRPr="008B3CEE" w:rsidRDefault="00AD0428" w:rsidP="005B5D3E">
      <w:pPr>
        <w:jc w:val="both"/>
        <w:rPr>
          <w:rFonts w:cstheme="minorHAnsi"/>
          <w:lang w:val="mk-MK"/>
        </w:rPr>
      </w:pPr>
    </w:p>
    <w:p w14:paraId="40E804C3" w14:textId="21C5E9FC" w:rsidR="005D632E" w:rsidRPr="008B3CEE" w:rsidRDefault="005D632E" w:rsidP="005D632E">
      <w:pPr>
        <w:pStyle w:val="Heading2"/>
        <w:numPr>
          <w:ilvl w:val="1"/>
          <w:numId w:val="5"/>
        </w:numPr>
        <w:rPr>
          <w:rFonts w:asciiTheme="minorHAnsi" w:hAnsiTheme="minorHAnsi" w:cstheme="minorHAnsi"/>
          <w:sz w:val="22"/>
          <w:szCs w:val="22"/>
          <w:lang w:val="mk-MK"/>
        </w:rPr>
      </w:pPr>
      <w:r w:rsidRPr="008B3CEE">
        <w:rPr>
          <w:rFonts w:asciiTheme="minorHAnsi" w:hAnsiTheme="minorHAnsi" w:cstheme="minorHAnsi"/>
          <w:sz w:val="22"/>
          <w:szCs w:val="22"/>
          <w:lang w:val="mk-MK"/>
        </w:rPr>
        <w:t>Механизми за координација</w:t>
      </w:r>
    </w:p>
    <w:p w14:paraId="40AE2577" w14:textId="73E0138E" w:rsidR="005D632E" w:rsidRPr="008B3CEE" w:rsidRDefault="005D632E" w:rsidP="005D632E">
      <w:pPr>
        <w:rPr>
          <w:rFonts w:cstheme="minorHAnsi"/>
          <w:lang w:val="mk-MK"/>
        </w:rPr>
      </w:pPr>
    </w:p>
    <w:p w14:paraId="1C313A92" w14:textId="41AC97CE" w:rsidR="005D632E" w:rsidRPr="008B3CEE" w:rsidRDefault="005D632E" w:rsidP="005D632E">
      <w:pPr>
        <w:spacing w:line="276" w:lineRule="auto"/>
        <w:jc w:val="both"/>
        <w:rPr>
          <w:rFonts w:cstheme="minorHAnsi"/>
          <w:lang w:val="mk-MK"/>
        </w:rPr>
      </w:pPr>
      <w:r w:rsidRPr="008B3CEE">
        <w:rPr>
          <w:rFonts w:cstheme="minorHAnsi"/>
          <w:lang w:val="mk-MK"/>
        </w:rPr>
        <w:t xml:space="preserve">Со Стратегијата за </w:t>
      </w:r>
      <w:r w:rsidR="00152374">
        <w:rPr>
          <w:rFonts w:cstheme="minorHAnsi"/>
          <w:lang w:val="mk-MK"/>
        </w:rPr>
        <w:t xml:space="preserve">РЈА </w:t>
      </w:r>
      <w:r w:rsidRPr="008B3CEE">
        <w:rPr>
          <w:rFonts w:cstheme="minorHAnsi"/>
          <w:lang w:val="mk-MK"/>
        </w:rPr>
        <w:t>(2018-2022) се воспостави институционалната структура за координација, следење и управување со процесот на РЈА на три нивоа на коорд</w:t>
      </w:r>
      <w:r w:rsidR="00AD0428">
        <w:rPr>
          <w:rFonts w:cstheme="minorHAnsi"/>
          <w:lang w:val="mk-MK"/>
        </w:rPr>
        <w:t>и</w:t>
      </w:r>
      <w:r w:rsidRPr="008B3CEE">
        <w:rPr>
          <w:rFonts w:cstheme="minorHAnsi"/>
          <w:lang w:val="mk-MK"/>
        </w:rPr>
        <w:t xml:space="preserve">нација: </w:t>
      </w:r>
    </w:p>
    <w:p w14:paraId="27A0B727" w14:textId="6724F339" w:rsidR="005D632E" w:rsidRPr="008B3CEE" w:rsidRDefault="005D632E" w:rsidP="005D632E">
      <w:pPr>
        <w:pStyle w:val="ListParagraph"/>
        <w:numPr>
          <w:ilvl w:val="0"/>
          <w:numId w:val="6"/>
        </w:numPr>
        <w:spacing w:line="276" w:lineRule="auto"/>
        <w:jc w:val="both"/>
        <w:rPr>
          <w:rFonts w:cstheme="minorHAnsi"/>
          <w:lang w:val="mk-MK"/>
        </w:rPr>
      </w:pPr>
      <w:r w:rsidRPr="008B3CEE">
        <w:rPr>
          <w:rFonts w:cstheme="minorHAnsi"/>
          <w:b/>
          <w:lang w:val="mk-MK"/>
        </w:rPr>
        <w:t>Политичко ниво, односно</w:t>
      </w:r>
      <w:r w:rsidRPr="008B3CEE">
        <w:rPr>
          <w:rFonts w:cstheme="minorHAnsi"/>
          <w:lang w:val="mk-MK"/>
        </w:rPr>
        <w:t xml:space="preserve"> </w:t>
      </w:r>
      <w:r w:rsidRPr="00D3445B">
        <w:rPr>
          <w:rFonts w:cstheme="minorHAnsi"/>
          <w:b/>
          <w:bCs/>
          <w:lang w:val="mk-MK"/>
        </w:rPr>
        <w:t xml:space="preserve">Советот за </w:t>
      </w:r>
      <w:r w:rsidR="00152374" w:rsidRPr="00D3445B">
        <w:rPr>
          <w:rFonts w:cstheme="minorHAnsi"/>
          <w:b/>
          <w:bCs/>
          <w:lang w:val="mk-MK"/>
        </w:rPr>
        <w:t>реф</w:t>
      </w:r>
      <w:r w:rsidR="00AD0428" w:rsidRPr="00D3445B">
        <w:rPr>
          <w:rFonts w:cstheme="minorHAnsi"/>
          <w:b/>
          <w:bCs/>
          <w:lang w:val="mk-MK"/>
        </w:rPr>
        <w:t>о</w:t>
      </w:r>
      <w:r w:rsidR="00152374" w:rsidRPr="00D3445B">
        <w:rPr>
          <w:rFonts w:cstheme="minorHAnsi"/>
          <w:b/>
          <w:bCs/>
          <w:lang w:val="mk-MK"/>
        </w:rPr>
        <w:t>рма на јавната администрација</w:t>
      </w:r>
      <w:r w:rsidR="00152374">
        <w:rPr>
          <w:rFonts w:cstheme="minorHAnsi"/>
          <w:lang w:val="mk-MK"/>
        </w:rPr>
        <w:t xml:space="preserve"> (во натамошниот текст: Совет за </w:t>
      </w:r>
      <w:r w:rsidRPr="008B3CEE">
        <w:rPr>
          <w:rFonts w:cstheme="minorHAnsi"/>
          <w:lang w:val="mk-MK"/>
        </w:rPr>
        <w:t>РЈА</w:t>
      </w:r>
      <w:r w:rsidR="00152374">
        <w:rPr>
          <w:rFonts w:cstheme="minorHAnsi"/>
          <w:lang w:val="mk-MK"/>
        </w:rPr>
        <w:t>)</w:t>
      </w:r>
      <w:r w:rsidRPr="008B3CEE">
        <w:rPr>
          <w:rFonts w:cstheme="minorHAnsi"/>
          <w:lang w:val="mk-MK"/>
        </w:rPr>
        <w:t xml:space="preserve"> кој претставува врвот во структурата за координација чија што задача е да управува со целовитоста на процесот на реформата и да обезбедува политички насоки во намалување на ризиците и утврдување на приоритетите во спроведувањето на Стратегијата за РЈА. Одлуките донесени на седниците на Советот за РЈА конечно се верификуваат од страна на </w:t>
      </w:r>
      <w:r w:rsidR="00202BF0">
        <w:rPr>
          <w:rFonts w:cstheme="minorHAnsi"/>
          <w:lang w:val="mk-MK"/>
        </w:rPr>
        <w:t>ВРСМ</w:t>
      </w:r>
      <w:r w:rsidR="00152374">
        <w:rPr>
          <w:rFonts w:cstheme="minorHAnsi"/>
          <w:lang w:val="mk-MK"/>
        </w:rPr>
        <w:t>.</w:t>
      </w:r>
    </w:p>
    <w:p w14:paraId="5B9F0AEA" w14:textId="2BB7F901" w:rsidR="005D632E" w:rsidRPr="008B3CEE" w:rsidRDefault="005D632E" w:rsidP="005D632E">
      <w:pPr>
        <w:pStyle w:val="ListParagraph"/>
        <w:numPr>
          <w:ilvl w:val="0"/>
          <w:numId w:val="6"/>
        </w:numPr>
        <w:spacing w:line="276" w:lineRule="auto"/>
        <w:jc w:val="both"/>
        <w:rPr>
          <w:rFonts w:cstheme="minorHAnsi"/>
          <w:lang w:val="mk-MK"/>
        </w:rPr>
      </w:pPr>
      <w:r w:rsidRPr="008B3CEE">
        <w:rPr>
          <w:rFonts w:cstheme="minorHAnsi"/>
          <w:b/>
          <w:lang w:val="mk-MK"/>
        </w:rPr>
        <w:t xml:space="preserve">Стручно ниво, односно </w:t>
      </w:r>
      <w:r w:rsidR="00152374">
        <w:rPr>
          <w:rFonts w:cstheme="minorHAnsi"/>
          <w:b/>
          <w:lang w:val="mk-MK"/>
        </w:rPr>
        <w:t xml:space="preserve">Секретаријат </w:t>
      </w:r>
      <w:r w:rsidRPr="008B3CEE">
        <w:rPr>
          <w:rFonts w:cstheme="minorHAnsi"/>
          <w:b/>
          <w:lang w:val="mk-MK"/>
        </w:rPr>
        <w:t xml:space="preserve">за </w:t>
      </w:r>
      <w:r w:rsidR="00152374">
        <w:rPr>
          <w:rFonts w:cstheme="minorHAnsi"/>
          <w:b/>
          <w:lang w:val="mk-MK"/>
        </w:rPr>
        <w:t>реф</w:t>
      </w:r>
      <w:r w:rsidR="00AD0428">
        <w:rPr>
          <w:rFonts w:cstheme="minorHAnsi"/>
          <w:b/>
          <w:lang w:val="mk-MK"/>
        </w:rPr>
        <w:t>о</w:t>
      </w:r>
      <w:r w:rsidR="00152374">
        <w:rPr>
          <w:rFonts w:cstheme="minorHAnsi"/>
          <w:b/>
          <w:lang w:val="mk-MK"/>
        </w:rPr>
        <w:t xml:space="preserve">рма на јавната администрација </w:t>
      </w:r>
      <w:r w:rsidR="00152374" w:rsidRPr="00AC68FC">
        <w:rPr>
          <w:rFonts w:cstheme="minorHAnsi"/>
          <w:bCs/>
          <w:lang w:val="mk-MK"/>
        </w:rPr>
        <w:t xml:space="preserve">(во натамошниот текст: Секретаријат за </w:t>
      </w:r>
      <w:r w:rsidRPr="00AC68FC">
        <w:rPr>
          <w:rFonts w:cstheme="minorHAnsi"/>
          <w:bCs/>
          <w:lang w:val="mk-MK"/>
        </w:rPr>
        <w:t>РЈА</w:t>
      </w:r>
      <w:r w:rsidR="00152374">
        <w:rPr>
          <w:rFonts w:cstheme="minorHAnsi"/>
          <w:lang w:val="mk-MK"/>
        </w:rPr>
        <w:t>)</w:t>
      </w:r>
      <w:r w:rsidRPr="008B3CEE">
        <w:rPr>
          <w:rFonts w:cstheme="minorHAnsi"/>
          <w:lang w:val="mk-MK"/>
        </w:rPr>
        <w:t xml:space="preserve"> кој преку препораки и мислења на стручно и техничко ниво дава поддршка на Советот за РЈА во спроведувањето и следењето на РЈА</w:t>
      </w:r>
      <w:r w:rsidR="00152374">
        <w:rPr>
          <w:rFonts w:cstheme="minorHAnsi"/>
          <w:lang w:val="mk-MK"/>
        </w:rPr>
        <w:t>.</w:t>
      </w:r>
    </w:p>
    <w:p w14:paraId="7F72923D" w14:textId="1D643433" w:rsidR="005D632E" w:rsidRPr="008B3CEE" w:rsidRDefault="005D632E" w:rsidP="005D632E">
      <w:pPr>
        <w:pStyle w:val="ListParagraph"/>
        <w:numPr>
          <w:ilvl w:val="0"/>
          <w:numId w:val="6"/>
        </w:numPr>
        <w:spacing w:line="276" w:lineRule="auto"/>
        <w:jc w:val="both"/>
        <w:rPr>
          <w:rFonts w:cstheme="minorHAnsi"/>
          <w:lang w:val="mk-MK"/>
        </w:rPr>
      </w:pPr>
      <w:r w:rsidRPr="008B3CEE">
        <w:rPr>
          <w:rFonts w:cstheme="minorHAnsi"/>
          <w:b/>
          <w:lang w:val="mk-MK"/>
        </w:rPr>
        <w:t>Оперативно ниво,</w:t>
      </w:r>
      <w:r w:rsidRPr="008B3CEE">
        <w:rPr>
          <w:rFonts w:cstheme="minorHAnsi"/>
          <w:lang w:val="mk-MK"/>
        </w:rPr>
        <w:t xml:space="preserve"> </w:t>
      </w:r>
      <w:r w:rsidRPr="00D3445B">
        <w:rPr>
          <w:rFonts w:cstheme="minorHAnsi"/>
          <w:b/>
          <w:bCs/>
          <w:lang w:val="mk-MK"/>
        </w:rPr>
        <w:t>односно Организациона единица за координација на Стратегијата за РЈА во МИОА</w:t>
      </w:r>
      <w:r w:rsidR="007C6907">
        <w:rPr>
          <w:rFonts w:cstheme="minorHAnsi"/>
          <w:lang w:val="mk-MK"/>
        </w:rPr>
        <w:t xml:space="preserve">, која е </w:t>
      </w:r>
      <w:r w:rsidRPr="008B3CEE">
        <w:rPr>
          <w:rFonts w:cstheme="minorHAnsi"/>
          <w:lang w:val="mk-MK"/>
        </w:rPr>
        <w:t xml:space="preserve">задолжена за следење и координација на акцискиот план, подготвување на извештаи и давање поддршка на стручното и политичкото ниво на координација. </w:t>
      </w:r>
    </w:p>
    <w:p w14:paraId="69612931" w14:textId="77777777" w:rsidR="005D632E" w:rsidRPr="008B3CEE" w:rsidRDefault="005D632E" w:rsidP="005D632E">
      <w:pPr>
        <w:jc w:val="both"/>
        <w:rPr>
          <w:rFonts w:cstheme="minorHAnsi"/>
          <w:lang w:val="mk-MK"/>
        </w:rPr>
      </w:pPr>
      <w:r w:rsidRPr="008B3CEE">
        <w:rPr>
          <w:rFonts w:cstheme="minorHAnsi"/>
          <w:lang w:val="mk-MK"/>
        </w:rPr>
        <w:t xml:space="preserve">Извршувањето на задачите на МИОА во процесот на следење, оценување и известување се потпира на координацијата и соработката со </w:t>
      </w:r>
      <w:r w:rsidRPr="008B3CEE">
        <w:rPr>
          <w:rFonts w:cstheme="minorHAnsi"/>
          <w:b/>
          <w:lang w:val="mk-MK"/>
        </w:rPr>
        <w:t>контакт лицата за РЈА</w:t>
      </w:r>
      <w:r w:rsidRPr="008B3CEE">
        <w:rPr>
          <w:rFonts w:cstheme="minorHAnsi"/>
          <w:lang w:val="mk-MK"/>
        </w:rPr>
        <w:t xml:space="preserve"> во институциите кои имаат водечка улога или пак учествуваат во спроведувањето на мерките и активностите од Акцискиот план. </w:t>
      </w:r>
    </w:p>
    <w:p w14:paraId="4F762088" w14:textId="5C1745C5" w:rsidR="005D632E" w:rsidRPr="008B3CEE" w:rsidRDefault="005D632E" w:rsidP="005D632E">
      <w:pPr>
        <w:spacing w:line="276" w:lineRule="auto"/>
        <w:jc w:val="both"/>
        <w:rPr>
          <w:rFonts w:cstheme="minorHAnsi"/>
          <w:lang w:val="mk-MK"/>
        </w:rPr>
      </w:pPr>
      <w:r w:rsidRPr="008B3CEE">
        <w:rPr>
          <w:rFonts w:cstheme="minorHAnsi"/>
          <w:lang w:val="mk-MK"/>
        </w:rPr>
        <w:t>На графиконот подолу е претставена институциона</w:t>
      </w:r>
      <w:r w:rsidR="00AD0428">
        <w:rPr>
          <w:rFonts w:cstheme="minorHAnsi"/>
          <w:lang w:val="mk-MK"/>
        </w:rPr>
        <w:t xml:space="preserve">лната структура </w:t>
      </w:r>
      <w:r w:rsidRPr="008B3CEE">
        <w:rPr>
          <w:rFonts w:cstheme="minorHAnsi"/>
          <w:lang w:val="mk-MK"/>
        </w:rPr>
        <w:t>за спроведување на координацијата на Стр</w:t>
      </w:r>
      <w:r w:rsidR="00AD0428">
        <w:rPr>
          <w:rFonts w:cstheme="minorHAnsi"/>
          <w:lang w:val="mk-MK"/>
        </w:rPr>
        <w:t>атегијата за РЈА (2023-2030) и А</w:t>
      </w:r>
      <w:r w:rsidRPr="008B3CEE">
        <w:rPr>
          <w:rFonts w:cstheme="minorHAnsi"/>
          <w:lang w:val="mk-MK"/>
        </w:rPr>
        <w:t xml:space="preserve">кцискиот план. </w:t>
      </w:r>
    </w:p>
    <w:p w14:paraId="765B19CE" w14:textId="5FB90BDB" w:rsidR="005D632E" w:rsidRDefault="005D632E" w:rsidP="005D632E">
      <w:pPr>
        <w:rPr>
          <w:lang w:val="mk-MK"/>
        </w:rPr>
      </w:pPr>
    </w:p>
    <w:p w14:paraId="79DD7523" w14:textId="77777777" w:rsidR="00775C96" w:rsidRDefault="00775C96" w:rsidP="005D632E">
      <w:pPr>
        <w:rPr>
          <w:lang w:val="mk-MK"/>
        </w:rPr>
      </w:pPr>
    </w:p>
    <w:p w14:paraId="1EB99288" w14:textId="77777777" w:rsidR="00775C96" w:rsidRDefault="00775C96" w:rsidP="005D632E">
      <w:pPr>
        <w:rPr>
          <w:lang w:val="mk-MK"/>
        </w:rPr>
      </w:pPr>
    </w:p>
    <w:p w14:paraId="71320D08" w14:textId="77777777" w:rsidR="00775C96" w:rsidRDefault="00775C96" w:rsidP="005D632E">
      <w:pPr>
        <w:rPr>
          <w:lang w:val="mk-MK"/>
        </w:rPr>
      </w:pPr>
    </w:p>
    <w:p w14:paraId="128E15E4" w14:textId="77777777" w:rsidR="00775C96" w:rsidRDefault="00775C96" w:rsidP="005D632E">
      <w:pPr>
        <w:rPr>
          <w:lang w:val="mk-MK"/>
        </w:rPr>
      </w:pPr>
    </w:p>
    <w:p w14:paraId="1081D7C3" w14:textId="77777777" w:rsidR="00775C96" w:rsidRDefault="00775C96" w:rsidP="005D632E">
      <w:pPr>
        <w:rPr>
          <w:lang w:val="mk-MK"/>
        </w:rPr>
      </w:pPr>
    </w:p>
    <w:p w14:paraId="704A1A97" w14:textId="77777777" w:rsidR="00775C96" w:rsidRDefault="00775C96" w:rsidP="005D632E">
      <w:pPr>
        <w:rPr>
          <w:lang w:val="mk-MK"/>
        </w:rPr>
      </w:pPr>
    </w:p>
    <w:p w14:paraId="5908ABD2" w14:textId="3CB47A45" w:rsidR="005D632E" w:rsidRDefault="005D632E" w:rsidP="005D632E">
      <w:pPr>
        <w:rPr>
          <w:lang w:val="mk-MK"/>
        </w:rPr>
      </w:pPr>
    </w:p>
    <w:p w14:paraId="72C380E1" w14:textId="14CF19E7" w:rsidR="005D632E" w:rsidRPr="005D632E" w:rsidRDefault="005D632E" w:rsidP="005D632E">
      <w:pPr>
        <w:rPr>
          <w:lang w:val="mk-MK"/>
        </w:rPr>
      </w:pPr>
      <w:r w:rsidRPr="00BD30C2">
        <w:rPr>
          <w:rFonts w:ascii="StobiSerif Regular" w:hAnsi="StobiSerif Regular"/>
          <w:noProof/>
          <w:lang w:val="en-US"/>
        </w:rPr>
        <mc:AlternateContent>
          <mc:Choice Requires="wps">
            <w:drawing>
              <wp:anchor distT="0" distB="0" distL="114300" distR="114300" simplePos="0" relativeHeight="251671552" behindDoc="0" locked="0" layoutInCell="1" allowOverlap="1" wp14:anchorId="780C401D" wp14:editId="01C6312B">
                <wp:simplePos x="0" y="0"/>
                <wp:positionH relativeFrom="column">
                  <wp:posOffset>4013504</wp:posOffset>
                </wp:positionH>
                <wp:positionV relativeFrom="paragraph">
                  <wp:posOffset>161952</wp:posOffset>
                </wp:positionV>
                <wp:extent cx="1007745" cy="744855"/>
                <wp:effectExtent l="17145" t="20955" r="19050" b="19050"/>
                <wp:wrapNone/>
                <wp:docPr id="13" name="Arrow: Curved Up 29"/>
                <wp:cNvGraphicFramePr/>
                <a:graphic xmlns:a="http://schemas.openxmlformats.org/drawingml/2006/main">
                  <a:graphicData uri="http://schemas.microsoft.com/office/word/2010/wordprocessingShape">
                    <wps:wsp>
                      <wps:cNvSpPr/>
                      <wps:spPr>
                        <a:xfrm rot="16200000">
                          <a:off x="0" y="0"/>
                          <a:ext cx="1007745" cy="744855"/>
                        </a:xfrm>
                        <a:prstGeom prst="curved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2034DD6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29" o:spid="_x0000_s1026" type="#_x0000_t104" style="position:absolute;margin-left:316pt;margin-top:12.75pt;width:79.35pt;height:58.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" adj="13617,19604,5400" fillcolor="#4472c4" strokecolor="#2f528f" strokeweight="1pt"/>
            </w:pict>
          </mc:Fallback>
        </mc:AlternateContent>
      </w:r>
      <w:r w:rsidRPr="00BD30C2">
        <w:rPr>
          <w:rFonts w:ascii="StobiSerif Regular" w:hAnsi="StobiSerif Regular"/>
          <w:noProof/>
          <w:lang w:val="en-US"/>
        </w:rPr>
        <mc:AlternateContent>
          <mc:Choice Requires="wps">
            <w:drawing>
              <wp:anchor distT="0" distB="0" distL="114300" distR="114300" simplePos="0" relativeHeight="251659264" behindDoc="0" locked="0" layoutInCell="1" allowOverlap="1" wp14:anchorId="2630BE89" wp14:editId="58DC10E1">
                <wp:simplePos x="0" y="0"/>
                <wp:positionH relativeFrom="margin">
                  <wp:align>center</wp:align>
                </wp:positionH>
                <wp:positionV relativeFrom="paragraph">
                  <wp:posOffset>0</wp:posOffset>
                </wp:positionV>
                <wp:extent cx="2343150" cy="752475"/>
                <wp:effectExtent l="0" t="0" r="0" b="9525"/>
                <wp:wrapNone/>
                <wp:docPr id="31" name="Callout: Down Arrow 25"/>
                <wp:cNvGraphicFramePr/>
                <a:graphic xmlns:a="http://schemas.openxmlformats.org/drawingml/2006/main">
                  <a:graphicData uri="http://schemas.microsoft.com/office/word/2010/wordprocessingShape">
                    <wps:wsp>
                      <wps:cNvSpPr/>
                      <wps:spPr>
                        <a:xfrm>
                          <a:off x="0" y="0"/>
                          <a:ext cx="2343150" cy="752475"/>
                        </a:xfrm>
                        <a:prstGeom prst="downArrowCallou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78C9681"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26611658"/>
                            <w:bookmarkStart w:id="11" w:name="_Hlk126605582"/>
                            <w:bookmarkStart w:id="12" w:name="_Hlk126605583"/>
                            <w:bookmarkEnd w:id="10"/>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ВЛАДА НА РСМ</w:t>
                            </w:r>
                            <w:bookmarkEnd w:id="11"/>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0BE8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5" o:spid="_x0000_s1040" type="#_x0000_t80" style="position:absolute;margin-left:0;margin-top:0;width:184.5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" adj="14035,9066,16200,9933" fillcolor="#2a69a2" stroked="f">
                <v:fill color2="#9dc3e6" rotate="t" angle="180" colors="0 #2a69a2;31457f #609ed6;1 #9dc3e6" focus="100%" type="gradient"/>
                <v:textbox>
                  <w:txbxContent>
                    <w:p w14:paraId="378C9681"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26611658"/>
                      <w:bookmarkStart w:id="14" w:name="_Hlk126605582"/>
                      <w:bookmarkStart w:id="15" w:name="_Hlk126605583"/>
                      <w:bookmarkEnd w:id="13"/>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ВЛАДА НА РСМ</w:t>
                      </w:r>
                      <w:bookmarkEnd w:id="14"/>
                      <w:bookmarkEnd w:id="15"/>
                    </w:p>
                  </w:txbxContent>
                </v:textbox>
                <w10:wrap anchorx="margin"/>
              </v:shape>
            </w:pict>
          </mc:Fallback>
        </mc:AlternateContent>
      </w:r>
    </w:p>
    <w:p w14:paraId="3BF52FC1" w14:textId="31576E1E" w:rsidR="003B5D17" w:rsidRDefault="003B5D17" w:rsidP="003B5D17">
      <w:pPr>
        <w:rPr>
          <w:lang w:val="mk-MK"/>
        </w:rPr>
      </w:pPr>
    </w:p>
    <w:p w14:paraId="7C5731AE" w14:textId="14C3416B" w:rsidR="005D632E" w:rsidRDefault="005D632E" w:rsidP="003B5D17">
      <w:pPr>
        <w:rPr>
          <w:lang w:val="mk-MK"/>
        </w:rPr>
      </w:pPr>
      <w:r w:rsidRPr="00BD30C2">
        <w:rPr>
          <w:rFonts w:ascii="StobiSerif Regular" w:hAnsi="StobiSerif Regular"/>
          <w:noProof/>
          <w:lang w:val="en-US"/>
        </w:rPr>
        <mc:AlternateContent>
          <mc:Choice Requires="wps">
            <w:drawing>
              <wp:anchor distT="0" distB="0" distL="114300" distR="114300" simplePos="0" relativeHeight="251661312" behindDoc="0" locked="0" layoutInCell="1" allowOverlap="1" wp14:anchorId="564B2FD5" wp14:editId="1DA681BF">
                <wp:simplePos x="0" y="0"/>
                <wp:positionH relativeFrom="margin">
                  <wp:align>center</wp:align>
                </wp:positionH>
                <wp:positionV relativeFrom="paragraph">
                  <wp:posOffset>212725</wp:posOffset>
                </wp:positionV>
                <wp:extent cx="2314575" cy="857250"/>
                <wp:effectExtent l="0" t="0" r="9525" b="0"/>
                <wp:wrapNone/>
                <wp:docPr id="14" name="Callout: Down Arrow 3"/>
                <wp:cNvGraphicFramePr/>
                <a:graphic xmlns:a="http://schemas.openxmlformats.org/drawingml/2006/main">
                  <a:graphicData uri="http://schemas.microsoft.com/office/word/2010/wordprocessingShape">
                    <wps:wsp>
                      <wps:cNvSpPr/>
                      <wps:spPr>
                        <a:xfrm>
                          <a:off x="0" y="0"/>
                          <a:ext cx="2314575" cy="857250"/>
                        </a:xfrm>
                        <a:prstGeom prst="downArrowCallou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68C3FA55"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СОВЕТ ЗА РЈА</w:t>
                            </w: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4B2FD5" id="Callout: Down Arrow 3" o:spid="_x0000_s1041" type="#_x0000_t80" style="position:absolute;margin-left:0;margin-top:16.75pt;width:182.25pt;height:6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" adj="14035,8800,16200,9800" fillcolor="#2a69a2" stroked="f">
                <v:fill color2="#9dc3e6" rotate="t" angle="180" colors="0 #2a69a2;31457f #609ed6;1 #9dc3e6" focus="100%" type="gradient"/>
                <v:textbox>
                  <w:txbxContent>
                    <w:p w14:paraId="68C3FA55"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СОВЕТ ЗА РЈА</w:t>
                      </w: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668ACC5C" w14:textId="3465C1A9" w:rsidR="00814D3C" w:rsidRDefault="00814D3C" w:rsidP="003B5D17">
      <w:pPr>
        <w:rPr>
          <w:lang w:val="mk-MK"/>
        </w:rPr>
      </w:pPr>
    </w:p>
    <w:p w14:paraId="1A551EF1" w14:textId="46623951" w:rsidR="00814D3C" w:rsidRDefault="00814D3C" w:rsidP="003B5D17">
      <w:pPr>
        <w:rPr>
          <w:lang w:val="mk-MK"/>
        </w:rPr>
      </w:pPr>
      <w:r w:rsidRPr="00BD30C2">
        <w:rPr>
          <w:rFonts w:ascii="StobiSerif Regular" w:hAnsi="StobiSerif Regular"/>
          <w:noProof/>
          <w:lang w:val="en-US"/>
        </w:rPr>
        <mc:AlternateContent>
          <mc:Choice Requires="wps">
            <w:drawing>
              <wp:anchor distT="0" distB="0" distL="114300" distR="114300" simplePos="0" relativeHeight="251669504" behindDoc="0" locked="0" layoutInCell="1" allowOverlap="1" wp14:anchorId="293F1906" wp14:editId="23440D21">
                <wp:simplePos x="0" y="0"/>
                <wp:positionH relativeFrom="column">
                  <wp:posOffset>3895090</wp:posOffset>
                </wp:positionH>
                <wp:positionV relativeFrom="paragraph">
                  <wp:posOffset>12065</wp:posOffset>
                </wp:positionV>
                <wp:extent cx="1195705" cy="746125"/>
                <wp:effectExtent l="15240" t="3810" r="19685" b="19685"/>
                <wp:wrapNone/>
                <wp:docPr id="16" name="Arrow: Curved Up 23"/>
                <wp:cNvGraphicFramePr/>
                <a:graphic xmlns:a="http://schemas.openxmlformats.org/drawingml/2006/main">
                  <a:graphicData uri="http://schemas.microsoft.com/office/word/2010/wordprocessingShape">
                    <wps:wsp>
                      <wps:cNvSpPr/>
                      <wps:spPr>
                        <a:xfrm rot="16200000">
                          <a:off x="0" y="0"/>
                          <a:ext cx="1195705" cy="746125"/>
                        </a:xfrm>
                        <a:prstGeom prst="curved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F7A9599" id="Arrow: Curved Up 23" o:spid="_x0000_s1026" type="#_x0000_t104" style="position:absolute;margin-left:306.7pt;margin-top:.95pt;width:94.15pt;height:58.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" adj="14861,19915,5400" fillcolor="#4472c4" strokecolor="#2f528f" strokeweight="1pt"/>
            </w:pict>
          </mc:Fallback>
        </mc:AlternateContent>
      </w:r>
    </w:p>
    <w:p w14:paraId="167DC2F3" w14:textId="77777777" w:rsidR="008B3CEE" w:rsidRDefault="008B3CEE" w:rsidP="003B5D17">
      <w:pPr>
        <w:rPr>
          <w:lang w:val="mk-MK"/>
        </w:rPr>
      </w:pPr>
    </w:p>
    <w:p w14:paraId="6E6BAB3B" w14:textId="396944B6" w:rsidR="00814D3C" w:rsidRDefault="00814D3C" w:rsidP="003B5D17">
      <w:pPr>
        <w:rPr>
          <w:lang w:val="mk-MK"/>
        </w:rPr>
      </w:pPr>
      <w:r>
        <w:rPr>
          <w:noProof/>
          <w:lang w:val="en-US"/>
        </w:rPr>
        <mc:AlternateContent>
          <mc:Choice Requires="wps">
            <w:drawing>
              <wp:anchor distT="0" distB="0" distL="114300" distR="114300" simplePos="0" relativeHeight="251676672" behindDoc="0" locked="0" layoutInCell="1" allowOverlap="1" wp14:anchorId="4238B190" wp14:editId="2091F4B8">
                <wp:simplePos x="0" y="0"/>
                <wp:positionH relativeFrom="margin">
                  <wp:align>center</wp:align>
                </wp:positionH>
                <wp:positionV relativeFrom="paragraph">
                  <wp:posOffset>11402</wp:posOffset>
                </wp:positionV>
                <wp:extent cx="2273493" cy="921965"/>
                <wp:effectExtent l="0" t="0" r="0" b="0"/>
                <wp:wrapNone/>
                <wp:docPr id="12" name="Callout: Down Arrow 12"/>
                <wp:cNvGraphicFramePr/>
                <a:graphic xmlns:a="http://schemas.openxmlformats.org/drawingml/2006/main">
                  <a:graphicData uri="http://schemas.microsoft.com/office/word/2010/wordprocessingShape">
                    <wps:wsp>
                      <wps:cNvSpPr/>
                      <wps:spPr>
                        <a:xfrm>
                          <a:off x="0" y="0"/>
                          <a:ext cx="2273493" cy="921965"/>
                        </a:xfrm>
                        <a:prstGeom prst="downArrowCallou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58CE67B" w14:textId="41F32200" w:rsidR="00902252" w:rsidRPr="00814D3C" w:rsidRDefault="00902252" w:rsidP="00814D3C">
                            <w:pPr>
                              <w:jc w:val="center"/>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СЕКРЕТАРИЈАТ</w:t>
                            </w:r>
                            <w:r w:rsidRPr="00814D3C">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 РЈА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8B190" id="Callout: Down Arrow 12" o:spid="_x0000_s1042" type="#_x0000_t80" style="position:absolute;margin-left:0;margin-top:.9pt;width:179pt;height:72.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" adj="14035,8610,16200,9705" fillcolor="#2a4a85 [2148]" stroked="f">
                <v:fill color2="#8eaadb [1940]" rotate="t" angle="180" colors="0 #2a4b86;31457f #4a76c6;1 #8faadc" focus="100%" type="gradient"/>
                <v:textbox>
                  <w:txbxContent>
                    <w:p w14:paraId="158CE67B" w14:textId="41F32200" w:rsidR="00902252" w:rsidRPr="00814D3C" w:rsidRDefault="00902252" w:rsidP="00814D3C">
                      <w:pPr>
                        <w:jc w:val="center"/>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СЕКРЕТАРИЈАТ</w:t>
                      </w:r>
                      <w:r w:rsidRPr="00814D3C">
                        <w:rPr>
                          <w:b/>
                          <w:bCs/>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 РЈА</w:t>
                      </w:r>
                    </w:p>
                  </w:txbxContent>
                </v:textbox>
                <w10:wrap anchorx="margin"/>
              </v:shape>
            </w:pict>
          </mc:Fallback>
        </mc:AlternateContent>
      </w:r>
    </w:p>
    <w:p w14:paraId="756795B7" w14:textId="2446D5B4" w:rsidR="00814D3C" w:rsidRDefault="00814D3C" w:rsidP="003B5D17">
      <w:pPr>
        <w:rPr>
          <w:lang w:val="mk-MK"/>
        </w:rPr>
      </w:pPr>
      <w:r w:rsidRPr="00697240">
        <w:rPr>
          <w:noProof/>
          <w:lang w:val="en-US"/>
        </w:rPr>
        <mc:AlternateContent>
          <mc:Choice Requires="wps">
            <w:drawing>
              <wp:anchor distT="0" distB="0" distL="114300" distR="114300" simplePos="0" relativeHeight="251675648" behindDoc="0" locked="0" layoutInCell="1" allowOverlap="1" wp14:anchorId="6B0D942D" wp14:editId="421C479E">
                <wp:simplePos x="0" y="0"/>
                <wp:positionH relativeFrom="column">
                  <wp:posOffset>1093084</wp:posOffset>
                </wp:positionH>
                <wp:positionV relativeFrom="paragraph">
                  <wp:posOffset>5741</wp:posOffset>
                </wp:positionV>
                <wp:extent cx="705803" cy="1009650"/>
                <wp:effectExtent l="0" t="0" r="37465" b="38100"/>
                <wp:wrapNone/>
                <wp:docPr id="30" name="Arrow: Curved Left 30"/>
                <wp:cNvGraphicFramePr/>
                <a:graphic xmlns:a="http://schemas.openxmlformats.org/drawingml/2006/main">
                  <a:graphicData uri="http://schemas.microsoft.com/office/word/2010/wordprocessingShape">
                    <wps:wsp>
                      <wps:cNvSpPr/>
                      <wps:spPr>
                        <a:xfrm flipH="1">
                          <a:off x="0" y="0"/>
                          <a:ext cx="705803" cy="1009650"/>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44E749E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0" o:spid="_x0000_s1026" type="#_x0000_t103" style="position:absolute;margin-left:86.05pt;margin-top:.45pt;width:55.6pt;height:7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" adj="14050,19712,5400" fillcolor="#4472c4" strokecolor="#2f528f" strokeweight="1pt"/>
            </w:pict>
          </mc:Fallback>
        </mc:AlternateContent>
      </w:r>
      <w:r w:rsidRPr="00697240">
        <w:rPr>
          <w:noProof/>
          <w:lang w:val="en-US"/>
        </w:rPr>
        <mc:AlternateContent>
          <mc:Choice Requires="wps">
            <w:drawing>
              <wp:anchor distT="0" distB="0" distL="114300" distR="114300" simplePos="0" relativeHeight="251673600" behindDoc="0" locked="0" layoutInCell="1" allowOverlap="1" wp14:anchorId="598C7FE3" wp14:editId="2CE13D7D">
                <wp:simplePos x="0" y="0"/>
                <wp:positionH relativeFrom="column">
                  <wp:posOffset>3886668</wp:posOffset>
                </wp:positionH>
                <wp:positionV relativeFrom="paragraph">
                  <wp:posOffset>236854</wp:posOffset>
                </wp:positionV>
                <wp:extent cx="1195705" cy="746125"/>
                <wp:effectExtent l="15240" t="3810" r="19685" b="19685"/>
                <wp:wrapNone/>
                <wp:docPr id="23" name="Arrow: Curved Up 23"/>
                <wp:cNvGraphicFramePr/>
                <a:graphic xmlns:a="http://schemas.openxmlformats.org/drawingml/2006/main">
                  <a:graphicData uri="http://schemas.microsoft.com/office/word/2010/wordprocessingShape">
                    <wps:wsp>
                      <wps:cNvSpPr/>
                      <wps:spPr>
                        <a:xfrm rot="16200000">
                          <a:off x="0" y="0"/>
                          <a:ext cx="1195705" cy="746125"/>
                        </a:xfrm>
                        <a:prstGeom prst="curved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6F63B1E" id="Arrow: Curved Up 23" o:spid="_x0000_s1026" type="#_x0000_t104" style="position:absolute;margin-left:306.05pt;margin-top:18.65pt;width:94.15pt;height:58.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" adj="14861,19915,5400" fillcolor="#4472c4" strokecolor="#2f528f" strokeweight="1pt"/>
            </w:pict>
          </mc:Fallback>
        </mc:AlternateContent>
      </w:r>
    </w:p>
    <w:p w14:paraId="4C165A2E" w14:textId="17A811E4" w:rsidR="00814D3C" w:rsidRDefault="00814D3C" w:rsidP="003B5D17">
      <w:pPr>
        <w:rPr>
          <w:lang w:val="mk-MK"/>
        </w:rPr>
      </w:pPr>
    </w:p>
    <w:p w14:paraId="42BA4BD1" w14:textId="5122CF03" w:rsidR="00814D3C" w:rsidRDefault="00814D3C" w:rsidP="003B5D17">
      <w:pPr>
        <w:rPr>
          <w:lang w:val="mk-MK"/>
        </w:rPr>
      </w:pPr>
      <w:r w:rsidRPr="00BD30C2">
        <w:rPr>
          <w:rFonts w:ascii="StobiSerif Regular" w:hAnsi="StobiSerif Regular"/>
          <w:noProof/>
          <w:lang w:val="en-US"/>
        </w:rPr>
        <mc:AlternateContent>
          <mc:Choice Requires="wps">
            <w:drawing>
              <wp:anchor distT="0" distB="0" distL="114300" distR="114300" simplePos="0" relativeHeight="251665408" behindDoc="0" locked="0" layoutInCell="1" allowOverlap="1" wp14:anchorId="5486CAF9" wp14:editId="53E92C4E">
                <wp:simplePos x="0" y="0"/>
                <wp:positionH relativeFrom="margin">
                  <wp:align>center</wp:align>
                </wp:positionH>
                <wp:positionV relativeFrom="paragraph">
                  <wp:posOffset>115266</wp:posOffset>
                </wp:positionV>
                <wp:extent cx="2314575" cy="1076325"/>
                <wp:effectExtent l="0" t="0" r="9525" b="9525"/>
                <wp:wrapNone/>
                <wp:docPr id="19" name="Callout: Down Arrow 21"/>
                <wp:cNvGraphicFramePr/>
                <a:graphic xmlns:a="http://schemas.openxmlformats.org/drawingml/2006/main">
                  <a:graphicData uri="http://schemas.microsoft.com/office/word/2010/wordprocessingShape">
                    <wps:wsp>
                      <wps:cNvSpPr/>
                      <wps:spPr>
                        <a:xfrm>
                          <a:off x="0" y="0"/>
                          <a:ext cx="2314575" cy="1076325"/>
                        </a:xfrm>
                        <a:prstGeom prst="downArrowCallou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1C89FBCC" w14:textId="77777777" w:rsidR="00902252" w:rsidRPr="00C53CC2" w:rsidRDefault="00902252" w:rsidP="005D632E">
                            <w:pPr>
                              <w:jc w:val="center"/>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3CC2">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ОРГАНИЗАЦИОНА ЕДИНИЦА ЗА КООРДИНАЦИЈА  НА СРЈА ВО МИОА</w:t>
                            </w:r>
                            <w:r w:rsidRPr="00C53CC2">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8D896A"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МИОА</w:t>
                            </w: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CAF9" id="Callout: Down Arrow 21" o:spid="_x0000_s1043" type="#_x0000_t80" style="position:absolute;margin-left:0;margin-top:9.1pt;width:182.25pt;height:84.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" adj="14035,8289,16200,9544" fillcolor="#2a4b86" stroked="f">
                <v:fill color2="#8faadc" rotate="t" angle="180" colors="0 #2a4b86;31457f #4a76c6;1 #8faadc" focus="100%" type="gradient"/>
                <v:textbox>
                  <w:txbxContent>
                    <w:p w14:paraId="1C89FBCC" w14:textId="77777777" w:rsidR="00902252" w:rsidRPr="00C53CC2" w:rsidRDefault="00902252" w:rsidP="005D632E">
                      <w:pPr>
                        <w:jc w:val="center"/>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3CC2">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ОРГАНИЗАЦИОНА ЕДИНИЦА ЗА КООРДИНАЦИЈА  НА СРЈА ВО МИОА</w:t>
                      </w:r>
                      <w:r w:rsidRPr="00C53CC2">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8D896A" w14:textId="77777777" w:rsidR="00902252" w:rsidRPr="00DD5F6C" w:rsidRDefault="00902252" w:rsidP="005D632E">
                      <w:pPr>
                        <w:jc w:val="cente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МИОА</w:t>
                      </w: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6D88F85C" w14:textId="00E5F168" w:rsidR="00814D3C" w:rsidRDefault="00814D3C" w:rsidP="003B5D17">
      <w:pPr>
        <w:rPr>
          <w:lang w:val="mk-MK"/>
        </w:rPr>
      </w:pPr>
    </w:p>
    <w:p w14:paraId="152A8AF2" w14:textId="2797146B" w:rsidR="00814D3C" w:rsidRDefault="00814D3C" w:rsidP="003B5D17">
      <w:pPr>
        <w:rPr>
          <w:lang w:val="mk-MK"/>
        </w:rPr>
      </w:pPr>
    </w:p>
    <w:p w14:paraId="3C340A5F" w14:textId="5CFBC634" w:rsidR="00814D3C" w:rsidRDefault="00814D3C" w:rsidP="003B5D17">
      <w:pPr>
        <w:rPr>
          <w:lang w:val="mk-MK"/>
        </w:rPr>
      </w:pPr>
    </w:p>
    <w:p w14:paraId="2016FEFF" w14:textId="45E9AE4D" w:rsidR="00814D3C" w:rsidRDefault="00814D3C" w:rsidP="003B5D17">
      <w:pPr>
        <w:rPr>
          <w:lang w:val="mk-MK"/>
        </w:rPr>
      </w:pPr>
      <w:r w:rsidRPr="00BD30C2">
        <w:rPr>
          <w:rFonts w:ascii="StobiSerif Regular" w:hAnsi="StobiSerif Regular"/>
          <w:noProof/>
          <w:lang w:val="en-US"/>
        </w:rPr>
        <mc:AlternateContent>
          <mc:Choice Requires="wps">
            <w:drawing>
              <wp:anchor distT="0" distB="0" distL="114300" distR="114300" simplePos="0" relativeHeight="251667456" behindDoc="0" locked="0" layoutInCell="1" allowOverlap="1" wp14:anchorId="1A30E68C" wp14:editId="55B85A27">
                <wp:simplePos x="0" y="0"/>
                <wp:positionH relativeFrom="margin">
                  <wp:align>right</wp:align>
                </wp:positionH>
                <wp:positionV relativeFrom="paragraph">
                  <wp:posOffset>48233</wp:posOffset>
                </wp:positionV>
                <wp:extent cx="5838825" cy="942975"/>
                <wp:effectExtent l="0" t="0" r="9525" b="9525"/>
                <wp:wrapNone/>
                <wp:docPr id="22" name="Callout: Up Arrow 2"/>
                <wp:cNvGraphicFramePr/>
                <a:graphic xmlns:a="http://schemas.openxmlformats.org/drawingml/2006/main">
                  <a:graphicData uri="http://schemas.microsoft.com/office/word/2010/wordprocessingShape">
                    <wps:wsp>
                      <wps:cNvSpPr/>
                      <wps:spPr>
                        <a:xfrm>
                          <a:off x="0" y="0"/>
                          <a:ext cx="5838825" cy="942975"/>
                        </a:xfrm>
                        <a:prstGeom prst="upArrowCallout">
                          <a:avLst>
                            <a:gd name="adj1" fmla="val 25000"/>
                            <a:gd name="adj2" fmla="val 27885"/>
                            <a:gd name="adj3" fmla="val 25000"/>
                            <a:gd name="adj4" fmla="val 64977"/>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52B2B03A" w14:textId="77777777" w:rsidR="00902252" w:rsidRPr="00484113" w:rsidRDefault="00902252" w:rsidP="005D632E">
                            <w:pPr>
                              <w:jc w:val="center"/>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4113">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КОНТАКТ ЛИЦА ЗА РЈА ВО ИНСТИТУЦИИТЕ КОИ УЧЕСТВУВААТ ВО СПРОВЕДУВАЊЕТО НА СТРАТЕГИЈАТА ЗА РЈА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0E68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2" o:spid="_x0000_s1044" type="#_x0000_t79" style="position:absolute;margin-left:408.55pt;margin-top:3.8pt;width:459.75pt;height:7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" adj="7565,9827,5400,10364" fillcolor="#2a69a2" stroked="f">
                <v:fill color2="#9dc3e6" rotate="t" angle="180" colors="0 #2a69a2;31457f #609ed6;1 #9dc3e6" focus="100%" type="gradient"/>
                <v:textbox>
                  <w:txbxContent>
                    <w:p w14:paraId="52B2B03A" w14:textId="77777777" w:rsidR="00902252" w:rsidRPr="00484113" w:rsidRDefault="00902252" w:rsidP="005D632E">
                      <w:pPr>
                        <w:jc w:val="center"/>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4113">
                        <w:rPr>
                          <w:b/>
                          <w:color w:val="000000" w:themeColor="text1"/>
                          <w:sz w:val="24"/>
                          <w:szCs w:val="24"/>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КОНТАКТ ЛИЦА ЗА РЈА ВО ИНСТИТУЦИИТЕ КОИ УЧЕСТВУВААТ ВО СПРОВЕДУВАЊЕТО НА СТРАТЕГИЈАТА ЗА РЈА </w:t>
                      </w:r>
                    </w:p>
                  </w:txbxContent>
                </v:textbox>
                <w10:wrap anchorx="margin"/>
              </v:shape>
            </w:pict>
          </mc:Fallback>
        </mc:AlternateContent>
      </w:r>
    </w:p>
    <w:p w14:paraId="3DD900EB" w14:textId="1F5ACB67" w:rsidR="00814D3C" w:rsidRDefault="00814D3C" w:rsidP="003B5D17">
      <w:pPr>
        <w:rPr>
          <w:lang w:val="mk-MK"/>
        </w:rPr>
      </w:pPr>
    </w:p>
    <w:p w14:paraId="2CFE14D9" w14:textId="6C912F80" w:rsidR="00814D3C" w:rsidRPr="007163E0" w:rsidRDefault="00814D3C" w:rsidP="00814D3C">
      <w:pPr>
        <w:spacing w:line="276" w:lineRule="auto"/>
        <w:jc w:val="both"/>
        <w:rPr>
          <w:rFonts w:cstheme="minorHAnsi"/>
          <w:lang w:val="mk-MK"/>
        </w:rPr>
      </w:pPr>
      <w:r w:rsidRPr="007163E0">
        <w:rPr>
          <w:rFonts w:cstheme="minorHAnsi"/>
          <w:lang w:val="mk-MK"/>
        </w:rPr>
        <w:t xml:space="preserve">Со цел успешна координација и управување со процесот </w:t>
      </w:r>
      <w:r w:rsidR="00AD0428">
        <w:rPr>
          <w:rFonts w:cstheme="minorHAnsi"/>
          <w:lang w:val="mk-MK"/>
        </w:rPr>
        <w:t xml:space="preserve">на </w:t>
      </w:r>
      <w:r w:rsidRPr="007163E0">
        <w:rPr>
          <w:rFonts w:cstheme="minorHAnsi"/>
          <w:lang w:val="mk-MK"/>
        </w:rPr>
        <w:t>спроведување на Стратегијата за РЈА</w:t>
      </w:r>
      <w:r w:rsidR="00AD0428">
        <w:rPr>
          <w:rFonts w:cstheme="minorHAnsi"/>
          <w:lang w:val="mk-MK"/>
        </w:rPr>
        <w:t>, веќе воспоставената институ</w:t>
      </w:r>
      <w:r w:rsidRPr="007163E0">
        <w:rPr>
          <w:rFonts w:cstheme="minorHAnsi"/>
          <w:lang w:val="mk-MK"/>
        </w:rPr>
        <w:t xml:space="preserve">ционална структура ќе се задржи со јасно утврдување на улогата и надлежностите на секое од нивоата за координација.  </w:t>
      </w:r>
    </w:p>
    <w:p w14:paraId="2A729A0E" w14:textId="77777777" w:rsidR="00814D3C" w:rsidRPr="007163E0" w:rsidRDefault="00814D3C" w:rsidP="00814D3C">
      <w:pPr>
        <w:spacing w:after="0" w:line="276" w:lineRule="auto"/>
        <w:jc w:val="both"/>
        <w:rPr>
          <w:rFonts w:cstheme="minorHAnsi"/>
          <w:lang w:val="mk-MK"/>
        </w:rPr>
      </w:pPr>
    </w:p>
    <w:p w14:paraId="098CE108" w14:textId="5DB2D746" w:rsidR="00814D3C" w:rsidRPr="00814D3C" w:rsidRDefault="00814D3C" w:rsidP="00D3445B">
      <w:pPr>
        <w:spacing w:line="276" w:lineRule="auto"/>
        <w:rPr>
          <w:rFonts w:cstheme="minorHAnsi"/>
          <w:b/>
          <w:sz w:val="24"/>
          <w:szCs w:val="24"/>
          <w:lang w:val="mk-MK"/>
        </w:rPr>
      </w:pPr>
      <w:r w:rsidRPr="00814D3C">
        <w:rPr>
          <w:rFonts w:cstheme="minorHAnsi"/>
          <w:b/>
          <w:sz w:val="24"/>
          <w:szCs w:val="24"/>
          <w:lang w:val="mk-MK"/>
        </w:rPr>
        <w:t>СОВЕТ ЗА РЕФОРМА НА ЈАВНАТА АДМИНИСТРАЦИЈА</w:t>
      </w:r>
    </w:p>
    <w:p w14:paraId="7CA1B07E" w14:textId="3AE3623E" w:rsidR="00814D3C" w:rsidRPr="007163E0" w:rsidRDefault="00814D3C" w:rsidP="00814D3C">
      <w:pPr>
        <w:spacing w:after="120" w:line="276" w:lineRule="auto"/>
        <w:jc w:val="both"/>
        <w:rPr>
          <w:rFonts w:cstheme="minorHAnsi"/>
          <w:lang w:val="mk-MK"/>
        </w:rPr>
      </w:pPr>
      <w:r w:rsidRPr="007163E0">
        <w:rPr>
          <w:rFonts w:cstheme="minorHAnsi"/>
          <w:lang w:val="mk-MK"/>
        </w:rPr>
        <w:t>За постигнување на целите кои Стратегијата за РЈА ги поставува</w:t>
      </w:r>
      <w:r w:rsidR="00B555C8">
        <w:rPr>
          <w:rFonts w:cstheme="minorHAnsi"/>
          <w:lang w:val="mk-MK"/>
        </w:rPr>
        <w:t>,</w:t>
      </w:r>
      <w:r w:rsidRPr="007163E0">
        <w:rPr>
          <w:rFonts w:cstheme="minorHAnsi"/>
          <w:lang w:val="mk-MK"/>
        </w:rPr>
        <w:t xml:space="preserve"> но пред се, за координација на целокупниот процес на РЈА на политичко ниво, се конкретизираат </w:t>
      </w:r>
      <w:r w:rsidR="007C6907">
        <w:rPr>
          <w:rFonts w:cstheme="minorHAnsi"/>
          <w:lang w:val="mk-MK"/>
        </w:rPr>
        <w:t>задачите</w:t>
      </w:r>
      <w:r w:rsidRPr="007163E0" w:rsidDel="000C3537">
        <w:rPr>
          <w:rFonts w:cstheme="minorHAnsi"/>
          <w:lang w:val="mk-MK"/>
        </w:rPr>
        <w:t xml:space="preserve"> </w:t>
      </w:r>
      <w:r w:rsidRPr="007163E0">
        <w:rPr>
          <w:rFonts w:cstheme="minorHAnsi"/>
          <w:lang w:val="mk-MK"/>
        </w:rPr>
        <w:t xml:space="preserve">на Советот за </w:t>
      </w:r>
      <w:r w:rsidR="00152374">
        <w:rPr>
          <w:rFonts w:cstheme="minorHAnsi"/>
          <w:lang w:val="mk-MK"/>
        </w:rPr>
        <w:t>РЈА</w:t>
      </w:r>
      <w:r w:rsidRPr="007163E0">
        <w:rPr>
          <w:rFonts w:cstheme="minorHAnsi"/>
          <w:lang w:val="mk-MK"/>
        </w:rPr>
        <w:t xml:space="preserve">. </w:t>
      </w:r>
    </w:p>
    <w:p w14:paraId="61FCC1A4" w14:textId="0E321F79" w:rsidR="00814D3C" w:rsidRPr="007163E0" w:rsidRDefault="00814D3C" w:rsidP="00814D3C">
      <w:pPr>
        <w:spacing w:after="120" w:line="276" w:lineRule="auto"/>
        <w:jc w:val="both"/>
        <w:rPr>
          <w:rFonts w:cstheme="minorHAnsi"/>
          <w:lang w:val="mk-MK"/>
        </w:rPr>
      </w:pPr>
      <w:r w:rsidRPr="007163E0">
        <w:rPr>
          <w:rFonts w:cstheme="minorHAnsi"/>
          <w:lang w:val="mk-MK"/>
        </w:rPr>
        <w:t xml:space="preserve">Поради комплексната и хоризонтална природа на РЈА, политичкото лидерство останува кај </w:t>
      </w:r>
      <w:r w:rsidR="003C7510">
        <w:rPr>
          <w:rFonts w:cstheme="minorHAnsi"/>
          <w:lang w:val="mk-MK"/>
        </w:rPr>
        <w:t>п</w:t>
      </w:r>
      <w:r w:rsidRPr="007163E0">
        <w:rPr>
          <w:rFonts w:cstheme="minorHAnsi"/>
          <w:lang w:val="mk-MK"/>
        </w:rPr>
        <w:t xml:space="preserve">ретседателот на </w:t>
      </w:r>
      <w:r w:rsidR="00202BF0">
        <w:rPr>
          <w:rFonts w:cstheme="minorHAnsi"/>
          <w:lang w:val="mk-MK"/>
        </w:rPr>
        <w:t>ВРСМ</w:t>
      </w:r>
      <w:r w:rsidR="00152374">
        <w:rPr>
          <w:rFonts w:cstheme="minorHAnsi"/>
          <w:lang w:val="mk-MK"/>
        </w:rPr>
        <w:t xml:space="preserve"> </w:t>
      </w:r>
      <w:r w:rsidRPr="007163E0">
        <w:rPr>
          <w:rFonts w:cstheme="minorHAnsi"/>
          <w:lang w:val="mk-MK"/>
        </w:rPr>
        <w:t xml:space="preserve">кој претседава со Советот за </w:t>
      </w:r>
      <w:r w:rsidR="00152374">
        <w:rPr>
          <w:rFonts w:cstheme="minorHAnsi"/>
          <w:lang w:val="mk-MK"/>
        </w:rPr>
        <w:t>РЈА</w:t>
      </w:r>
      <w:r w:rsidRPr="007163E0">
        <w:rPr>
          <w:rFonts w:cstheme="minorHAnsi"/>
          <w:lang w:val="mk-MK"/>
        </w:rPr>
        <w:t xml:space="preserve">. Во отсуство на </w:t>
      </w:r>
      <w:r w:rsidR="003231F3">
        <w:rPr>
          <w:rFonts w:cstheme="minorHAnsi"/>
          <w:lang w:val="mk-MK"/>
        </w:rPr>
        <w:t>п</w:t>
      </w:r>
      <w:r w:rsidRPr="007163E0">
        <w:rPr>
          <w:rFonts w:cstheme="minorHAnsi"/>
          <w:lang w:val="mk-MK"/>
        </w:rPr>
        <w:t xml:space="preserve">ретседателот на </w:t>
      </w:r>
      <w:r w:rsidR="00202BF0">
        <w:rPr>
          <w:rFonts w:cstheme="minorHAnsi"/>
          <w:lang w:val="mk-MK"/>
        </w:rPr>
        <w:t>ВРСМ</w:t>
      </w:r>
      <w:r w:rsidR="00152374">
        <w:rPr>
          <w:rFonts w:cstheme="minorHAnsi"/>
          <w:lang w:val="mk-MK"/>
        </w:rPr>
        <w:t>,</w:t>
      </w:r>
      <w:r w:rsidRPr="007163E0">
        <w:rPr>
          <w:rFonts w:cstheme="minorHAnsi"/>
          <w:lang w:val="mk-MK"/>
        </w:rPr>
        <w:t xml:space="preserve"> министерот за информатичко општество и администрација ќе претседава со Советот за РЈА.</w:t>
      </w:r>
    </w:p>
    <w:p w14:paraId="389D91C3" w14:textId="33EE12AA" w:rsidR="00814D3C" w:rsidRPr="007163E0" w:rsidRDefault="00814D3C" w:rsidP="00814D3C">
      <w:pPr>
        <w:spacing w:after="120" w:line="276" w:lineRule="auto"/>
        <w:jc w:val="both"/>
        <w:rPr>
          <w:rFonts w:cstheme="minorHAnsi"/>
          <w:lang w:val="mk-MK"/>
        </w:rPr>
      </w:pPr>
      <w:r w:rsidRPr="007163E0">
        <w:rPr>
          <w:rFonts w:cstheme="minorHAnsi"/>
          <w:lang w:val="mk-MK"/>
        </w:rPr>
        <w:t xml:space="preserve">Советот е составен од членови на </w:t>
      </w:r>
      <w:r w:rsidR="00202BF0">
        <w:rPr>
          <w:rFonts w:cstheme="minorHAnsi"/>
          <w:lang w:val="mk-MK"/>
        </w:rPr>
        <w:t>ВРСМ</w:t>
      </w:r>
      <w:r w:rsidR="00202BF0" w:rsidRPr="007163E0">
        <w:rPr>
          <w:rFonts w:cstheme="minorHAnsi"/>
          <w:lang w:val="mk-MK"/>
        </w:rPr>
        <w:t xml:space="preserve"> </w:t>
      </w:r>
      <w:r w:rsidRPr="007163E0">
        <w:rPr>
          <w:rFonts w:cstheme="minorHAnsi"/>
          <w:lang w:val="mk-MK"/>
        </w:rPr>
        <w:t xml:space="preserve">чии институции се носители и учесници на активностите утврдени во Акцискиот план на Стратегијата за РЈА. </w:t>
      </w:r>
    </w:p>
    <w:p w14:paraId="0FEDAFDF" w14:textId="7319E8B5" w:rsidR="00814D3C" w:rsidRPr="007163E0" w:rsidRDefault="00814D3C" w:rsidP="00814D3C">
      <w:pPr>
        <w:spacing w:after="120" w:line="276" w:lineRule="auto"/>
        <w:jc w:val="both"/>
        <w:rPr>
          <w:rFonts w:cstheme="minorHAnsi"/>
          <w:lang w:val="mk-MK"/>
        </w:rPr>
      </w:pPr>
      <w:r w:rsidRPr="007163E0">
        <w:rPr>
          <w:rFonts w:cstheme="minorHAnsi"/>
          <w:lang w:val="mk-MK"/>
        </w:rPr>
        <w:lastRenderedPageBreak/>
        <w:t>Едновремено, по потреба и покана од претседавачот на седниците на Совет</w:t>
      </w:r>
      <w:r w:rsidR="00B555C8">
        <w:rPr>
          <w:rFonts w:cstheme="minorHAnsi"/>
          <w:lang w:val="mk-MK"/>
        </w:rPr>
        <w:t>от за РЈА може да учествуваат но</w:t>
      </w:r>
      <w:r w:rsidRPr="007163E0">
        <w:rPr>
          <w:rFonts w:cstheme="minorHAnsi"/>
          <w:lang w:val="mk-MK"/>
        </w:rPr>
        <w:t>сители на јавни функции на институции и раководители на државни институции, како и пре</w:t>
      </w:r>
      <w:r w:rsidR="00B555C8">
        <w:rPr>
          <w:rFonts w:cstheme="minorHAnsi"/>
          <w:lang w:val="mk-MK"/>
        </w:rPr>
        <w:t>т</w:t>
      </w:r>
      <w:r w:rsidRPr="007163E0">
        <w:rPr>
          <w:rFonts w:cstheme="minorHAnsi"/>
          <w:lang w:val="mk-MK"/>
        </w:rPr>
        <w:t xml:space="preserve">ставници на граѓанските организации.   </w:t>
      </w:r>
    </w:p>
    <w:p w14:paraId="2C80C32C" w14:textId="77777777" w:rsidR="00814D3C" w:rsidRPr="007163E0" w:rsidRDefault="00814D3C" w:rsidP="00814D3C">
      <w:pPr>
        <w:spacing w:after="120" w:line="276" w:lineRule="auto"/>
        <w:jc w:val="both"/>
        <w:rPr>
          <w:rFonts w:cstheme="minorHAnsi"/>
          <w:lang w:val="mk-MK"/>
        </w:rPr>
      </w:pPr>
      <w:r w:rsidRPr="007163E0">
        <w:rPr>
          <w:rFonts w:cstheme="minorHAnsi"/>
          <w:b/>
          <w:lang w:val="mk-MK"/>
        </w:rPr>
        <w:t>Главна улога на Советот за РЈА е на политичко ниво да обезбеди</w:t>
      </w:r>
      <w:r w:rsidRPr="007163E0">
        <w:rPr>
          <w:rFonts w:cstheme="minorHAnsi"/>
          <w:lang w:val="mk-MK"/>
        </w:rPr>
        <w:t>:</w:t>
      </w:r>
    </w:p>
    <w:p w14:paraId="62CC3B8F" w14:textId="77777777" w:rsidR="00814D3C" w:rsidRPr="007163E0" w:rsidRDefault="00814D3C" w:rsidP="00814D3C">
      <w:pPr>
        <w:numPr>
          <w:ilvl w:val="0"/>
          <w:numId w:val="9"/>
        </w:numPr>
        <w:spacing w:after="120" w:line="276" w:lineRule="auto"/>
        <w:jc w:val="both"/>
        <w:rPr>
          <w:rFonts w:cstheme="minorHAnsi"/>
        </w:rPr>
      </w:pPr>
      <w:r w:rsidRPr="007163E0">
        <w:rPr>
          <w:rFonts w:eastAsia="Times New Roman" w:cstheme="minorHAnsi"/>
          <w:lang w:val="mk-MK"/>
        </w:rPr>
        <w:t>Взаемна поврзаност, усогласеност</w:t>
      </w:r>
      <w:r w:rsidRPr="007163E0">
        <w:rPr>
          <w:rFonts w:cstheme="minorHAnsi"/>
          <w:lang w:val="ru-RU"/>
        </w:rPr>
        <w:t xml:space="preserve"> и следење на имплементацијата </w:t>
      </w:r>
      <w:r w:rsidRPr="007163E0">
        <w:rPr>
          <w:rFonts w:eastAsia="Times New Roman" w:cstheme="minorHAnsi"/>
          <w:lang w:val="mk-MK"/>
        </w:rPr>
        <w:t>на стратешките документи (стратегии, програми, планови, политики и сл.) од областа на реформата на јавната администрација;</w:t>
      </w:r>
      <w:r w:rsidRPr="007163E0">
        <w:rPr>
          <w:rFonts w:cstheme="minorHAnsi"/>
          <w:lang w:val="ru-RU"/>
        </w:rPr>
        <w:t xml:space="preserve"> </w:t>
      </w:r>
    </w:p>
    <w:p w14:paraId="5015CF37" w14:textId="4F4ED5F4" w:rsidR="00814D3C" w:rsidRPr="007163E0" w:rsidRDefault="00814D3C" w:rsidP="00814D3C">
      <w:pPr>
        <w:pStyle w:val="ListParagraph"/>
        <w:numPr>
          <w:ilvl w:val="0"/>
          <w:numId w:val="8"/>
        </w:numPr>
        <w:spacing w:line="276" w:lineRule="auto"/>
        <w:jc w:val="both"/>
        <w:rPr>
          <w:rFonts w:eastAsia="Times New Roman" w:cstheme="minorHAnsi"/>
          <w:lang w:val="mk-MK"/>
        </w:rPr>
      </w:pPr>
      <w:r w:rsidRPr="007163E0">
        <w:rPr>
          <w:rFonts w:cstheme="minorHAnsi"/>
          <w:lang w:val="ru-RU"/>
        </w:rPr>
        <w:t xml:space="preserve">Разгледување на годишните извештаи и давање на препораки до </w:t>
      </w:r>
      <w:r w:rsidR="00202BF0">
        <w:rPr>
          <w:rFonts w:cstheme="minorHAnsi"/>
          <w:lang w:val="ru-RU"/>
        </w:rPr>
        <w:t xml:space="preserve">ВРСМ </w:t>
      </w:r>
      <w:r w:rsidRPr="007163E0">
        <w:rPr>
          <w:rFonts w:cstheme="minorHAnsi"/>
          <w:lang w:val="ru-RU"/>
        </w:rPr>
        <w:t>за преземање на мерки за доследна реализација на процесот на РЈА, со цел  намалување  на  ризиците  од  не</w:t>
      </w:r>
      <w:r w:rsidRPr="007163E0">
        <w:rPr>
          <w:rFonts w:cstheme="minorHAnsi"/>
        </w:rPr>
        <w:t xml:space="preserve"> </w:t>
      </w:r>
      <w:r w:rsidRPr="007163E0">
        <w:rPr>
          <w:rFonts w:cstheme="minorHAnsi"/>
          <w:lang w:val="ru-RU"/>
        </w:rPr>
        <w:t xml:space="preserve">спроведување </w:t>
      </w:r>
      <w:r w:rsidRPr="007163E0">
        <w:rPr>
          <w:rFonts w:eastAsia="Times New Roman" w:cstheme="minorHAnsi"/>
          <w:lang w:val="mk-MK"/>
        </w:rPr>
        <w:t>или потешкотии при спроведување на планираните цели и мерки;</w:t>
      </w:r>
    </w:p>
    <w:p w14:paraId="6FBB4AE4" w14:textId="77777777" w:rsidR="00814D3C" w:rsidRPr="007163E0" w:rsidRDefault="00814D3C" w:rsidP="00814D3C">
      <w:pPr>
        <w:numPr>
          <w:ilvl w:val="0"/>
          <w:numId w:val="8"/>
        </w:numPr>
        <w:spacing w:line="276" w:lineRule="auto"/>
        <w:contextualSpacing/>
        <w:jc w:val="both"/>
        <w:rPr>
          <w:rFonts w:eastAsia="Times New Roman" w:cstheme="minorHAnsi"/>
          <w:lang w:val="mk-MK"/>
        </w:rPr>
      </w:pPr>
      <w:r w:rsidRPr="007163E0">
        <w:rPr>
          <w:rFonts w:eastAsia="Times New Roman" w:cstheme="minorHAnsi"/>
          <w:lang w:val="mk-MK"/>
        </w:rPr>
        <w:t>Разгледување на ефектите од спроведените реформски активности во различните сектори од јавниот сектор, кои се одразуваат врз јавната администрација; </w:t>
      </w:r>
    </w:p>
    <w:p w14:paraId="7F350BD4" w14:textId="1E72D573" w:rsidR="00814D3C" w:rsidRPr="007163E0" w:rsidRDefault="00814D3C" w:rsidP="00814D3C">
      <w:pPr>
        <w:pStyle w:val="ListParagraph"/>
        <w:numPr>
          <w:ilvl w:val="0"/>
          <w:numId w:val="8"/>
        </w:numPr>
        <w:spacing w:line="276" w:lineRule="auto"/>
        <w:jc w:val="both"/>
        <w:rPr>
          <w:rFonts w:eastAsia="Times New Roman" w:cstheme="minorHAnsi"/>
          <w:lang w:val="mk-MK"/>
        </w:rPr>
      </w:pPr>
      <w:r w:rsidRPr="007163E0">
        <w:rPr>
          <w:rFonts w:eastAsia="Times New Roman" w:cstheme="minorHAnsi"/>
          <w:lang w:val="mk-MK"/>
        </w:rPr>
        <w:t>Кохерентно планирање на реформата на јавната администрација, буџетот и процесот на евро</w:t>
      </w:r>
      <w:r w:rsidR="00152374">
        <w:rPr>
          <w:rFonts w:eastAsia="Times New Roman" w:cstheme="minorHAnsi"/>
          <w:lang w:val="mk-MK"/>
        </w:rPr>
        <w:t xml:space="preserve">пска </w:t>
      </w:r>
      <w:r w:rsidRPr="007163E0">
        <w:rPr>
          <w:rFonts w:eastAsia="Times New Roman" w:cstheme="minorHAnsi"/>
          <w:lang w:val="mk-MK"/>
        </w:rPr>
        <w:t xml:space="preserve">интеграција на </w:t>
      </w:r>
      <w:r w:rsidR="003C7510">
        <w:rPr>
          <w:rFonts w:eastAsia="Times New Roman" w:cstheme="minorHAnsi"/>
          <w:lang w:val="mk-MK"/>
        </w:rPr>
        <w:t>РСМ</w:t>
      </w:r>
      <w:r w:rsidRPr="007163E0">
        <w:rPr>
          <w:rFonts w:eastAsia="Times New Roman" w:cstheme="minorHAnsi"/>
          <w:lang w:val="mk-MK"/>
        </w:rPr>
        <w:t>; и</w:t>
      </w:r>
    </w:p>
    <w:p w14:paraId="3113BFB9" w14:textId="6745B31E" w:rsidR="00814D3C" w:rsidRPr="007163E0" w:rsidRDefault="00814D3C" w:rsidP="00814D3C">
      <w:pPr>
        <w:pStyle w:val="ListParagraph"/>
        <w:numPr>
          <w:ilvl w:val="0"/>
          <w:numId w:val="8"/>
        </w:numPr>
        <w:spacing w:after="120" w:line="276" w:lineRule="auto"/>
        <w:jc w:val="both"/>
        <w:rPr>
          <w:rFonts w:cstheme="minorHAnsi"/>
          <w:lang w:val="mk-MK"/>
        </w:rPr>
      </w:pPr>
      <w:r w:rsidRPr="007163E0">
        <w:rPr>
          <w:rFonts w:cstheme="minorHAnsi"/>
          <w:lang w:val="mk-MK"/>
        </w:rPr>
        <w:t xml:space="preserve">Разгледување и спроведување на заклучоците од </w:t>
      </w:r>
      <w:r w:rsidR="00152374">
        <w:rPr>
          <w:rFonts w:cstheme="minorHAnsi"/>
          <w:lang w:val="mk-MK"/>
        </w:rPr>
        <w:t>С</w:t>
      </w:r>
      <w:r w:rsidRPr="007163E0">
        <w:rPr>
          <w:rFonts w:cstheme="minorHAnsi"/>
          <w:lang w:val="mk-MK"/>
        </w:rPr>
        <w:t>екторска работна група за РЈА.</w:t>
      </w:r>
    </w:p>
    <w:p w14:paraId="5DAEF1D9" w14:textId="77777777" w:rsidR="00814D3C" w:rsidRPr="00BD30C2" w:rsidRDefault="00814D3C" w:rsidP="00814D3C">
      <w:pPr>
        <w:pStyle w:val="ListParagraph"/>
        <w:spacing w:line="276" w:lineRule="auto"/>
        <w:jc w:val="both"/>
        <w:rPr>
          <w:rFonts w:ascii="StobiSerif Regular" w:eastAsia="Times New Roman" w:hAnsi="StobiSerif Regular" w:cstheme="minorHAnsi"/>
          <w:lang w:val="mk-MK"/>
        </w:rPr>
      </w:pPr>
    </w:p>
    <w:p w14:paraId="1B810347" w14:textId="5B9BB2B7" w:rsidR="00814D3C" w:rsidRPr="007163E0" w:rsidRDefault="00DA074B" w:rsidP="00814D3C">
      <w:pPr>
        <w:spacing w:after="120" w:line="276" w:lineRule="auto"/>
        <w:jc w:val="both"/>
        <w:rPr>
          <w:rFonts w:cstheme="minorHAnsi"/>
          <w:lang w:val="mk-MK"/>
        </w:rPr>
      </w:pPr>
      <w:r>
        <w:rPr>
          <w:rFonts w:cstheme="minorHAnsi"/>
          <w:lang w:val="mk-MK"/>
        </w:rPr>
        <w:t>С</w:t>
      </w:r>
      <w:r w:rsidR="00814D3C" w:rsidRPr="007163E0">
        <w:rPr>
          <w:rFonts w:cstheme="minorHAnsi"/>
          <w:lang w:val="mk-MK"/>
        </w:rPr>
        <w:t>о цел да се оцени остварениот напредок во спроведувањето на РЈА</w:t>
      </w:r>
      <w:r w:rsidR="00B555C8">
        <w:rPr>
          <w:rFonts w:cstheme="minorHAnsi"/>
          <w:lang w:val="mk-MK"/>
        </w:rPr>
        <w:t>,</w:t>
      </w:r>
      <w:r w:rsidR="00814D3C" w:rsidRPr="007163E0">
        <w:rPr>
          <w:rFonts w:cstheme="minorHAnsi"/>
          <w:lang w:val="mk-MK"/>
        </w:rPr>
        <w:t xml:space="preserve"> но и да се обезбеди хоризонтална поврзаност на приоритетите и резултатите од Акцискиот план на Стратегијата за РЈА 2023 – 2030 и другите стратешки документи релевантни за процесот на РЈА </w:t>
      </w:r>
      <w:r w:rsidR="003231F3">
        <w:rPr>
          <w:rFonts w:cstheme="minorHAnsi"/>
          <w:lang w:val="mk-MK"/>
        </w:rPr>
        <w:t xml:space="preserve">(особено Програмата за реформа на управувањето со јавните финансии) </w:t>
      </w:r>
      <w:r w:rsidR="00814D3C" w:rsidRPr="007163E0">
        <w:rPr>
          <w:rFonts w:cstheme="minorHAnsi"/>
          <w:lang w:val="mk-MK"/>
        </w:rPr>
        <w:t xml:space="preserve">во рамките на циклусот на стратешко и буџетско </w:t>
      </w:r>
      <w:r w:rsidR="00814D3C" w:rsidRPr="00DA074B">
        <w:rPr>
          <w:rFonts w:cstheme="minorHAnsi"/>
          <w:lang w:val="mk-MK"/>
        </w:rPr>
        <w:t>планирање</w:t>
      </w:r>
      <w:r w:rsidRPr="00DA074B">
        <w:rPr>
          <w:rFonts w:cstheme="minorHAnsi"/>
          <w:lang w:val="mk-MK"/>
        </w:rPr>
        <w:t xml:space="preserve"> Советот за РЈА</w:t>
      </w:r>
      <w:r>
        <w:rPr>
          <w:rFonts w:cstheme="minorHAnsi"/>
          <w:lang w:val="mk-MK"/>
        </w:rPr>
        <w:t xml:space="preserve"> ќе организира седници.</w:t>
      </w:r>
      <w:r w:rsidR="00814D3C" w:rsidRPr="007163E0">
        <w:rPr>
          <w:rFonts w:cstheme="minorHAnsi"/>
          <w:lang w:val="mk-MK"/>
        </w:rPr>
        <w:t xml:space="preserve"> </w:t>
      </w:r>
    </w:p>
    <w:p w14:paraId="3F676E6B" w14:textId="7DD0203B" w:rsidR="00814D3C" w:rsidRDefault="00814D3C" w:rsidP="00814D3C">
      <w:pPr>
        <w:spacing w:after="120" w:line="276" w:lineRule="auto"/>
        <w:jc w:val="both"/>
        <w:rPr>
          <w:rFonts w:cstheme="minorHAnsi"/>
          <w:lang w:val="mk-MK"/>
        </w:rPr>
      </w:pPr>
      <w:r w:rsidRPr="007163E0">
        <w:rPr>
          <w:rFonts w:cstheme="minorHAnsi"/>
          <w:lang w:val="mk-MK"/>
        </w:rPr>
        <w:t xml:space="preserve">Дневниот ред, записниците и заклучоците од седниците на Советот за РЈА се </w:t>
      </w:r>
      <w:r w:rsidR="00EA6C95">
        <w:rPr>
          <w:rFonts w:cstheme="minorHAnsi"/>
          <w:lang w:val="mk-MK"/>
        </w:rPr>
        <w:t xml:space="preserve">објавуваат </w:t>
      </w:r>
      <w:r w:rsidRPr="007163E0">
        <w:rPr>
          <w:rFonts w:cstheme="minorHAnsi"/>
          <w:lang w:val="mk-MK"/>
        </w:rPr>
        <w:t>на веб стран</w:t>
      </w:r>
      <w:r w:rsidR="003231F3">
        <w:rPr>
          <w:rFonts w:cstheme="minorHAnsi"/>
          <w:lang w:val="mk-MK"/>
        </w:rPr>
        <w:t>иц</w:t>
      </w:r>
      <w:r w:rsidRPr="007163E0">
        <w:rPr>
          <w:rFonts w:cstheme="minorHAnsi"/>
          <w:lang w:val="mk-MK"/>
        </w:rPr>
        <w:t xml:space="preserve">ата на МИОА. </w:t>
      </w:r>
    </w:p>
    <w:p w14:paraId="03F2A95E" w14:textId="77777777" w:rsidR="007C6907" w:rsidRDefault="007C6907" w:rsidP="007C6907">
      <w:pPr>
        <w:spacing w:line="276" w:lineRule="auto"/>
        <w:rPr>
          <w:rFonts w:cstheme="minorHAnsi"/>
          <w:b/>
          <w:sz w:val="24"/>
          <w:szCs w:val="24"/>
          <w:lang w:val="mk-MK"/>
        </w:rPr>
      </w:pPr>
    </w:p>
    <w:p w14:paraId="757AE5D4" w14:textId="475ADD90" w:rsidR="00814D3C" w:rsidRPr="00D3445B" w:rsidRDefault="00EA6C95" w:rsidP="00D3445B">
      <w:pPr>
        <w:spacing w:line="276" w:lineRule="auto"/>
        <w:rPr>
          <w:rFonts w:cstheme="minorHAnsi"/>
          <w:b/>
          <w:sz w:val="24"/>
          <w:szCs w:val="24"/>
          <w:lang w:val="mk-MK"/>
        </w:rPr>
      </w:pPr>
      <w:r w:rsidRPr="00D3445B">
        <w:rPr>
          <w:rFonts w:cstheme="minorHAnsi"/>
          <w:b/>
          <w:sz w:val="24"/>
          <w:szCs w:val="24"/>
          <w:lang w:val="mk-MK"/>
        </w:rPr>
        <w:t xml:space="preserve">СЕКРЕТАРИЈАТ </w:t>
      </w:r>
      <w:r w:rsidR="00814D3C" w:rsidRPr="00D3445B">
        <w:rPr>
          <w:rFonts w:cstheme="minorHAnsi"/>
          <w:b/>
          <w:sz w:val="24"/>
          <w:szCs w:val="24"/>
          <w:lang w:val="mk-MK"/>
        </w:rPr>
        <w:t>ЗА РЕФОРМА НА ЈАВНАТА АДМИНИСТРАЦИЈА</w:t>
      </w:r>
    </w:p>
    <w:p w14:paraId="06CFEB6F" w14:textId="2C039062" w:rsidR="00814D3C" w:rsidRPr="00B555C8" w:rsidRDefault="00814D3C" w:rsidP="00814D3C">
      <w:pPr>
        <w:spacing w:after="120" w:line="276" w:lineRule="auto"/>
        <w:jc w:val="both"/>
        <w:rPr>
          <w:rFonts w:cstheme="minorHAnsi"/>
          <w:lang w:val="mk-MK"/>
        </w:rPr>
      </w:pPr>
      <w:r w:rsidRPr="007163E0">
        <w:rPr>
          <w:rFonts w:cstheme="minorHAnsi"/>
          <w:lang w:val="mk-MK"/>
        </w:rPr>
        <w:t xml:space="preserve">Со </w:t>
      </w:r>
      <w:r w:rsidR="00EA6C95">
        <w:rPr>
          <w:rFonts w:cstheme="minorHAnsi"/>
          <w:lang w:val="mk-MK"/>
        </w:rPr>
        <w:t xml:space="preserve">Секретаријатот за </w:t>
      </w:r>
      <w:r w:rsidR="00B555C8">
        <w:rPr>
          <w:rFonts w:cstheme="minorHAnsi"/>
          <w:lang w:val="mk-MK"/>
        </w:rPr>
        <w:t>РЈА</w:t>
      </w:r>
      <w:r w:rsidRPr="007163E0">
        <w:rPr>
          <w:rFonts w:cstheme="minorHAnsi"/>
          <w:lang w:val="ru-RU"/>
        </w:rPr>
        <w:t xml:space="preserve"> раководи  заменикот  министер  на </w:t>
      </w:r>
      <w:r w:rsidR="00EA6C95">
        <w:rPr>
          <w:rFonts w:cstheme="minorHAnsi"/>
          <w:lang w:val="ru-RU"/>
        </w:rPr>
        <w:t>МИОА</w:t>
      </w:r>
      <w:r w:rsidRPr="007163E0">
        <w:rPr>
          <w:rFonts w:cstheme="minorHAnsi"/>
          <w:lang w:val="ru-RU"/>
        </w:rPr>
        <w:t>,</w:t>
      </w:r>
      <w:r w:rsidRPr="007163E0">
        <w:rPr>
          <w:rFonts w:cstheme="minorHAnsi"/>
          <w:lang w:val="mk-MK"/>
        </w:rPr>
        <w:t xml:space="preserve"> а во негово отсустсво раководи државниот секретар на </w:t>
      </w:r>
      <w:r w:rsidR="00EA6C95">
        <w:rPr>
          <w:rFonts w:cstheme="minorHAnsi"/>
          <w:lang w:val="mk-MK"/>
        </w:rPr>
        <w:t>МИОА</w:t>
      </w:r>
      <w:r w:rsidRPr="007163E0">
        <w:rPr>
          <w:rFonts w:cstheme="minorHAnsi"/>
          <w:lang w:val="mk-MK"/>
        </w:rPr>
        <w:t>.</w:t>
      </w:r>
      <w:r w:rsidRPr="007163E0">
        <w:rPr>
          <w:rFonts w:cstheme="minorHAnsi"/>
          <w:lang w:val="ru-RU"/>
        </w:rPr>
        <w:t xml:space="preserve"> </w:t>
      </w:r>
      <w:r w:rsidR="00EA6C95">
        <w:rPr>
          <w:rFonts w:cstheme="minorHAnsi"/>
          <w:lang w:val="mk-MK"/>
        </w:rPr>
        <w:t xml:space="preserve">Секретаријатот </w:t>
      </w:r>
      <w:r w:rsidR="00EA6C95" w:rsidRPr="007163E0">
        <w:rPr>
          <w:rFonts w:cstheme="minorHAnsi"/>
          <w:lang w:val="mk-MK"/>
        </w:rPr>
        <w:t xml:space="preserve">за РЈА има улога на координативно тело за координација, следење, известување и оценување на спроведувањето на Стратегијата за РЈА </w:t>
      </w:r>
      <w:r w:rsidR="00B555C8">
        <w:rPr>
          <w:rFonts w:cstheme="minorHAnsi"/>
          <w:lang w:val="mk-MK"/>
        </w:rPr>
        <w:t>и акцискит</w:t>
      </w:r>
      <w:r w:rsidR="003231F3">
        <w:rPr>
          <w:rFonts w:cstheme="minorHAnsi"/>
          <w:lang w:val="mk-MK"/>
        </w:rPr>
        <w:t>е</w:t>
      </w:r>
      <w:r w:rsidR="00B555C8">
        <w:rPr>
          <w:rFonts w:cstheme="minorHAnsi"/>
          <w:lang w:val="mk-MK"/>
        </w:rPr>
        <w:t xml:space="preserve"> план</w:t>
      </w:r>
      <w:r w:rsidR="00401ED1">
        <w:rPr>
          <w:rFonts w:cstheme="minorHAnsi"/>
          <w:lang w:val="mk-MK"/>
        </w:rPr>
        <w:t>ови</w:t>
      </w:r>
      <w:r w:rsidR="00B555C8">
        <w:rPr>
          <w:rFonts w:cstheme="minorHAnsi"/>
          <w:lang w:val="mk-MK"/>
        </w:rPr>
        <w:t xml:space="preserve">. </w:t>
      </w:r>
    </w:p>
    <w:p w14:paraId="7187A6B6" w14:textId="1FC6D8EB" w:rsidR="00814D3C" w:rsidRPr="007163E0" w:rsidRDefault="00EA6C95" w:rsidP="00814D3C">
      <w:pPr>
        <w:spacing w:after="120" w:line="276" w:lineRule="auto"/>
        <w:jc w:val="both"/>
        <w:rPr>
          <w:rFonts w:cstheme="minorHAnsi"/>
          <w:lang w:val="mk-MK"/>
        </w:rPr>
      </w:pPr>
      <w:r>
        <w:rPr>
          <w:rFonts w:cstheme="minorHAnsi"/>
          <w:lang w:val="mk-MK"/>
        </w:rPr>
        <w:t xml:space="preserve">Секретаријатот </w:t>
      </w:r>
      <w:r w:rsidR="00814D3C" w:rsidRPr="007163E0">
        <w:rPr>
          <w:rFonts w:cstheme="minorHAnsi"/>
          <w:lang w:val="mk-MK"/>
        </w:rPr>
        <w:t>за РЈА го сочинуваат раководни административни службеници од институциите – носители и учесници на активностите утврдени во А</w:t>
      </w:r>
      <w:r>
        <w:rPr>
          <w:rFonts w:cstheme="minorHAnsi"/>
          <w:lang w:val="mk-MK"/>
        </w:rPr>
        <w:t xml:space="preserve">П </w:t>
      </w:r>
      <w:r w:rsidR="00814D3C" w:rsidRPr="007163E0">
        <w:rPr>
          <w:rFonts w:cstheme="minorHAnsi"/>
          <w:lang w:val="mk-MK"/>
        </w:rPr>
        <w:t>на Стратегијата,</w:t>
      </w:r>
      <w:r w:rsidR="00814D3C" w:rsidRPr="007163E0">
        <w:rPr>
          <w:rFonts w:cstheme="minorHAnsi"/>
          <w:lang w:val="ru-RU"/>
        </w:rPr>
        <w:t xml:space="preserve"> како и координаторите на приоритетните области </w:t>
      </w:r>
      <w:r>
        <w:rPr>
          <w:rFonts w:cstheme="minorHAnsi"/>
          <w:lang w:val="ru-RU"/>
        </w:rPr>
        <w:t xml:space="preserve">утврдени во </w:t>
      </w:r>
      <w:r w:rsidR="00814D3C" w:rsidRPr="007163E0">
        <w:rPr>
          <w:rFonts w:cstheme="minorHAnsi"/>
          <w:lang w:val="mk-MK"/>
        </w:rPr>
        <w:t>Стратегијата за РЈА во МИОА, раководител</w:t>
      </w:r>
      <w:r>
        <w:rPr>
          <w:rFonts w:cstheme="minorHAnsi"/>
          <w:lang w:val="mk-MK"/>
        </w:rPr>
        <w:t>от</w:t>
      </w:r>
      <w:r w:rsidR="00814D3C" w:rsidRPr="007163E0">
        <w:rPr>
          <w:rFonts w:cstheme="minorHAnsi"/>
          <w:lang w:val="mk-MK"/>
        </w:rPr>
        <w:t xml:space="preserve"> на организационата единица за координација на Стратегијата за РЈА од МИОА и претставник од граѓанскиот </w:t>
      </w:r>
      <w:r w:rsidR="00B555C8">
        <w:rPr>
          <w:rFonts w:cstheme="minorHAnsi"/>
          <w:lang w:val="mk-MK"/>
        </w:rPr>
        <w:t>сектор номиниран преку Секторск</w:t>
      </w:r>
      <w:r w:rsidR="00814D3C" w:rsidRPr="007163E0">
        <w:rPr>
          <w:rFonts w:cstheme="minorHAnsi"/>
          <w:lang w:val="mk-MK"/>
        </w:rPr>
        <w:t>ата работна група за РЈА</w:t>
      </w:r>
      <w:r>
        <w:rPr>
          <w:rFonts w:cstheme="minorHAnsi"/>
          <w:lang w:val="mk-MK"/>
        </w:rPr>
        <w:t>.</w:t>
      </w:r>
    </w:p>
    <w:p w14:paraId="141A178A" w14:textId="7FE43D11" w:rsidR="00814D3C" w:rsidRPr="007163E0" w:rsidRDefault="00814D3C" w:rsidP="00814D3C">
      <w:pPr>
        <w:spacing w:line="276" w:lineRule="auto"/>
        <w:jc w:val="both"/>
        <w:rPr>
          <w:rFonts w:cstheme="minorHAnsi"/>
          <w:lang w:val="mk-MK"/>
        </w:rPr>
      </w:pPr>
      <w:r w:rsidRPr="007163E0">
        <w:rPr>
          <w:rFonts w:eastAsia="Times New Roman" w:cstheme="minorHAnsi"/>
          <w:lang w:val="mk-MK"/>
        </w:rPr>
        <w:t xml:space="preserve">На седниците на </w:t>
      </w:r>
      <w:r w:rsidR="00EA6C95">
        <w:rPr>
          <w:rFonts w:eastAsia="Times New Roman" w:cstheme="minorHAnsi"/>
          <w:lang w:val="mk-MK"/>
        </w:rPr>
        <w:t>Секретаријатот</w:t>
      </w:r>
      <w:r w:rsidRPr="007163E0">
        <w:rPr>
          <w:rFonts w:cstheme="minorHAnsi"/>
          <w:lang w:val="mk-MK"/>
        </w:rPr>
        <w:t xml:space="preserve"> за РЈА</w:t>
      </w:r>
      <w:r w:rsidRPr="007163E0">
        <w:rPr>
          <w:rFonts w:eastAsia="Times New Roman" w:cstheme="minorHAnsi"/>
          <w:lang w:val="mk-MK"/>
        </w:rPr>
        <w:t xml:space="preserve"> од стручен аспект се обезбедува координација на политиките за реформата на јавната администрација и се разгледуваат прашања поврзани со </w:t>
      </w:r>
      <w:r w:rsidRPr="007163E0">
        <w:rPr>
          <w:rFonts w:eastAsia="Times New Roman" w:cstheme="minorHAnsi"/>
          <w:lang w:val="mk-MK"/>
        </w:rPr>
        <w:lastRenderedPageBreak/>
        <w:t xml:space="preserve">планирањето, спроведувањето и следењето на Стратегијата за РЈА и </w:t>
      </w:r>
      <w:r w:rsidR="00EA6C95">
        <w:rPr>
          <w:rFonts w:eastAsia="Times New Roman" w:cstheme="minorHAnsi"/>
          <w:lang w:val="mk-MK"/>
        </w:rPr>
        <w:t>АП</w:t>
      </w:r>
      <w:r w:rsidRPr="007163E0">
        <w:rPr>
          <w:rFonts w:eastAsia="Times New Roman" w:cstheme="minorHAnsi"/>
          <w:lang w:val="mk-MK"/>
        </w:rPr>
        <w:t xml:space="preserve">. </w:t>
      </w:r>
      <w:r w:rsidR="00EA6C95">
        <w:rPr>
          <w:rFonts w:eastAsia="Times New Roman" w:cstheme="minorHAnsi"/>
          <w:lang w:val="mk-MK"/>
        </w:rPr>
        <w:t xml:space="preserve">Секретаријатот </w:t>
      </w:r>
      <w:r w:rsidRPr="007163E0">
        <w:rPr>
          <w:rFonts w:eastAsia="Times New Roman" w:cstheme="minorHAnsi"/>
          <w:lang w:val="mk-MK"/>
        </w:rPr>
        <w:t xml:space="preserve">за РЈА ги разгледува </w:t>
      </w:r>
      <w:r w:rsidR="00EA6C95">
        <w:rPr>
          <w:rFonts w:eastAsia="Times New Roman" w:cstheme="minorHAnsi"/>
          <w:lang w:val="mk-MK"/>
        </w:rPr>
        <w:t>шестмесечните извештаи под</w:t>
      </w:r>
      <w:r w:rsidR="00B555C8">
        <w:rPr>
          <w:rFonts w:eastAsia="Times New Roman" w:cstheme="minorHAnsi"/>
          <w:lang w:val="mk-MK"/>
        </w:rPr>
        <w:t>готвени од МИОА, како и Годишни</w:t>
      </w:r>
      <w:r w:rsidR="00EA6C95">
        <w:rPr>
          <w:rFonts w:eastAsia="Times New Roman" w:cstheme="minorHAnsi"/>
          <w:lang w:val="mk-MK"/>
        </w:rPr>
        <w:t xml:space="preserve">от извештај за спроведување на АП на Стратегијата за РЈА, </w:t>
      </w:r>
      <w:r w:rsidRPr="007163E0">
        <w:rPr>
          <w:rFonts w:cstheme="minorHAnsi"/>
          <w:lang w:val="mk-MK"/>
        </w:rPr>
        <w:t xml:space="preserve">пред </w:t>
      </w:r>
      <w:r w:rsidR="00EA6C95">
        <w:rPr>
          <w:rFonts w:cstheme="minorHAnsi"/>
          <w:lang w:val="mk-MK"/>
        </w:rPr>
        <w:t xml:space="preserve">тој </w:t>
      </w:r>
      <w:r w:rsidRPr="007163E0">
        <w:rPr>
          <w:rFonts w:cstheme="minorHAnsi"/>
          <w:lang w:val="mk-MK"/>
        </w:rPr>
        <w:t>да бид</w:t>
      </w:r>
      <w:r w:rsidR="00EA6C95">
        <w:rPr>
          <w:rFonts w:cstheme="minorHAnsi"/>
          <w:lang w:val="mk-MK"/>
        </w:rPr>
        <w:t>е</w:t>
      </w:r>
      <w:r w:rsidRPr="007163E0">
        <w:rPr>
          <w:rFonts w:cstheme="minorHAnsi"/>
          <w:lang w:val="mk-MK"/>
        </w:rPr>
        <w:t xml:space="preserve"> доставен на одобрување до Советот за РЈА.  </w:t>
      </w:r>
    </w:p>
    <w:p w14:paraId="4805C54D" w14:textId="4FE28B7F" w:rsidR="00814D3C" w:rsidRPr="007163E0" w:rsidRDefault="00EA6C95" w:rsidP="00814D3C">
      <w:pPr>
        <w:spacing w:line="276" w:lineRule="auto"/>
        <w:jc w:val="both"/>
        <w:rPr>
          <w:rFonts w:cstheme="minorHAnsi"/>
          <w:lang w:val="mk-MK"/>
        </w:rPr>
      </w:pPr>
      <w:r>
        <w:rPr>
          <w:rFonts w:eastAsia="Times New Roman" w:cstheme="minorHAnsi"/>
          <w:lang w:val="mk-MK"/>
        </w:rPr>
        <w:t>Секретаријатот</w:t>
      </w:r>
      <w:r w:rsidR="00814D3C" w:rsidRPr="007163E0">
        <w:rPr>
          <w:rFonts w:eastAsia="Times New Roman" w:cstheme="minorHAnsi"/>
          <w:lang w:val="mk-MK"/>
        </w:rPr>
        <w:t xml:space="preserve"> за РЈА </w:t>
      </w:r>
      <w:r w:rsidR="00814D3C" w:rsidRPr="007163E0">
        <w:rPr>
          <w:rFonts w:cstheme="minorHAnsi"/>
          <w:lang w:val="mk-MK"/>
        </w:rPr>
        <w:t xml:space="preserve">ги врши следните работи: </w:t>
      </w:r>
    </w:p>
    <w:p w14:paraId="206EEF58" w14:textId="77777777" w:rsidR="00814D3C" w:rsidRPr="007163E0" w:rsidRDefault="00814D3C" w:rsidP="00C71B1D">
      <w:pPr>
        <w:pStyle w:val="ListParagraph"/>
        <w:numPr>
          <w:ilvl w:val="0"/>
          <w:numId w:val="10"/>
        </w:numPr>
        <w:spacing w:after="0" w:line="276" w:lineRule="auto"/>
        <w:jc w:val="both"/>
        <w:rPr>
          <w:rFonts w:cstheme="minorHAnsi"/>
          <w:lang w:val="mk-MK"/>
        </w:rPr>
      </w:pPr>
      <w:r w:rsidRPr="007163E0">
        <w:rPr>
          <w:rFonts w:cstheme="minorHAnsi"/>
          <w:lang w:val="mk-MK"/>
        </w:rPr>
        <w:t>дава мислење за взаемната поврзаност и усогласеност на стратешките документи (стратегии, програми, планови, политики и сл. ) релевантни за процесот на РЈА</w:t>
      </w:r>
      <w:r w:rsidRPr="007163E0">
        <w:rPr>
          <w:rFonts w:cstheme="minorHAnsi"/>
        </w:rPr>
        <w:t>;</w:t>
      </w:r>
    </w:p>
    <w:p w14:paraId="5AE0CAAC" w14:textId="77777777"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дава препораки за приоритетите во процесот на РЈА</w:t>
      </w:r>
      <w:r w:rsidRPr="007163E0">
        <w:rPr>
          <w:rFonts w:cstheme="minorHAnsi"/>
        </w:rPr>
        <w:t>;</w:t>
      </w:r>
    </w:p>
    <w:p w14:paraId="7CCC222A" w14:textId="03DFCE5E"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ги разгледува извештаите од следењето и спроведувањето на А</w:t>
      </w:r>
      <w:r w:rsidR="00EA6C95">
        <w:rPr>
          <w:rFonts w:cstheme="minorHAnsi"/>
          <w:lang w:val="mk-MK"/>
        </w:rPr>
        <w:t xml:space="preserve">П </w:t>
      </w:r>
      <w:r w:rsidRPr="007163E0">
        <w:rPr>
          <w:rFonts w:cstheme="minorHAnsi"/>
          <w:lang w:val="mk-MK"/>
        </w:rPr>
        <w:t>на Стратегијата за РЈА и дава предлог решенија до Советот за РЈА во однос на предизвиците при спроведувањето на Стратегијата за РЈА и А</w:t>
      </w:r>
      <w:r w:rsidR="00EA6C95">
        <w:rPr>
          <w:rFonts w:cstheme="minorHAnsi"/>
          <w:lang w:val="mk-MK"/>
        </w:rPr>
        <w:t>П</w:t>
      </w:r>
      <w:r w:rsidRPr="007163E0">
        <w:rPr>
          <w:rFonts w:cstheme="minorHAnsi"/>
        </w:rPr>
        <w:t>;</w:t>
      </w:r>
    </w:p>
    <w:p w14:paraId="3E47A4DC" w14:textId="77777777"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иницира и препорачува преземање на мерки во случај на утврдени ризици од неспроведување или потешкотии при спроведување на планираните цели, мерки и активности</w:t>
      </w:r>
      <w:r w:rsidRPr="007163E0">
        <w:rPr>
          <w:rFonts w:cstheme="minorHAnsi"/>
        </w:rPr>
        <w:t>;</w:t>
      </w:r>
    </w:p>
    <w:p w14:paraId="5D8C72A6" w14:textId="2C71A98B"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дава насоки за спроведување на мерките и активностите од А</w:t>
      </w:r>
      <w:r w:rsidR="00EA6C95">
        <w:rPr>
          <w:rFonts w:cstheme="minorHAnsi"/>
          <w:lang w:val="mk-MK"/>
        </w:rPr>
        <w:t xml:space="preserve">П </w:t>
      </w:r>
      <w:r w:rsidRPr="007163E0">
        <w:rPr>
          <w:rFonts w:cstheme="minorHAnsi"/>
          <w:lang w:val="mk-MK"/>
        </w:rPr>
        <w:t>на институциите носители и учесници на активности</w:t>
      </w:r>
      <w:r w:rsidRPr="007163E0">
        <w:rPr>
          <w:rFonts w:cstheme="minorHAnsi"/>
        </w:rPr>
        <w:t>;</w:t>
      </w:r>
    </w:p>
    <w:p w14:paraId="70172544" w14:textId="1F820254"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ги разгледува заклучоците од секторската работна група за РЈА и обезбедува нивно спроведување;</w:t>
      </w:r>
      <w:r w:rsidRPr="007163E0">
        <w:rPr>
          <w:rFonts w:cstheme="minorHAnsi"/>
        </w:rPr>
        <w:t xml:space="preserve"> </w:t>
      </w:r>
      <w:r w:rsidRPr="007163E0">
        <w:rPr>
          <w:rFonts w:cstheme="minorHAnsi"/>
          <w:lang w:val="mk-MK"/>
        </w:rPr>
        <w:t>и</w:t>
      </w:r>
    </w:p>
    <w:p w14:paraId="42FD8F2C" w14:textId="59A01945" w:rsidR="00814D3C" w:rsidRPr="007163E0" w:rsidRDefault="00814D3C" w:rsidP="00814D3C">
      <w:pPr>
        <w:numPr>
          <w:ilvl w:val="0"/>
          <w:numId w:val="8"/>
        </w:numPr>
        <w:spacing w:line="276" w:lineRule="auto"/>
        <w:contextualSpacing/>
        <w:jc w:val="both"/>
        <w:rPr>
          <w:rFonts w:cstheme="minorHAnsi"/>
          <w:lang w:val="mk-MK"/>
        </w:rPr>
      </w:pPr>
      <w:r w:rsidRPr="007163E0">
        <w:rPr>
          <w:rFonts w:cstheme="minorHAnsi"/>
          <w:lang w:val="mk-MK"/>
        </w:rPr>
        <w:t>ги разгледува ефектите од спроведените активности во различните области од јавниот сектор кои се одразуваат врз јавната администрација</w:t>
      </w:r>
      <w:r w:rsidR="0041445E">
        <w:rPr>
          <w:rFonts w:cstheme="minorHAnsi"/>
          <w:lang w:val="mk-MK"/>
        </w:rPr>
        <w:t>.</w:t>
      </w:r>
    </w:p>
    <w:p w14:paraId="146A735D" w14:textId="77777777" w:rsidR="00814D3C" w:rsidRPr="007163E0" w:rsidRDefault="00814D3C" w:rsidP="00814D3C">
      <w:pPr>
        <w:spacing w:after="120" w:line="276" w:lineRule="auto"/>
        <w:contextualSpacing/>
        <w:jc w:val="both"/>
        <w:rPr>
          <w:rFonts w:eastAsia="Calibri" w:cstheme="minorHAnsi"/>
          <w:b/>
          <w:u w:val="single"/>
          <w:lang w:val="mk-MK"/>
        </w:rPr>
      </w:pPr>
    </w:p>
    <w:p w14:paraId="52D86B3C" w14:textId="6362675E" w:rsidR="00814D3C" w:rsidRPr="00D3445B" w:rsidRDefault="00814D3C" w:rsidP="00D3445B">
      <w:pPr>
        <w:spacing w:after="120" w:line="276" w:lineRule="auto"/>
        <w:jc w:val="both"/>
        <w:rPr>
          <w:rFonts w:eastAsia="Calibri" w:cstheme="minorHAnsi"/>
          <w:b/>
          <w:sz w:val="24"/>
          <w:szCs w:val="24"/>
          <w:lang w:val="mk-MK"/>
        </w:rPr>
      </w:pPr>
      <w:r w:rsidRPr="00D3445B">
        <w:rPr>
          <w:rFonts w:cstheme="minorHAnsi"/>
          <w:b/>
          <w:caps/>
          <w:sz w:val="24"/>
          <w:szCs w:val="24"/>
          <w:lang w:val="mk-MK"/>
        </w:rPr>
        <w:t>МИОА</w:t>
      </w:r>
    </w:p>
    <w:p w14:paraId="5A99D01B" w14:textId="36734E28" w:rsidR="0041445E" w:rsidRDefault="00814D3C" w:rsidP="00814D3C">
      <w:pPr>
        <w:spacing w:line="276" w:lineRule="auto"/>
        <w:jc w:val="both"/>
        <w:rPr>
          <w:rFonts w:cstheme="minorHAnsi"/>
          <w:lang w:val="mk-MK"/>
        </w:rPr>
      </w:pPr>
      <w:r w:rsidRPr="007163E0">
        <w:rPr>
          <w:rFonts w:eastAsia="Calibri" w:cstheme="minorHAnsi"/>
          <w:lang w:val="mk-MK"/>
        </w:rPr>
        <w:t xml:space="preserve">МИОА е клучна институција одговорна за координација, управување и следење на спроведувањето на  процесот на РЈА во </w:t>
      </w:r>
      <w:r w:rsidR="003C7510">
        <w:rPr>
          <w:rFonts w:eastAsia="Calibri" w:cstheme="minorHAnsi"/>
          <w:lang w:val="mk-MK"/>
        </w:rPr>
        <w:t>РСМ</w:t>
      </w:r>
      <w:r w:rsidRPr="007163E0">
        <w:rPr>
          <w:rFonts w:eastAsia="Calibri" w:cstheme="minorHAnsi"/>
          <w:lang w:val="mk-MK"/>
        </w:rPr>
        <w:t xml:space="preserve">. Сите други институции кои се вклучени како носители или учесници на активности имаат  одговорност за нивно спроведување. </w:t>
      </w:r>
    </w:p>
    <w:p w14:paraId="58C3D30F" w14:textId="1E09AE41" w:rsidR="00814D3C" w:rsidRPr="007163E0" w:rsidRDefault="00814D3C" w:rsidP="00814D3C">
      <w:pPr>
        <w:spacing w:line="276" w:lineRule="auto"/>
        <w:jc w:val="both"/>
        <w:rPr>
          <w:rFonts w:cstheme="minorHAnsi"/>
          <w:lang w:val="mk-MK"/>
        </w:rPr>
      </w:pPr>
      <w:r w:rsidRPr="007163E0">
        <w:rPr>
          <w:rFonts w:cstheme="minorHAnsi"/>
          <w:lang w:val="mk-MK"/>
        </w:rPr>
        <w:t>Поаѓајќи од препораките на Европската Комисија за зајакнување на внатрешните капацитети на МИОА за спроведување и следење на реформата на јавната администрација, во МИОА се воспостави организациона единица за реформа на јавната администрација задолжена за следење, координација и известување  на спроведувањето  на Стратегијата за РЈА (2023-2030) и А</w:t>
      </w:r>
      <w:r w:rsidR="0041445E">
        <w:rPr>
          <w:rFonts w:cstheme="minorHAnsi"/>
          <w:lang w:val="mk-MK"/>
        </w:rPr>
        <w:t>П</w:t>
      </w:r>
      <w:r w:rsidRPr="007163E0">
        <w:rPr>
          <w:rFonts w:cstheme="minorHAnsi"/>
          <w:lang w:val="mk-MK"/>
        </w:rPr>
        <w:t xml:space="preserve">. </w:t>
      </w:r>
    </w:p>
    <w:p w14:paraId="6B84B98B" w14:textId="77777777" w:rsidR="00814D3C" w:rsidRPr="007163E0" w:rsidRDefault="00814D3C" w:rsidP="00814D3C">
      <w:pPr>
        <w:spacing w:line="276" w:lineRule="auto"/>
        <w:jc w:val="both"/>
        <w:rPr>
          <w:rFonts w:cstheme="minorHAnsi"/>
          <w:lang w:val="mk-MK"/>
        </w:rPr>
      </w:pPr>
      <w:r w:rsidRPr="007163E0">
        <w:rPr>
          <w:rFonts w:cstheme="minorHAnsi"/>
          <w:b/>
          <w:u w:val="single"/>
          <w:lang w:val="mk-MK"/>
        </w:rPr>
        <w:t>Организационата единица за реформа на јавната администрација во МИОА</w:t>
      </w:r>
      <w:r w:rsidRPr="007163E0">
        <w:rPr>
          <w:rFonts w:cstheme="minorHAnsi"/>
          <w:lang w:val="mk-MK"/>
        </w:rPr>
        <w:t xml:space="preserve"> е задолжена за следење, координација и известување  на спроведувањето на  Стратегијата за РЈА 2023 – 2030, при што ги извршува следниве активности:</w:t>
      </w:r>
    </w:p>
    <w:p w14:paraId="5DCEF431" w14:textId="008A22E9" w:rsidR="00814D3C" w:rsidRPr="007163E0" w:rsidRDefault="00814D3C" w:rsidP="00814D3C">
      <w:pPr>
        <w:pStyle w:val="ListParagraph"/>
        <w:numPr>
          <w:ilvl w:val="0"/>
          <w:numId w:val="11"/>
        </w:numPr>
        <w:spacing w:line="276" w:lineRule="auto"/>
        <w:jc w:val="both"/>
        <w:rPr>
          <w:rFonts w:cstheme="minorHAnsi"/>
          <w:lang w:val="fr-FR"/>
        </w:rPr>
      </w:pPr>
      <w:r w:rsidRPr="007163E0">
        <w:rPr>
          <w:rFonts w:cstheme="minorHAnsi"/>
          <w:lang w:val="mk-MK"/>
        </w:rPr>
        <w:t>собирање на податоци од координаторите на приоритетните области и из</w:t>
      </w:r>
      <w:r w:rsidRPr="007163E0">
        <w:rPr>
          <w:rFonts w:cstheme="minorHAnsi"/>
          <w:lang w:val="ru-RU"/>
        </w:rPr>
        <w:t>готвување извештаи за остварениот напредок</w:t>
      </w:r>
      <w:r w:rsidR="0041445E">
        <w:rPr>
          <w:rFonts w:cstheme="minorHAnsi"/>
          <w:lang w:val="ru-RU"/>
        </w:rPr>
        <w:t xml:space="preserve"> во спроведување на АП</w:t>
      </w:r>
      <w:r w:rsidRPr="007163E0">
        <w:rPr>
          <w:rFonts w:cstheme="minorHAnsi"/>
          <w:lang w:val="ru-RU"/>
        </w:rPr>
        <w:t xml:space="preserve"> на Стратегијата за РЈА наменети за </w:t>
      </w:r>
      <w:r w:rsidR="0041445E">
        <w:rPr>
          <w:rFonts w:cstheme="minorHAnsi"/>
          <w:lang w:val="ru-RU"/>
        </w:rPr>
        <w:t xml:space="preserve">Секретаријатот </w:t>
      </w:r>
      <w:r w:rsidRPr="007163E0">
        <w:rPr>
          <w:rFonts w:cstheme="minorHAnsi"/>
          <w:lang w:val="ru-RU"/>
        </w:rPr>
        <w:t xml:space="preserve">за РЈА, Советот за РЈА и </w:t>
      </w:r>
      <w:r w:rsidR="00202BF0">
        <w:rPr>
          <w:rFonts w:cstheme="minorHAnsi"/>
          <w:lang w:val="ru-RU"/>
        </w:rPr>
        <w:t>ВРСМ</w:t>
      </w:r>
      <w:r w:rsidR="0041445E">
        <w:rPr>
          <w:rFonts w:cstheme="minorHAnsi"/>
          <w:lang w:val="ru-RU"/>
        </w:rPr>
        <w:t>;</w:t>
      </w:r>
      <w:r w:rsidRPr="007163E0">
        <w:rPr>
          <w:rFonts w:cstheme="minorHAnsi"/>
          <w:lang w:val="fr-FR"/>
        </w:rPr>
        <w:t xml:space="preserve"> </w:t>
      </w:r>
    </w:p>
    <w:p w14:paraId="677AEED0" w14:textId="51246A46" w:rsidR="00814D3C" w:rsidRPr="007163E0" w:rsidRDefault="00814D3C" w:rsidP="00814D3C">
      <w:pPr>
        <w:pStyle w:val="ListParagraph"/>
        <w:numPr>
          <w:ilvl w:val="0"/>
          <w:numId w:val="11"/>
        </w:numPr>
        <w:spacing w:line="276" w:lineRule="auto"/>
        <w:jc w:val="both"/>
        <w:rPr>
          <w:rFonts w:cstheme="minorHAnsi"/>
          <w:bCs/>
          <w:lang w:val="mk-MK"/>
        </w:rPr>
      </w:pPr>
      <w:r w:rsidRPr="007163E0">
        <w:rPr>
          <w:rFonts w:cstheme="minorHAnsi"/>
          <w:lang w:val="mk-MK"/>
        </w:rPr>
        <w:t xml:space="preserve">подготовка на табела за рано предупредување на спроведувањето на </w:t>
      </w:r>
      <w:r w:rsidR="0041445E">
        <w:rPr>
          <w:rFonts w:cstheme="minorHAnsi"/>
          <w:lang w:val="mk-MK"/>
        </w:rPr>
        <w:t xml:space="preserve">АП на </w:t>
      </w:r>
      <w:r w:rsidRPr="007163E0">
        <w:rPr>
          <w:rFonts w:cstheme="minorHAnsi"/>
          <w:lang w:val="mk-MK"/>
        </w:rPr>
        <w:t xml:space="preserve">Стратегијата за РЈА, </w:t>
      </w:r>
      <w:r w:rsidRPr="007163E0">
        <w:rPr>
          <w:rFonts w:cstheme="minorHAnsi"/>
          <w:lang w:val="ru-RU"/>
        </w:rPr>
        <w:t>обезбедување редовна комуникација со контакт лицата за РЈА од релевантните институции и соработка со сите учесници во процесот на РЈА</w:t>
      </w:r>
      <w:r w:rsidR="0041445E">
        <w:rPr>
          <w:rFonts w:cstheme="minorHAnsi"/>
          <w:bCs/>
          <w:lang w:val="mk-MK"/>
        </w:rPr>
        <w:t>;</w:t>
      </w:r>
    </w:p>
    <w:p w14:paraId="72289ACB" w14:textId="0E5090C7" w:rsidR="00814D3C" w:rsidRPr="007163E0" w:rsidRDefault="00814D3C" w:rsidP="00814D3C">
      <w:pPr>
        <w:pStyle w:val="ListParagraph"/>
        <w:numPr>
          <w:ilvl w:val="0"/>
          <w:numId w:val="11"/>
        </w:numPr>
        <w:spacing w:line="276" w:lineRule="auto"/>
        <w:jc w:val="both"/>
        <w:rPr>
          <w:rFonts w:cstheme="minorHAnsi"/>
          <w:bCs/>
          <w:lang w:val="mk-MK"/>
        </w:rPr>
      </w:pPr>
      <w:r w:rsidRPr="007163E0">
        <w:rPr>
          <w:rFonts w:cstheme="minorHAnsi"/>
          <w:bCs/>
          <w:lang w:val="mk-MK"/>
        </w:rPr>
        <w:lastRenderedPageBreak/>
        <w:t xml:space="preserve">обезбедување на стручна и техничка поддршка за седниците на Секретаријатот и Советот за РЈА преку подготвување на нацрт анализи, предлози и други документи кои ќе се разгледуваат на седниците. </w:t>
      </w:r>
    </w:p>
    <w:p w14:paraId="1AC759E8" w14:textId="7D0DD332" w:rsidR="00814D3C" w:rsidRPr="007163E0" w:rsidRDefault="00814D3C" w:rsidP="00814D3C">
      <w:pPr>
        <w:spacing w:line="276" w:lineRule="auto"/>
        <w:jc w:val="both"/>
        <w:rPr>
          <w:rFonts w:cstheme="minorHAnsi"/>
          <w:lang w:val="mk-MK"/>
        </w:rPr>
      </w:pPr>
      <w:r w:rsidRPr="007163E0">
        <w:rPr>
          <w:rFonts w:cstheme="minorHAnsi"/>
          <w:bCs/>
          <w:lang w:val="mk-MK"/>
        </w:rPr>
        <w:t>Заради ефективна координација при спроведувањето и следењето на Стратегијата за РЈА и А</w:t>
      </w:r>
      <w:r w:rsidR="00401ED1">
        <w:rPr>
          <w:rFonts w:cstheme="minorHAnsi"/>
          <w:bCs/>
          <w:lang w:val="mk-MK"/>
        </w:rPr>
        <w:t>П</w:t>
      </w:r>
      <w:r w:rsidRPr="007163E0">
        <w:rPr>
          <w:rFonts w:cstheme="minorHAnsi"/>
          <w:bCs/>
          <w:lang w:val="mk-MK"/>
        </w:rPr>
        <w:t xml:space="preserve">, </w:t>
      </w:r>
      <w:r w:rsidR="0041445E">
        <w:rPr>
          <w:rFonts w:cstheme="minorHAnsi"/>
          <w:bCs/>
          <w:lang w:val="mk-MK"/>
        </w:rPr>
        <w:t>органите на државната управа</w:t>
      </w:r>
      <w:r w:rsidRPr="007163E0">
        <w:rPr>
          <w:rFonts w:cstheme="minorHAnsi"/>
          <w:bCs/>
          <w:lang w:val="mk-MK"/>
        </w:rPr>
        <w:t xml:space="preserve"> и инс</w:t>
      </w:r>
      <w:r w:rsidR="00C71B1D">
        <w:rPr>
          <w:rFonts w:cstheme="minorHAnsi"/>
          <w:bCs/>
          <w:lang w:val="mk-MK"/>
        </w:rPr>
        <w:t>т</w:t>
      </w:r>
      <w:r w:rsidRPr="007163E0">
        <w:rPr>
          <w:rFonts w:cstheme="minorHAnsi"/>
          <w:bCs/>
          <w:lang w:val="mk-MK"/>
        </w:rPr>
        <w:t xml:space="preserve">итуциите кои учествуваат во спорведување на мерките и активностите ќе определат (назначат) контакт лица за РЈА кои ќе бидат задолжени на редовна основа да прибираат информации за спроведување на активностите во надлежност на нивната  институција. </w:t>
      </w:r>
    </w:p>
    <w:p w14:paraId="112A4580" w14:textId="470EFC83" w:rsidR="00814D3C" w:rsidRDefault="00814D3C" w:rsidP="00814D3C">
      <w:pPr>
        <w:pStyle w:val="Heading1"/>
        <w:numPr>
          <w:ilvl w:val="0"/>
          <w:numId w:val="5"/>
        </w:numPr>
        <w:rPr>
          <w:lang w:val="mk-MK"/>
        </w:rPr>
      </w:pPr>
      <w:r>
        <w:rPr>
          <w:lang w:val="mk-MK"/>
        </w:rPr>
        <w:t>Управување со ризици</w:t>
      </w:r>
    </w:p>
    <w:p w14:paraId="24FA0D5A" w14:textId="77777777" w:rsidR="00C71B1D" w:rsidRPr="00C71B1D" w:rsidRDefault="00C71B1D" w:rsidP="00C71B1D">
      <w:pPr>
        <w:rPr>
          <w:lang w:val="mk-MK"/>
        </w:rPr>
      </w:pPr>
    </w:p>
    <w:p w14:paraId="5D5F1AB2" w14:textId="41E9AC13" w:rsidR="00814D3C" w:rsidRDefault="00814D3C" w:rsidP="00814D3C">
      <w:pPr>
        <w:pStyle w:val="Heading2"/>
        <w:numPr>
          <w:ilvl w:val="1"/>
          <w:numId w:val="5"/>
        </w:numPr>
        <w:rPr>
          <w:lang w:val="mk-MK"/>
        </w:rPr>
      </w:pPr>
      <w:r>
        <w:rPr>
          <w:lang w:val="mk-MK"/>
        </w:rPr>
        <w:t>Утврдени ризици и мерки за справување</w:t>
      </w:r>
    </w:p>
    <w:p w14:paraId="0A52D133" w14:textId="77777777" w:rsidR="00C71B1D" w:rsidRDefault="00C71B1D" w:rsidP="00C71B1D">
      <w:pPr>
        <w:spacing w:after="0"/>
        <w:jc w:val="both"/>
        <w:rPr>
          <w:lang w:val="mk-MK"/>
        </w:rPr>
      </w:pPr>
    </w:p>
    <w:p w14:paraId="0D23D5DF" w14:textId="166C2837" w:rsidR="00814D3C" w:rsidRPr="000B6275" w:rsidRDefault="00814D3C" w:rsidP="004911AF">
      <w:pPr>
        <w:jc w:val="both"/>
        <w:rPr>
          <w:rFonts w:cstheme="minorHAnsi"/>
          <w:lang w:val="mk-MK"/>
        </w:rPr>
      </w:pPr>
      <w:r w:rsidRPr="000B6275">
        <w:rPr>
          <w:rFonts w:cstheme="minorHAnsi"/>
          <w:lang w:val="mk-MK"/>
        </w:rPr>
        <w:t>Врз основа на анализите направени во текот на подготовката на Стратегијата за РЈА, како и врз основа на студиите, истражувањата и другите документи на меѓународните организации, невладиниот сектор, академската заедница и слично, произлегуваат неколку ризици во однос на успешното постигнување на предвидените резултати.</w:t>
      </w:r>
    </w:p>
    <w:p w14:paraId="32D09704" w14:textId="77777777" w:rsidR="00814D3C" w:rsidRPr="0013619B" w:rsidRDefault="00814D3C" w:rsidP="00814D3C">
      <w:pPr>
        <w:pStyle w:val="ListParagraph"/>
        <w:jc w:val="both"/>
        <w:rPr>
          <w:rFonts w:cstheme="minorHAnsi"/>
        </w:rPr>
      </w:pPr>
      <w:r w:rsidRPr="0013619B">
        <w:rPr>
          <w:rFonts w:cstheme="minorHAnsi"/>
          <w:b/>
          <w:bCs/>
          <w:lang w:val="mk-MK"/>
        </w:rPr>
        <w:t>Недоволна политичка посветеност на реформите во државата</w:t>
      </w:r>
    </w:p>
    <w:p w14:paraId="073E477A" w14:textId="4E4F93FB" w:rsidR="00814D3C" w:rsidRPr="000B6275" w:rsidRDefault="00814D3C" w:rsidP="00814D3C">
      <w:pPr>
        <w:jc w:val="both"/>
        <w:rPr>
          <w:rFonts w:cstheme="minorHAnsi"/>
          <w:lang w:val="mk-MK"/>
        </w:rPr>
      </w:pPr>
      <w:r w:rsidRPr="000B6275">
        <w:rPr>
          <w:rFonts w:cstheme="minorHAnsi"/>
          <w:lang w:val="mk-MK"/>
        </w:rPr>
        <w:t>Реформата на јавната администрација</w:t>
      </w:r>
      <w:r w:rsidRPr="000B6275">
        <w:rPr>
          <w:rFonts w:cstheme="minorHAnsi"/>
        </w:rPr>
        <w:t xml:space="preserve"> </w:t>
      </w:r>
      <w:r w:rsidRPr="000B6275">
        <w:rPr>
          <w:rFonts w:cstheme="minorHAnsi"/>
          <w:lang w:val="mk-MK"/>
        </w:rPr>
        <w:t>е тесно поврзана со реформските процеси во повеќе сфери, како што е реформата во правосудниот сектор, образованието, процесот на децентрализација на локалната самоуправа и слично. Така, политичката посветеност на сите надлежни органи координирано и истовремено да ги спроведуваат реформите во рамките на своите ресори е многу важен предуслов за целосна и ефикасна имплементација на Стратегијата за РЈА бидејќи станува збор за збир на процеси кои не се и не можат да бидат изолирани еден од друг.</w:t>
      </w:r>
    </w:p>
    <w:p w14:paraId="3D416BC0" w14:textId="72EF161E" w:rsidR="00775C96" w:rsidRPr="000B6275" w:rsidRDefault="00814D3C" w:rsidP="00814D3C">
      <w:pPr>
        <w:jc w:val="both"/>
        <w:rPr>
          <w:rFonts w:cstheme="minorHAnsi"/>
          <w:lang w:val="mk-MK"/>
        </w:rPr>
      </w:pPr>
      <w:r w:rsidRPr="000B6275">
        <w:rPr>
          <w:rFonts w:cstheme="minorHAnsi"/>
          <w:lang w:val="mk-MK"/>
        </w:rPr>
        <w:t>Истовремено, сам</w:t>
      </w:r>
      <w:r w:rsidR="0041445E">
        <w:rPr>
          <w:rFonts w:cstheme="minorHAnsi"/>
          <w:lang w:val="mk-MK"/>
        </w:rPr>
        <w:t>ата</w:t>
      </w:r>
      <w:r w:rsidRPr="000B6275">
        <w:rPr>
          <w:rFonts w:cstheme="minorHAnsi"/>
          <w:lang w:val="mk-MK"/>
        </w:rPr>
        <w:t xml:space="preserve"> Стратегија за РЈА во себе опфаќа поголем број посебни цели за чие остварување е потребна цврста политичка волја и широк општествен консензус. Такви се реорганизацијата на државната управа која подразбира намалување на бројот на државни органи (донесување на нов ЗОРОДУ), поставувањето на воедначени објективни критериуми за избор во висока раководна служба (донесување на Закон за висока раководна служба), делегирање на над</w:t>
      </w:r>
      <w:r w:rsidR="0041445E">
        <w:rPr>
          <w:rFonts w:cstheme="minorHAnsi"/>
          <w:lang w:val="mk-MK"/>
        </w:rPr>
        <w:t>л</w:t>
      </w:r>
      <w:r w:rsidRPr="000B6275">
        <w:rPr>
          <w:rFonts w:cstheme="minorHAnsi"/>
          <w:lang w:val="mk-MK"/>
        </w:rPr>
        <w:t>ежноста за одлучување во управна постапка од ниво на функционер на ниво на стручни службени лица од кариера вработени во јавниот орган (доследна имплементација на ЗОУП).</w:t>
      </w:r>
    </w:p>
    <w:p w14:paraId="337AC0B6" w14:textId="77777777" w:rsidR="00814D3C" w:rsidRPr="0013619B" w:rsidRDefault="00814D3C" w:rsidP="00814D3C">
      <w:pPr>
        <w:pStyle w:val="ListParagraph"/>
        <w:jc w:val="both"/>
        <w:rPr>
          <w:rFonts w:cstheme="minorHAnsi"/>
        </w:rPr>
      </w:pPr>
    </w:p>
    <w:p w14:paraId="073FD8C4" w14:textId="5DECE165" w:rsidR="00814D3C" w:rsidRPr="0013619B" w:rsidRDefault="00814D3C" w:rsidP="00814D3C">
      <w:pPr>
        <w:pStyle w:val="ListParagraph"/>
        <w:jc w:val="both"/>
        <w:rPr>
          <w:rFonts w:cstheme="minorHAnsi"/>
          <w:b/>
          <w:bCs/>
        </w:rPr>
      </w:pPr>
      <w:r w:rsidRPr="0013619B">
        <w:rPr>
          <w:rFonts w:cstheme="minorHAnsi"/>
          <w:b/>
          <w:bCs/>
          <w:lang w:val="mk-MK"/>
        </w:rPr>
        <w:t xml:space="preserve">Недостаток на стручен кадар за спроведување на </w:t>
      </w:r>
      <w:r w:rsidR="00C9627B">
        <w:rPr>
          <w:rFonts w:cstheme="minorHAnsi"/>
          <w:b/>
          <w:bCs/>
          <w:lang w:val="mk-MK"/>
        </w:rPr>
        <w:t>РЈА</w:t>
      </w:r>
    </w:p>
    <w:p w14:paraId="376B9818" w14:textId="4EA1042A" w:rsidR="00814D3C" w:rsidRPr="0013619B" w:rsidRDefault="00814D3C" w:rsidP="00814D3C">
      <w:pPr>
        <w:jc w:val="both"/>
        <w:rPr>
          <w:rFonts w:cstheme="minorHAnsi"/>
          <w:b/>
          <w:bCs/>
          <w:lang w:val="mk-MK"/>
        </w:rPr>
      </w:pPr>
      <w:r w:rsidRPr="0013619B">
        <w:rPr>
          <w:rFonts w:eastAsia="Times New Roman" w:cstheme="minorHAnsi"/>
          <w:color w:val="000000"/>
          <w:lang w:val="mk-MK" w:eastAsia="en-GB"/>
        </w:rPr>
        <w:t>Дел од јавните органи директно вклучени во имплементацијата на целите утврдени во СРЈА (како што е случај со Државниот завод за статистика, М</w:t>
      </w:r>
      <w:r w:rsidR="0041445E">
        <w:rPr>
          <w:rFonts w:eastAsia="Times New Roman" w:cstheme="minorHAnsi"/>
          <w:color w:val="000000"/>
          <w:lang w:val="mk-MK" w:eastAsia="en-GB"/>
        </w:rPr>
        <w:t xml:space="preserve">ИОА </w:t>
      </w:r>
      <w:r w:rsidRPr="0013619B">
        <w:rPr>
          <w:rFonts w:eastAsia="Times New Roman" w:cstheme="minorHAnsi"/>
          <w:color w:val="000000"/>
          <w:lang w:val="mk-MK" w:eastAsia="en-GB"/>
        </w:rPr>
        <w:t xml:space="preserve">и други)  се соочуваат со потреба од вработување нови службеници, </w:t>
      </w:r>
      <w:r w:rsidR="00C9627B">
        <w:rPr>
          <w:rFonts w:eastAsia="Times New Roman" w:cstheme="minorHAnsi"/>
          <w:color w:val="000000"/>
          <w:lang w:val="mk-MK" w:eastAsia="en-GB"/>
        </w:rPr>
        <w:t xml:space="preserve">преземање на искусни и компетентни службеници од водечките инстититуции, </w:t>
      </w:r>
      <w:r w:rsidRPr="0013619B">
        <w:rPr>
          <w:rFonts w:eastAsia="Times New Roman" w:cstheme="minorHAnsi"/>
          <w:color w:val="000000"/>
          <w:lang w:val="mk-MK" w:eastAsia="en-GB"/>
        </w:rPr>
        <w:t xml:space="preserve">како и стручно оспособување на постојниот кадар за реализација на утврдените стратешки цели.  Особено е важно непречено и интензивно развивање на знаењата и вештините кај сите административни службеници за спроведување на процесот на дигитализација чија основа </w:t>
      </w:r>
      <w:r w:rsidRPr="0013619B">
        <w:rPr>
          <w:rFonts w:eastAsia="Times New Roman" w:cstheme="minorHAnsi"/>
          <w:color w:val="000000"/>
          <w:lang w:val="mk-MK" w:eastAsia="en-GB"/>
        </w:rPr>
        <w:lastRenderedPageBreak/>
        <w:t>ја воспоставува МИОА, но во кој активно мора да се вклучат сите јавни органи користејќи ги своите внатрешни кадровски капацитети.</w:t>
      </w:r>
      <w:r w:rsidRPr="0013619B">
        <w:rPr>
          <w:rFonts w:cstheme="minorHAnsi"/>
          <w:b/>
          <w:bCs/>
          <w:lang w:val="mk-MK"/>
        </w:rPr>
        <w:t xml:space="preserve"> </w:t>
      </w:r>
      <w:r w:rsidRPr="0013619B">
        <w:rPr>
          <w:rFonts w:cstheme="minorHAnsi"/>
          <w:lang w:val="mk-MK"/>
        </w:rPr>
        <w:t>Составен дел од овој ризик кој се однесува на човечките ресурси и нивното значење за спроведување на реформата е и недостатокот на хоризонтална и вертикална координација во рамките на системот кој го сочинуваат органите на државната управа.</w:t>
      </w:r>
    </w:p>
    <w:p w14:paraId="35B68FBC" w14:textId="77777777" w:rsidR="00814D3C" w:rsidRDefault="00814D3C" w:rsidP="00814D3C">
      <w:pPr>
        <w:pStyle w:val="ListParagraph"/>
        <w:jc w:val="both"/>
        <w:rPr>
          <w:rFonts w:cstheme="minorHAnsi"/>
          <w:b/>
          <w:bCs/>
          <w:lang w:val="mk-MK"/>
        </w:rPr>
      </w:pPr>
    </w:p>
    <w:p w14:paraId="37B4EFEC" w14:textId="1B93EAAB" w:rsidR="00814D3C" w:rsidRPr="00D3445B" w:rsidRDefault="00814D3C" w:rsidP="00814D3C">
      <w:pPr>
        <w:pStyle w:val="ListParagraph"/>
        <w:jc w:val="both"/>
        <w:rPr>
          <w:rFonts w:cstheme="minorHAnsi"/>
          <w:lang w:val="mk-MK"/>
        </w:rPr>
      </w:pPr>
      <w:r w:rsidRPr="0013619B">
        <w:rPr>
          <w:rFonts w:cstheme="minorHAnsi"/>
          <w:b/>
          <w:bCs/>
          <w:lang w:val="mk-MK"/>
        </w:rPr>
        <w:t xml:space="preserve">Необезбедување на </w:t>
      </w:r>
      <w:r>
        <w:rPr>
          <w:rFonts w:cstheme="minorHAnsi"/>
          <w:b/>
          <w:bCs/>
          <w:lang w:val="mk-MK"/>
        </w:rPr>
        <w:t xml:space="preserve">неопходните </w:t>
      </w:r>
      <w:r w:rsidRPr="0013619B">
        <w:rPr>
          <w:rFonts w:cstheme="minorHAnsi"/>
          <w:b/>
          <w:bCs/>
          <w:lang w:val="mk-MK"/>
        </w:rPr>
        <w:t>ф</w:t>
      </w:r>
      <w:r w:rsidRPr="0013619B">
        <w:rPr>
          <w:rFonts w:cstheme="minorHAnsi"/>
          <w:b/>
          <w:bCs/>
        </w:rPr>
        <w:t xml:space="preserve">инансиски средства </w:t>
      </w:r>
      <w:r w:rsidRPr="0013619B">
        <w:rPr>
          <w:rFonts w:cstheme="minorHAnsi"/>
          <w:b/>
          <w:bCs/>
          <w:lang w:val="mk-MK"/>
        </w:rPr>
        <w:t>и технички ресурси</w:t>
      </w:r>
      <w:r w:rsidRPr="0013619B">
        <w:rPr>
          <w:rFonts w:cstheme="minorHAnsi"/>
          <w:b/>
          <w:bCs/>
        </w:rPr>
        <w:t xml:space="preserve"> за спроведување на </w:t>
      </w:r>
      <w:r w:rsidR="00C9627B">
        <w:rPr>
          <w:rFonts w:cstheme="minorHAnsi"/>
          <w:b/>
          <w:bCs/>
          <w:lang w:val="mk-MK"/>
        </w:rPr>
        <w:t>РЈА</w:t>
      </w:r>
    </w:p>
    <w:p w14:paraId="3364F54B" w14:textId="79E0F8AD" w:rsidR="00814D3C" w:rsidRPr="000B6275" w:rsidRDefault="00814D3C" w:rsidP="00814D3C">
      <w:pPr>
        <w:jc w:val="both"/>
        <w:rPr>
          <w:rFonts w:cstheme="minorHAnsi"/>
          <w:lang w:val="mk-MK"/>
        </w:rPr>
      </w:pPr>
      <w:r w:rsidRPr="000B6275">
        <w:rPr>
          <w:rFonts w:cstheme="minorHAnsi"/>
          <w:lang w:val="mk-MK"/>
        </w:rPr>
        <w:t xml:space="preserve">Бројни активности утврдени со </w:t>
      </w:r>
      <w:r w:rsidR="0041445E">
        <w:rPr>
          <w:rFonts w:cstheme="minorHAnsi"/>
          <w:lang w:val="mk-MK"/>
        </w:rPr>
        <w:t xml:space="preserve">АП на Стратегијата за РЈА </w:t>
      </w:r>
      <w:r w:rsidRPr="000B6275">
        <w:rPr>
          <w:rFonts w:cstheme="minorHAnsi"/>
          <w:lang w:val="mk-MK"/>
        </w:rPr>
        <w:t>можат да бидат реализирани само доколку се обезбедени потребните буџетски средства. Праксата покажува, дека  многу често такви средства недостасуваат, па за да се преземат активностите и мерките утврдени во Стратегијата</w:t>
      </w:r>
      <w:r w:rsidR="00C9627B">
        <w:rPr>
          <w:rFonts w:cstheme="minorHAnsi"/>
          <w:lang w:val="mk-MK"/>
        </w:rPr>
        <w:t xml:space="preserve"> за РЈА</w:t>
      </w:r>
      <w:r w:rsidRPr="000B6275">
        <w:rPr>
          <w:rFonts w:cstheme="minorHAnsi"/>
          <w:lang w:val="mk-MK"/>
        </w:rPr>
        <w:t xml:space="preserve"> се обезбедуваат средства од донатори, што пак, не гарантира одржливост на процесите после искористувањето на донациите.</w:t>
      </w:r>
    </w:p>
    <w:p w14:paraId="43231FCE" w14:textId="77777777" w:rsidR="00814D3C" w:rsidRPr="0013619B" w:rsidRDefault="00814D3C" w:rsidP="00814D3C">
      <w:pPr>
        <w:pStyle w:val="ListParagraph"/>
        <w:jc w:val="both"/>
        <w:rPr>
          <w:rFonts w:cstheme="minorHAnsi"/>
        </w:rPr>
      </w:pPr>
    </w:p>
    <w:p w14:paraId="3587E858" w14:textId="149E5AD8" w:rsidR="00814D3C" w:rsidRPr="0013619B" w:rsidRDefault="00814D3C" w:rsidP="00814D3C">
      <w:pPr>
        <w:pStyle w:val="ListParagraph"/>
        <w:jc w:val="both"/>
        <w:rPr>
          <w:rFonts w:cstheme="minorHAnsi"/>
          <w:b/>
          <w:bCs/>
          <w:lang w:val="mk-MK"/>
        </w:rPr>
      </w:pPr>
      <w:r w:rsidRPr="0013619B">
        <w:rPr>
          <w:rFonts w:cstheme="minorHAnsi"/>
          <w:b/>
          <w:bCs/>
          <w:lang w:val="mk-MK"/>
        </w:rPr>
        <w:t xml:space="preserve">Слаба информираност за </w:t>
      </w:r>
      <w:r w:rsidR="00C9627B">
        <w:rPr>
          <w:rFonts w:cstheme="minorHAnsi"/>
          <w:b/>
          <w:bCs/>
          <w:lang w:val="mk-MK"/>
        </w:rPr>
        <w:t xml:space="preserve">важноста и </w:t>
      </w:r>
      <w:r w:rsidRPr="0013619B">
        <w:rPr>
          <w:rFonts w:cstheme="minorHAnsi"/>
          <w:b/>
          <w:bCs/>
          <w:lang w:val="mk-MK"/>
        </w:rPr>
        <w:t xml:space="preserve">содржината </w:t>
      </w:r>
      <w:r>
        <w:rPr>
          <w:rFonts w:cstheme="minorHAnsi"/>
          <w:b/>
          <w:bCs/>
          <w:lang w:val="mk-MK"/>
        </w:rPr>
        <w:t>на</w:t>
      </w:r>
      <w:r w:rsidRPr="0013619B">
        <w:rPr>
          <w:rFonts w:cstheme="minorHAnsi"/>
          <w:b/>
          <w:bCs/>
          <w:lang w:val="mk-MK"/>
        </w:rPr>
        <w:t xml:space="preserve"> </w:t>
      </w:r>
      <w:r w:rsidR="00C9627B">
        <w:rPr>
          <w:rFonts w:cstheme="minorHAnsi"/>
          <w:b/>
          <w:bCs/>
          <w:lang w:val="mk-MK"/>
        </w:rPr>
        <w:t>РЈА</w:t>
      </w:r>
    </w:p>
    <w:p w14:paraId="39E94EE3" w14:textId="4E69F7F8" w:rsidR="00814D3C" w:rsidRPr="00784E13" w:rsidRDefault="00814D3C" w:rsidP="00814D3C">
      <w:pPr>
        <w:jc w:val="both"/>
        <w:rPr>
          <w:rFonts w:cstheme="minorHAnsi"/>
          <w:lang w:val="mk-MK"/>
        </w:rPr>
      </w:pPr>
      <w:r w:rsidRPr="000B6275">
        <w:rPr>
          <w:rFonts w:cstheme="minorHAnsi"/>
          <w:lang w:val="mk-MK"/>
        </w:rPr>
        <w:t xml:space="preserve">Реформата треба да биде поддржана од сите чинители на процесот, почнувајќи од надлежните да ја спроведат – </w:t>
      </w:r>
      <w:r>
        <w:rPr>
          <w:rFonts w:cstheme="minorHAnsi"/>
          <w:lang w:val="mk-MK"/>
        </w:rPr>
        <w:t>јавните органи</w:t>
      </w:r>
      <w:r w:rsidRPr="000B6275">
        <w:rPr>
          <w:rFonts w:cstheme="minorHAnsi"/>
          <w:lang w:val="mk-MK"/>
        </w:rPr>
        <w:t>, завршувајќи со крајните корисници на услугите на јавната администрација – граѓаните и бизнис заедницата. За целосно вклучување на сите субјекти во спроведувањето на реформата, тие треба да бидат добро информирани за целите, мерките и активностите преку кои таа се спроведува, потребно е за време на целиот период опфатен со С</w:t>
      </w:r>
      <w:r w:rsidR="00C9627B">
        <w:rPr>
          <w:rFonts w:cstheme="minorHAnsi"/>
          <w:lang w:val="mk-MK"/>
        </w:rPr>
        <w:t xml:space="preserve">тратегијата за </w:t>
      </w:r>
      <w:r w:rsidRPr="000B6275">
        <w:rPr>
          <w:rFonts w:cstheme="minorHAnsi"/>
          <w:lang w:val="mk-MK"/>
        </w:rPr>
        <w:t xml:space="preserve">РЈА да се </w:t>
      </w:r>
      <w:r>
        <w:rPr>
          <w:rFonts w:cstheme="minorHAnsi"/>
          <w:lang w:val="mk-MK"/>
        </w:rPr>
        <w:t>работи на подигање на</w:t>
      </w:r>
      <w:r w:rsidRPr="000B6275">
        <w:rPr>
          <w:rFonts w:cstheme="minorHAnsi"/>
          <w:lang w:val="mk-MK"/>
        </w:rPr>
        <w:t xml:space="preserve"> свеста на пошироката јавност за улогата, задачите и очекувањата од работата на јавната администрација, како и за начините на кои секој поединец може да придонесе во процесот на нејзино реформирање.</w:t>
      </w:r>
      <w:r>
        <w:rPr>
          <w:rFonts w:cstheme="minorHAnsi"/>
          <w:lang w:val="mk-MK"/>
        </w:rPr>
        <w:t xml:space="preserve"> </w:t>
      </w:r>
      <w:r w:rsidR="00202BF0">
        <w:rPr>
          <w:rFonts w:cstheme="minorHAnsi"/>
          <w:lang w:val="mk-MK"/>
        </w:rPr>
        <w:t>В</w:t>
      </w:r>
      <w:r w:rsidR="003C7510">
        <w:rPr>
          <w:rFonts w:cstheme="minorHAnsi"/>
          <w:lang w:val="mk-MK"/>
        </w:rPr>
        <w:t>РСМ</w:t>
      </w:r>
      <w:r w:rsidR="00202BF0">
        <w:rPr>
          <w:rFonts w:cstheme="minorHAnsi"/>
          <w:lang w:val="mk-MK"/>
        </w:rPr>
        <w:t xml:space="preserve"> </w:t>
      </w:r>
      <w:r>
        <w:rPr>
          <w:rFonts w:cstheme="minorHAnsi"/>
          <w:lang w:val="mk-MK"/>
        </w:rPr>
        <w:t xml:space="preserve">е должна да ја информира јавноста за сите мерки и активности преземени во текот на периодот опфатен со </w:t>
      </w:r>
      <w:r w:rsidR="0041445E">
        <w:rPr>
          <w:rFonts w:cstheme="minorHAnsi"/>
          <w:lang w:val="mk-MK"/>
        </w:rPr>
        <w:t>Стратегијата за РЈА</w:t>
      </w:r>
      <w:r>
        <w:rPr>
          <w:rFonts w:cstheme="minorHAnsi"/>
          <w:lang w:val="mk-MK"/>
        </w:rPr>
        <w:t xml:space="preserve">, како и за оние кои не се преземени заедно со причините кои ја спречиле нивната реализација. </w:t>
      </w:r>
    </w:p>
    <w:p w14:paraId="45F1D1AB" w14:textId="0C50EE56" w:rsidR="00814D3C" w:rsidRPr="00814D3C" w:rsidRDefault="00775C96" w:rsidP="00814D3C">
      <w:pPr>
        <w:rPr>
          <w:lang w:val="mk-MK"/>
        </w:rPr>
      </w:pPr>
      <w:r w:rsidRPr="00B5617C">
        <w:rPr>
          <w:lang w:val="mk-MK"/>
        </w:rPr>
        <w:t xml:space="preserve">Анализата на ризиците во секоја од приоритетните области се дадени во </w:t>
      </w:r>
      <w:r w:rsidRPr="00B5617C">
        <w:rPr>
          <w:b/>
          <w:bCs/>
          <w:lang w:val="mk-MK"/>
        </w:rPr>
        <w:t>Прилог бр. 2.</w:t>
      </w:r>
    </w:p>
    <w:p w14:paraId="3EC39DEC" w14:textId="6CBFAB59" w:rsidR="004911AF" w:rsidRPr="004911AF" w:rsidRDefault="004911AF" w:rsidP="004911AF">
      <w:pPr>
        <w:pStyle w:val="Heading2"/>
        <w:numPr>
          <w:ilvl w:val="1"/>
          <w:numId w:val="5"/>
        </w:numPr>
        <w:rPr>
          <w:lang w:val="fr-FR"/>
        </w:rPr>
      </w:pPr>
      <w:r>
        <w:rPr>
          <w:lang w:val="mk-MK"/>
        </w:rPr>
        <w:t xml:space="preserve">Подготовка и ажурирање на акцискиот план на Стратегијата за реформа на јавната администрација </w:t>
      </w:r>
    </w:p>
    <w:p w14:paraId="09DAE9E8" w14:textId="77777777" w:rsidR="004911AF" w:rsidRDefault="004911AF" w:rsidP="004911AF">
      <w:pPr>
        <w:pStyle w:val="Heading2"/>
        <w:rPr>
          <w:lang w:val="mk-MK"/>
        </w:rPr>
      </w:pPr>
    </w:p>
    <w:p w14:paraId="6D670120" w14:textId="101D5DC9" w:rsidR="004911AF" w:rsidRPr="007163E0" w:rsidRDefault="004911AF" w:rsidP="004911AF">
      <w:pPr>
        <w:spacing w:line="276" w:lineRule="auto"/>
        <w:jc w:val="both"/>
        <w:rPr>
          <w:rFonts w:cstheme="minorHAnsi"/>
          <w:lang w:val="mk-MK"/>
        </w:rPr>
      </w:pPr>
      <w:r w:rsidRPr="007163E0">
        <w:rPr>
          <w:rFonts w:cstheme="minorHAnsi"/>
          <w:lang w:val="mk-MK"/>
        </w:rPr>
        <w:t xml:space="preserve">Акцискиот план е составен дел на Стратегијата за РЈА. Со Акцискиот план се дефинираат мерките и активностите, водечките органи надлежни за спроведување на активностите, како и другите органи кои ќе бидат вклучени во спроведувањето. Покрај овие информации, Акцискиот план ги дефинира почетниот и крајниот рок за спроведување на активностите, проценка за потребните средства, изворот на финансирање и показателите за мерење на постигнувањето на мерките и целите. </w:t>
      </w:r>
    </w:p>
    <w:p w14:paraId="23A30A42" w14:textId="2810A05C" w:rsidR="004911AF" w:rsidRPr="007163E0" w:rsidRDefault="004911AF" w:rsidP="004911AF">
      <w:pPr>
        <w:spacing w:line="276" w:lineRule="auto"/>
        <w:jc w:val="both"/>
        <w:rPr>
          <w:rFonts w:cstheme="minorHAnsi"/>
          <w:lang w:val="mk-MK"/>
        </w:rPr>
      </w:pPr>
      <w:r w:rsidRPr="007163E0">
        <w:rPr>
          <w:rFonts w:cstheme="minorHAnsi"/>
          <w:lang w:val="mk-MK"/>
        </w:rPr>
        <w:t>Заради детално дефинирање на спроведувањето на мерките и активностите се подготвуваат два Акциски плана</w:t>
      </w:r>
      <w:r w:rsidR="0010026C">
        <w:rPr>
          <w:rFonts w:cstheme="minorHAnsi"/>
          <w:lang w:val="mk-MK"/>
        </w:rPr>
        <w:t>,</w:t>
      </w:r>
      <w:r w:rsidRPr="007163E0">
        <w:rPr>
          <w:rFonts w:cstheme="minorHAnsi"/>
          <w:lang w:val="mk-MK"/>
        </w:rPr>
        <w:t xml:space="preserve"> од по 4 години. Првиот акциски план го опфаќа периодот од 2023 – 2026</w:t>
      </w:r>
      <w:r w:rsidR="0041445E">
        <w:rPr>
          <w:rFonts w:cstheme="minorHAnsi"/>
          <w:lang w:val="mk-MK"/>
        </w:rPr>
        <w:t xml:space="preserve"> година</w:t>
      </w:r>
      <w:r w:rsidRPr="007163E0">
        <w:rPr>
          <w:rFonts w:cstheme="minorHAnsi"/>
          <w:lang w:val="mk-MK"/>
        </w:rPr>
        <w:t>, додека пак вториот Акциски план ќе го опфаќа периодот од 2027- 2030</w:t>
      </w:r>
      <w:r w:rsidR="0041445E">
        <w:rPr>
          <w:rFonts w:cstheme="minorHAnsi"/>
          <w:lang w:val="mk-MK"/>
        </w:rPr>
        <w:t xml:space="preserve"> година</w:t>
      </w:r>
      <w:r w:rsidRPr="007163E0">
        <w:rPr>
          <w:rFonts w:cstheme="minorHAnsi"/>
          <w:lang w:val="mk-MK"/>
        </w:rPr>
        <w:t xml:space="preserve">. </w:t>
      </w:r>
    </w:p>
    <w:p w14:paraId="40CD5387" w14:textId="58AF1E4A" w:rsidR="004911AF" w:rsidRPr="007163E0" w:rsidRDefault="004911AF" w:rsidP="004911AF">
      <w:pPr>
        <w:spacing w:line="276" w:lineRule="auto"/>
        <w:jc w:val="both"/>
        <w:rPr>
          <w:rFonts w:cstheme="minorHAnsi"/>
          <w:lang w:val="mk-MK"/>
        </w:rPr>
      </w:pPr>
      <w:r w:rsidRPr="007163E0">
        <w:rPr>
          <w:rFonts w:cstheme="minorHAnsi"/>
          <w:lang w:val="mk-MK"/>
        </w:rPr>
        <w:t>Согласно Упатството за структурата,</w:t>
      </w:r>
      <w:r w:rsidR="0041445E">
        <w:rPr>
          <w:rFonts w:cstheme="minorHAnsi"/>
          <w:lang w:val="mk-MK"/>
        </w:rPr>
        <w:t xml:space="preserve"> </w:t>
      </w:r>
      <w:r w:rsidRPr="007163E0">
        <w:rPr>
          <w:rFonts w:cstheme="minorHAnsi"/>
          <w:lang w:val="mk-MK"/>
        </w:rPr>
        <w:t>содржината и начинот на подготвување,</w:t>
      </w:r>
      <w:r w:rsidR="001617CE">
        <w:rPr>
          <w:rFonts w:cstheme="minorHAnsi"/>
          <w:lang w:val="mk-MK"/>
        </w:rPr>
        <w:t xml:space="preserve"> </w:t>
      </w:r>
      <w:r w:rsidRPr="007163E0">
        <w:rPr>
          <w:rFonts w:cstheme="minorHAnsi"/>
          <w:lang w:val="mk-MK"/>
        </w:rPr>
        <w:t xml:space="preserve">спроведување, следење, известување и оценување на секторските и мултисекторските стратегии, ажурирањето на </w:t>
      </w:r>
      <w:r w:rsidRPr="007163E0">
        <w:rPr>
          <w:rFonts w:cstheme="minorHAnsi"/>
          <w:lang w:val="mk-MK"/>
        </w:rPr>
        <w:lastRenderedPageBreak/>
        <w:t xml:space="preserve">првиот акциски план ќе биде </w:t>
      </w:r>
      <w:r>
        <w:rPr>
          <w:rFonts w:cstheme="minorHAnsi"/>
          <w:lang w:val="mk-MK"/>
        </w:rPr>
        <w:t xml:space="preserve">направено </w:t>
      </w:r>
      <w:r w:rsidRPr="007163E0">
        <w:rPr>
          <w:rFonts w:cstheme="minorHAnsi"/>
          <w:lang w:val="mk-MK"/>
        </w:rPr>
        <w:t>две години од почетокот на спроведувањето</w:t>
      </w:r>
      <w:r w:rsidR="001617CE">
        <w:rPr>
          <w:rFonts w:cstheme="minorHAnsi"/>
          <w:lang w:val="mk-MK"/>
        </w:rPr>
        <w:t>,</w:t>
      </w:r>
      <w:r w:rsidRPr="007163E0">
        <w:rPr>
          <w:rFonts w:cstheme="minorHAnsi"/>
          <w:lang w:val="mk-MK"/>
        </w:rPr>
        <w:t xml:space="preserve"> односно по усвојувањето на вториот Годишен </w:t>
      </w:r>
      <w:r w:rsidR="0041445E">
        <w:rPr>
          <w:rFonts w:cstheme="minorHAnsi"/>
          <w:lang w:val="mk-MK"/>
        </w:rPr>
        <w:t>и</w:t>
      </w:r>
      <w:r w:rsidRPr="007163E0">
        <w:rPr>
          <w:rFonts w:cstheme="minorHAnsi"/>
          <w:lang w:val="mk-MK"/>
        </w:rPr>
        <w:t xml:space="preserve">звештај од спроведувањето на Акцискиот план (2023 – 2026). </w:t>
      </w:r>
    </w:p>
    <w:p w14:paraId="200A3BCF" w14:textId="525ACF31" w:rsidR="004911AF" w:rsidRPr="007163E0" w:rsidRDefault="004911AF" w:rsidP="004911AF">
      <w:pPr>
        <w:spacing w:line="276" w:lineRule="auto"/>
        <w:jc w:val="both"/>
        <w:rPr>
          <w:rFonts w:cstheme="minorHAnsi"/>
          <w:lang w:val="mk-MK"/>
        </w:rPr>
      </w:pPr>
      <w:r w:rsidRPr="007163E0">
        <w:rPr>
          <w:rFonts w:cstheme="minorHAnsi"/>
          <w:lang w:val="mk-MK"/>
        </w:rPr>
        <w:t xml:space="preserve">Вториот Акцискиот план (2027 – 2030)  ќе биде подготвен најмалку </w:t>
      </w:r>
      <w:r w:rsidR="003C7510">
        <w:rPr>
          <w:rFonts w:cstheme="minorHAnsi"/>
          <w:lang w:val="mk-MK"/>
        </w:rPr>
        <w:t>шест</w:t>
      </w:r>
      <w:r w:rsidR="003C7510" w:rsidRPr="007163E0">
        <w:rPr>
          <w:rFonts w:cstheme="minorHAnsi"/>
          <w:lang w:val="mk-MK"/>
        </w:rPr>
        <w:t xml:space="preserve"> </w:t>
      </w:r>
      <w:r w:rsidRPr="007163E0">
        <w:rPr>
          <w:rFonts w:cstheme="minorHAnsi"/>
          <w:lang w:val="mk-MK"/>
        </w:rPr>
        <w:t xml:space="preserve">месеци пред истекот на првиот Акциски план.  </w:t>
      </w:r>
    </w:p>
    <w:p w14:paraId="43A53EE7" w14:textId="41B952FB" w:rsidR="004911AF" w:rsidRPr="007163E0" w:rsidRDefault="004911AF" w:rsidP="004911AF">
      <w:pPr>
        <w:spacing w:line="276" w:lineRule="auto"/>
        <w:jc w:val="both"/>
        <w:rPr>
          <w:rFonts w:cstheme="minorHAnsi"/>
        </w:rPr>
      </w:pPr>
      <w:r w:rsidRPr="007163E0">
        <w:rPr>
          <w:rFonts w:cstheme="minorHAnsi"/>
          <w:lang w:val="mk-MK"/>
        </w:rPr>
        <w:t>Акцискит</w:t>
      </w:r>
      <w:r w:rsidR="0010026C">
        <w:rPr>
          <w:rFonts w:cstheme="minorHAnsi"/>
          <w:lang w:val="mk-MK"/>
        </w:rPr>
        <w:t>е</w:t>
      </w:r>
      <w:r w:rsidRPr="007163E0">
        <w:rPr>
          <w:rFonts w:cstheme="minorHAnsi"/>
          <w:lang w:val="mk-MK"/>
        </w:rPr>
        <w:t xml:space="preserve"> план</w:t>
      </w:r>
      <w:r w:rsidR="0010026C">
        <w:rPr>
          <w:rFonts w:cstheme="minorHAnsi"/>
          <w:lang w:val="mk-MK"/>
        </w:rPr>
        <w:t>ови</w:t>
      </w:r>
      <w:r w:rsidRPr="007163E0">
        <w:rPr>
          <w:rFonts w:cstheme="minorHAnsi"/>
          <w:lang w:val="mk-MK"/>
        </w:rPr>
        <w:t xml:space="preserve"> на Стратегијата за ќе бид</w:t>
      </w:r>
      <w:r w:rsidR="0010026C">
        <w:rPr>
          <w:rFonts w:cstheme="minorHAnsi"/>
          <w:lang w:val="mk-MK"/>
        </w:rPr>
        <w:t>ат</w:t>
      </w:r>
      <w:r w:rsidRPr="007163E0">
        <w:rPr>
          <w:rFonts w:cstheme="minorHAnsi"/>
          <w:lang w:val="mk-MK"/>
        </w:rPr>
        <w:t xml:space="preserve"> алатка за редовно следење и за годишно известување за напредокот на спроведувањето на Стратегијата за РЈА. </w:t>
      </w:r>
      <w:r w:rsidRPr="007163E0">
        <w:rPr>
          <w:rFonts w:cstheme="minorHAnsi"/>
        </w:rPr>
        <w:t xml:space="preserve"> </w:t>
      </w:r>
    </w:p>
    <w:p w14:paraId="6CD0CC01" w14:textId="7BBB1A13" w:rsidR="00814D3C" w:rsidRDefault="004911AF" w:rsidP="003B6A0B">
      <w:pPr>
        <w:tabs>
          <w:tab w:val="left" w:pos="810"/>
          <w:tab w:val="left" w:pos="1350"/>
        </w:tabs>
        <w:spacing w:line="276" w:lineRule="auto"/>
        <w:jc w:val="both"/>
        <w:rPr>
          <w:rFonts w:cstheme="minorHAnsi"/>
          <w:lang w:val="mk-MK"/>
        </w:rPr>
      </w:pPr>
      <w:r w:rsidRPr="007163E0">
        <w:rPr>
          <w:rFonts w:cstheme="minorHAnsi"/>
          <w:lang w:val="mk-MK"/>
        </w:rPr>
        <w:t xml:space="preserve">Улогата на водечките органи надлежни за спроведување е да ги спроведува и координира мерките и активностите во соодветната приоритетна област, како и да го следи спроведувањето,  да прибира податоци за мерење на </w:t>
      </w:r>
      <w:r w:rsidR="0041445E">
        <w:rPr>
          <w:rFonts w:cstheme="minorHAnsi"/>
          <w:lang w:val="mk-MK"/>
        </w:rPr>
        <w:t xml:space="preserve">показателите за </w:t>
      </w:r>
      <w:r w:rsidRPr="007163E0">
        <w:rPr>
          <w:rFonts w:cstheme="minorHAnsi"/>
          <w:lang w:val="mk-MK"/>
        </w:rPr>
        <w:t xml:space="preserve">успешноста на спроведувањето и да подготвува извештаи. Органите кои учествуваат во спроведувањето на соодветните мерки и активности имаат задача да учествуваат во работните групи, да придонесуваат во следењето, мерењето на успешноста и подготвувањето на извештаите. </w:t>
      </w:r>
    </w:p>
    <w:p w14:paraId="53E44D20" w14:textId="17ABED14" w:rsidR="00142DD3" w:rsidRDefault="00142DD3" w:rsidP="003B6A0B">
      <w:pPr>
        <w:tabs>
          <w:tab w:val="left" w:pos="810"/>
          <w:tab w:val="left" w:pos="1350"/>
        </w:tabs>
        <w:spacing w:line="276" w:lineRule="auto"/>
        <w:jc w:val="both"/>
        <w:rPr>
          <w:rFonts w:cstheme="minorHAnsi"/>
          <w:lang w:val="mk-MK"/>
        </w:rPr>
      </w:pPr>
    </w:p>
    <w:p w14:paraId="39B2D1D0" w14:textId="206BF13A" w:rsidR="00142DD3" w:rsidRDefault="00142DD3" w:rsidP="003B6A0B">
      <w:pPr>
        <w:tabs>
          <w:tab w:val="left" w:pos="810"/>
          <w:tab w:val="left" w:pos="1350"/>
        </w:tabs>
        <w:spacing w:line="276" w:lineRule="auto"/>
        <w:jc w:val="both"/>
        <w:rPr>
          <w:rFonts w:cstheme="minorHAnsi"/>
          <w:lang w:val="mk-MK"/>
        </w:rPr>
      </w:pPr>
    </w:p>
    <w:p w14:paraId="68120879" w14:textId="126C0788" w:rsidR="00142DD3" w:rsidRDefault="00142DD3" w:rsidP="003B6A0B">
      <w:pPr>
        <w:tabs>
          <w:tab w:val="left" w:pos="810"/>
          <w:tab w:val="left" w:pos="1350"/>
        </w:tabs>
        <w:spacing w:line="276" w:lineRule="auto"/>
        <w:jc w:val="both"/>
        <w:rPr>
          <w:rFonts w:cstheme="minorHAnsi"/>
          <w:lang w:val="mk-MK"/>
        </w:rPr>
      </w:pPr>
    </w:p>
    <w:p w14:paraId="5569959E" w14:textId="099BB9EE" w:rsidR="00142DD3" w:rsidRDefault="00142DD3" w:rsidP="003B6A0B">
      <w:pPr>
        <w:tabs>
          <w:tab w:val="left" w:pos="810"/>
          <w:tab w:val="left" w:pos="1350"/>
        </w:tabs>
        <w:spacing w:line="276" w:lineRule="auto"/>
        <w:jc w:val="both"/>
        <w:rPr>
          <w:rFonts w:cstheme="minorHAnsi"/>
          <w:lang w:val="mk-MK"/>
        </w:rPr>
      </w:pPr>
    </w:p>
    <w:p w14:paraId="36389962" w14:textId="0A3639B3" w:rsidR="00142DD3" w:rsidRDefault="00142DD3" w:rsidP="003B6A0B">
      <w:pPr>
        <w:tabs>
          <w:tab w:val="left" w:pos="810"/>
          <w:tab w:val="left" w:pos="1350"/>
        </w:tabs>
        <w:spacing w:line="276" w:lineRule="auto"/>
        <w:jc w:val="both"/>
        <w:rPr>
          <w:rFonts w:cstheme="minorHAnsi"/>
          <w:lang w:val="mk-MK"/>
        </w:rPr>
      </w:pPr>
    </w:p>
    <w:p w14:paraId="5D504C5C" w14:textId="2CD82F1D" w:rsidR="00142DD3" w:rsidRDefault="00142DD3" w:rsidP="003B6A0B">
      <w:pPr>
        <w:tabs>
          <w:tab w:val="left" w:pos="810"/>
          <w:tab w:val="left" w:pos="1350"/>
        </w:tabs>
        <w:spacing w:line="276" w:lineRule="auto"/>
        <w:jc w:val="both"/>
        <w:rPr>
          <w:rFonts w:cstheme="minorHAnsi"/>
          <w:lang w:val="mk-MK"/>
        </w:rPr>
      </w:pPr>
    </w:p>
    <w:p w14:paraId="7C943D81" w14:textId="5D97E21A" w:rsidR="00142DD3" w:rsidRDefault="00142DD3" w:rsidP="003B6A0B">
      <w:pPr>
        <w:tabs>
          <w:tab w:val="left" w:pos="810"/>
          <w:tab w:val="left" w:pos="1350"/>
        </w:tabs>
        <w:spacing w:line="276" w:lineRule="auto"/>
        <w:jc w:val="both"/>
        <w:rPr>
          <w:rFonts w:cstheme="minorHAnsi"/>
          <w:lang w:val="mk-MK"/>
        </w:rPr>
      </w:pPr>
    </w:p>
    <w:p w14:paraId="7A6A5D61" w14:textId="77777777" w:rsidR="00142DD3" w:rsidRPr="007163E0" w:rsidRDefault="00142DD3" w:rsidP="003B6A0B">
      <w:pPr>
        <w:tabs>
          <w:tab w:val="left" w:pos="810"/>
          <w:tab w:val="left" w:pos="1350"/>
        </w:tabs>
        <w:spacing w:line="276" w:lineRule="auto"/>
        <w:jc w:val="both"/>
        <w:rPr>
          <w:lang w:val="fr-FR"/>
        </w:rPr>
      </w:pPr>
    </w:p>
    <w:sectPr w:rsidR="00142DD3" w:rsidRPr="007163E0" w:rsidSect="00F73F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3F9A" w16cex:dateUtc="2023-06-30T09:48:00Z"/>
  <w16cex:commentExtensible w16cex:durableId="28494569" w16cex:dateUtc="2023-06-30T10:13:00Z"/>
  <w16cex:commentExtensible w16cex:durableId="28494588" w16cex:dateUtc="2023-06-30T10:14:00Z"/>
  <w16cex:commentExtensible w16cex:durableId="284946A9" w16cex:dateUtc="2023-06-30T10:18:00Z"/>
  <w16cex:commentExtensible w16cex:durableId="28496A7C" w16cex:dateUtc="2023-06-30T12:51:00Z"/>
  <w16cex:commentExtensible w16cex:durableId="28494822" w16cex:dateUtc="2023-06-30T10:25:00Z"/>
  <w16cex:commentExtensible w16cex:durableId="28496AE7" w16cex:dateUtc="2023-06-30T12:53:00Z"/>
  <w16cex:commentExtensible w16cex:durableId="28496B04" w16cex:dateUtc="2023-06-30T12:53:00Z"/>
  <w16cex:commentExtensible w16cex:durableId="28496B0D" w16cex:dateUtc="2023-06-30T12:54:00Z"/>
  <w16cex:commentExtensible w16cex:durableId="28496B31" w16cex:dateUtc="2023-06-30T12:54:00Z"/>
  <w16cex:commentExtensible w16cex:durableId="28496B43" w16cex:dateUtc="2023-06-30T12:54:00Z"/>
  <w16cex:commentExtensible w16cex:durableId="28496B80" w16cex:dateUtc="2023-06-30T12:56:00Z"/>
  <w16cex:commentExtensible w16cex:durableId="28496B8E" w16cex:dateUtc="2023-06-30T12:56:00Z"/>
  <w16cex:commentExtensible w16cex:durableId="28496BB6" w16cex:dateUtc="2023-06-30T12:56:00Z"/>
  <w16cex:commentExtensible w16cex:durableId="28496BD2" w16cex:dateUtc="2023-06-30T12:57:00Z"/>
  <w16cex:commentExtensible w16cex:durableId="28494A7A" w16cex:dateUtc="2023-06-30T10:35:00Z"/>
  <w16cex:commentExtensible w16cex:durableId="28494A90" w16cex:dateUtc="2023-06-30T10:35:00Z"/>
  <w16cex:commentExtensible w16cex:durableId="28494AA1" w16cex:dateUtc="2023-06-30T10:35:00Z"/>
  <w16cex:commentExtensible w16cex:durableId="28494AC1" w16cex:dateUtc="2023-06-30T10:36:00Z"/>
  <w16cex:commentExtensible w16cex:durableId="28494EEB" w16cex:dateUtc="2023-06-30T10:54:00Z"/>
  <w16cex:commentExtensible w16cex:durableId="28494F14" w16cex:dateUtc="2023-06-30T10:54:00Z"/>
  <w16cex:commentExtensible w16cex:durableId="28494F23" w16cex:dateUtc="2023-06-30T10:54:00Z"/>
  <w16cex:commentExtensible w16cex:durableId="28494F4F" w16cex:dateUtc="2023-06-30T10:55:00Z"/>
  <w16cex:commentExtensible w16cex:durableId="28494F63" w16cex:dateUtc="2023-06-30T10:56:00Z"/>
  <w16cex:commentExtensible w16cex:durableId="28495340" w16cex:dateUtc="2023-06-30T11:12:00Z"/>
  <w16cex:commentExtensible w16cex:durableId="2849534F" w16cex:dateUtc="2023-06-30T11:12:00Z"/>
  <w16cex:commentExtensible w16cex:durableId="28495358" w16cex:dateUtc="2023-06-30T11:12:00Z"/>
  <w16cex:commentExtensible w16cex:durableId="2849535F" w16cex:dateUtc="2023-06-30T11:13:00Z"/>
  <w16cex:commentExtensible w16cex:durableId="28496D27" w16cex:dateUtc="2023-06-30T13:03:00Z"/>
  <w16cex:commentExtensible w16cex:durableId="28496D3B" w16cex:dateUtc="2023-06-30T13:03:00Z"/>
  <w16cex:commentExtensible w16cex:durableId="284972D6" w16cex:dateUtc="2023-06-30T13:27:00Z"/>
  <w16cex:commentExtensible w16cex:durableId="28496D83" w16cex:dateUtc="2023-06-30T13:04:00Z"/>
  <w16cex:commentExtensible w16cex:durableId="283A9DA0" w16cex:dateUtc="2023-06-19T07:25:00Z"/>
  <w16cex:commentExtensible w16cex:durableId="283AF6CB" w16cex:dateUtc="2023-06-19T13:46:00Z"/>
  <w16cex:commentExtensible w16cex:durableId="284957AD" w16cex:dateUtc="2023-06-30T11:31:00Z"/>
  <w16cex:commentExtensible w16cex:durableId="283AFB29" w16cex:dateUtc="2023-06-19T14:04:00Z"/>
  <w16cex:commentExtensible w16cex:durableId="283AFE59" w16cex:dateUtc="2023-06-19T14:18:00Z"/>
  <w16cex:commentExtensible w16cex:durableId="283AFE63" w16cex:dateUtc="2023-06-1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198A5" w16cid:durableId="28493F9A"/>
  <w16cid:commentId w16cid:paraId="5B4B0079" w16cid:durableId="28494569"/>
  <w16cid:commentId w16cid:paraId="36918150" w16cid:durableId="28494588"/>
  <w16cid:commentId w16cid:paraId="1F7C1955" w16cid:durableId="2847E1CF"/>
  <w16cid:commentId w16cid:paraId="74EEBF25" w16cid:durableId="2847E1D0"/>
  <w16cid:commentId w16cid:paraId="1F978CB5" w16cid:durableId="284946A9"/>
  <w16cid:commentId w16cid:paraId="7FA93FDA" w16cid:durableId="28496A7C"/>
  <w16cid:commentId w16cid:paraId="038CC8C8" w16cid:durableId="28494822"/>
  <w16cid:commentId w16cid:paraId="50736A2E" w16cid:durableId="28496AE7"/>
  <w16cid:commentId w16cid:paraId="3BFB04ED" w16cid:durableId="28496B04"/>
  <w16cid:commentId w16cid:paraId="46179A2B" w16cid:durableId="28496B0D"/>
  <w16cid:commentId w16cid:paraId="198E790B" w16cid:durableId="28496B31"/>
  <w16cid:commentId w16cid:paraId="7F07D9C0" w16cid:durableId="28496B43"/>
  <w16cid:commentId w16cid:paraId="731252F2" w16cid:durableId="28496B80"/>
  <w16cid:commentId w16cid:paraId="6FF9AB73" w16cid:durableId="28496B8E"/>
  <w16cid:commentId w16cid:paraId="0C5EB734" w16cid:durableId="28496BB6"/>
  <w16cid:commentId w16cid:paraId="0534918E" w16cid:durableId="28496BD2"/>
  <w16cid:commentId w16cid:paraId="5E57CC88" w16cid:durableId="28494A7A"/>
  <w16cid:commentId w16cid:paraId="6A9855D6" w16cid:durableId="28494A90"/>
  <w16cid:commentId w16cid:paraId="6B21B547" w16cid:durableId="28494AA1"/>
  <w16cid:commentId w16cid:paraId="5FBE3CC2" w16cid:durableId="28494AC1"/>
  <w16cid:commentId w16cid:paraId="06F65824" w16cid:durableId="28494EEB"/>
  <w16cid:commentId w16cid:paraId="3FC71890" w16cid:durableId="28494F14"/>
  <w16cid:commentId w16cid:paraId="54DDEAFA" w16cid:durableId="28494F23"/>
  <w16cid:commentId w16cid:paraId="3CB73432" w16cid:durableId="28494F4F"/>
  <w16cid:commentId w16cid:paraId="09536107" w16cid:durableId="28494F63"/>
  <w16cid:commentId w16cid:paraId="63E334A5" w16cid:durableId="28495340"/>
  <w16cid:commentId w16cid:paraId="270C434C" w16cid:durableId="2849534F"/>
  <w16cid:commentId w16cid:paraId="7A65B2A7" w16cid:durableId="28495358"/>
  <w16cid:commentId w16cid:paraId="5600753A" w16cid:durableId="2849535F"/>
  <w16cid:commentId w16cid:paraId="6A7FB143" w16cid:durableId="28496D27"/>
  <w16cid:commentId w16cid:paraId="5483D113" w16cid:durableId="28496D3B"/>
  <w16cid:commentId w16cid:paraId="0CD352D4" w16cid:durableId="284972D6"/>
  <w16cid:commentId w16cid:paraId="53523673" w16cid:durableId="28496D83"/>
  <w16cid:commentId w16cid:paraId="631EC9B3" w16cid:durableId="283A9DA0"/>
  <w16cid:commentId w16cid:paraId="5E754C65" w16cid:durableId="283AF6CB"/>
  <w16cid:commentId w16cid:paraId="09AFF52F" w16cid:durableId="284957AD"/>
  <w16cid:commentId w16cid:paraId="5A55439B" w16cid:durableId="283AFB29"/>
  <w16cid:commentId w16cid:paraId="7D5A5B23" w16cid:durableId="283AFE59"/>
  <w16cid:commentId w16cid:paraId="29809828" w16cid:durableId="283AFE6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93E4" w14:textId="77777777" w:rsidR="005C0240" w:rsidRDefault="005C0240" w:rsidP="007E0A96">
      <w:pPr>
        <w:spacing w:after="0" w:line="240" w:lineRule="auto"/>
      </w:pPr>
      <w:r>
        <w:separator/>
      </w:r>
    </w:p>
  </w:endnote>
  <w:endnote w:type="continuationSeparator" w:id="0">
    <w:p w14:paraId="4422808E" w14:textId="77777777" w:rsidR="005C0240" w:rsidRDefault="005C0240" w:rsidP="007E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648632"/>
      <w:docPartObj>
        <w:docPartGallery w:val="Page Numbers (Bottom of Page)"/>
        <w:docPartUnique/>
      </w:docPartObj>
    </w:sdtPr>
    <w:sdtEndPr>
      <w:rPr>
        <w:noProof/>
      </w:rPr>
    </w:sdtEndPr>
    <w:sdtContent>
      <w:p w14:paraId="5F3B412F" w14:textId="619675BE" w:rsidR="00902252" w:rsidRDefault="00902252">
        <w:pPr>
          <w:pStyle w:val="Footer"/>
          <w:jc w:val="right"/>
        </w:pPr>
        <w:r>
          <w:fldChar w:fldCharType="begin"/>
        </w:r>
        <w:r>
          <w:instrText xml:space="preserve"> PAGE   \* MERGEFORMAT </w:instrText>
        </w:r>
        <w:r>
          <w:fldChar w:fldCharType="separate"/>
        </w:r>
        <w:r w:rsidR="00432B4D">
          <w:rPr>
            <w:noProof/>
          </w:rPr>
          <w:t>68</w:t>
        </w:r>
        <w:r>
          <w:rPr>
            <w:noProof/>
          </w:rPr>
          <w:fldChar w:fldCharType="end"/>
        </w:r>
      </w:p>
    </w:sdtContent>
  </w:sdt>
  <w:p w14:paraId="611289EF" w14:textId="77777777" w:rsidR="00902252" w:rsidRDefault="009022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27D57" w14:textId="77777777" w:rsidR="005C0240" w:rsidRDefault="005C0240" w:rsidP="007E0A96">
      <w:pPr>
        <w:spacing w:after="0" w:line="240" w:lineRule="auto"/>
      </w:pPr>
      <w:r>
        <w:separator/>
      </w:r>
    </w:p>
  </w:footnote>
  <w:footnote w:type="continuationSeparator" w:id="0">
    <w:p w14:paraId="1117C4C1" w14:textId="77777777" w:rsidR="005C0240" w:rsidRDefault="005C0240" w:rsidP="007E0A96">
      <w:pPr>
        <w:spacing w:after="0" w:line="240" w:lineRule="auto"/>
      </w:pPr>
      <w:r>
        <w:continuationSeparator/>
      </w:r>
    </w:p>
  </w:footnote>
  <w:footnote w:id="1">
    <w:p w14:paraId="1CDBD609" w14:textId="77777777" w:rsidR="00902252" w:rsidRPr="004C0BB6" w:rsidRDefault="00902252" w:rsidP="00A73B20">
      <w:pPr>
        <w:pStyle w:val="FootnoteText"/>
        <w:rPr>
          <w:sz w:val="18"/>
          <w:szCs w:val="18"/>
          <w:lang w:val="mk-MK"/>
        </w:rPr>
      </w:pPr>
      <w:r w:rsidRPr="004C0BB6">
        <w:rPr>
          <w:rStyle w:val="FootnoteReference"/>
          <w:sz w:val="18"/>
          <w:szCs w:val="18"/>
        </w:rPr>
        <w:footnoteRef/>
      </w:r>
      <w:r w:rsidRPr="004C0BB6">
        <w:rPr>
          <w:sz w:val="18"/>
          <w:szCs w:val="18"/>
        </w:rPr>
        <w:t xml:space="preserve"> </w:t>
      </w:r>
      <w:r w:rsidRPr="004C0BB6">
        <w:rPr>
          <w:sz w:val="18"/>
          <w:szCs w:val="18"/>
          <w:lang w:val="mk-MK"/>
        </w:rPr>
        <w:t>Информации достапни на https://neighbourhood-enlargement.ec.europa.eu/system/files/2020-02/enlargement-methodology_en.pdf</w:t>
      </w:r>
    </w:p>
  </w:footnote>
  <w:footnote w:id="2">
    <w:p w14:paraId="6FDA3C3C" w14:textId="595316C8" w:rsidR="00902252" w:rsidRPr="00AC68FC" w:rsidRDefault="00902252">
      <w:pPr>
        <w:pStyle w:val="FootnoteText"/>
        <w:rPr>
          <w:lang w:val="mk-MK"/>
        </w:rPr>
      </w:pPr>
      <w:r>
        <w:rPr>
          <w:rStyle w:val="FootnoteReference"/>
        </w:rPr>
        <w:footnoteRef/>
      </w:r>
      <w:r>
        <w:t xml:space="preserve"> </w:t>
      </w:r>
      <w:r w:rsidRPr="00AC68FC">
        <w:rPr>
          <w:sz w:val="18"/>
          <w:szCs w:val="18"/>
        </w:rPr>
        <w:t>ttps://ec.europa.eu/neighbourhood-enlargement/2018-communication-eu-enlargement-policy-en-fr-de_en</w:t>
      </w:r>
      <w:r w:rsidRPr="00695C52">
        <w:rPr>
          <w:sz w:val="18"/>
          <w:szCs w:val="18"/>
        </w:rPr>
        <w:t xml:space="preserve">. </w:t>
      </w:r>
      <w:r w:rsidRPr="00695C52">
        <w:t xml:space="preserve"> </w:t>
      </w:r>
    </w:p>
  </w:footnote>
  <w:footnote w:id="3">
    <w:p w14:paraId="5E7026F5" w14:textId="77777777" w:rsidR="00902252" w:rsidRPr="00AC68FC" w:rsidRDefault="00902252" w:rsidP="007E0A96">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 xml:space="preserve">Информација достапна на </w:t>
      </w:r>
      <w:hyperlink r:id="rId1" w:anchor=".Y2owtnbMI2x" w:history="1">
        <w:r w:rsidRPr="00AC68FC">
          <w:rPr>
            <w:rStyle w:val="Hyperlink"/>
            <w:sz w:val="18"/>
            <w:szCs w:val="18"/>
            <w:lang w:val="mk-MK"/>
          </w:rPr>
          <w:t>https://www.sep.gov.mk/post/?id=8814#.Y2owtnbMI2x</w:t>
        </w:r>
      </w:hyperlink>
      <w:r w:rsidRPr="00AC68FC">
        <w:rPr>
          <w:sz w:val="18"/>
          <w:szCs w:val="18"/>
          <w:lang w:val="mk-MK"/>
        </w:rPr>
        <w:t xml:space="preserve"> </w:t>
      </w:r>
    </w:p>
  </w:footnote>
  <w:footnote w:id="4">
    <w:p w14:paraId="67FD96A3" w14:textId="0711170E" w:rsidR="00902252" w:rsidRPr="00AC68FC" w:rsidRDefault="00902252">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Достапен на https://mioa.gov.mk/?q=mk/node/2103</w:t>
      </w:r>
    </w:p>
  </w:footnote>
  <w:footnote w:id="5">
    <w:p w14:paraId="1337EF3D" w14:textId="5B2000C1" w:rsidR="00902252" w:rsidRPr="00AC68FC" w:rsidRDefault="00902252">
      <w:pPr>
        <w:pStyle w:val="FootnoteText"/>
        <w:rPr>
          <w:lang w:val="mk-MK"/>
        </w:rPr>
      </w:pPr>
      <w:r>
        <w:rPr>
          <w:rStyle w:val="FootnoteReference"/>
        </w:rPr>
        <w:footnoteRef/>
      </w:r>
      <w:r>
        <w:t xml:space="preserve"> </w:t>
      </w:r>
      <w:r w:rsidRPr="00AC68FC">
        <w:rPr>
          <w:sz w:val="18"/>
          <w:szCs w:val="18"/>
          <w:lang w:val="mk-MK"/>
        </w:rPr>
        <w:t>Согласно нацрт Годишен извештај за спроведување на акцискиот план на Стратегијата за реформа на јавната администрација 2018-2022 за периодот јануари-декември 2022 година</w:t>
      </w:r>
      <w:r>
        <w:rPr>
          <w:lang w:val="mk-MK"/>
        </w:rPr>
        <w:t xml:space="preserve">  </w:t>
      </w:r>
    </w:p>
  </w:footnote>
  <w:footnote w:id="6">
    <w:p w14:paraId="548934CA" w14:textId="6BA87804" w:rsidR="00902252" w:rsidRPr="002D16A8" w:rsidRDefault="00902252" w:rsidP="00F93124">
      <w:pPr>
        <w:pStyle w:val="FootnoteText"/>
        <w:rPr>
          <w:sz w:val="18"/>
          <w:szCs w:val="18"/>
          <w:lang w:val="mk-MK"/>
        </w:rPr>
      </w:pPr>
      <w:r w:rsidRPr="002D16A8">
        <w:rPr>
          <w:rStyle w:val="FootnoteReference"/>
          <w:sz w:val="18"/>
          <w:szCs w:val="18"/>
        </w:rPr>
        <w:footnoteRef/>
      </w:r>
      <w:r w:rsidRPr="002D16A8">
        <w:rPr>
          <w:sz w:val="18"/>
          <w:szCs w:val="18"/>
        </w:rPr>
        <w:t xml:space="preserve"> </w:t>
      </w:r>
      <w:r>
        <w:rPr>
          <w:sz w:val="18"/>
          <w:szCs w:val="18"/>
          <w:lang w:val="mk-MK"/>
        </w:rPr>
        <w:t xml:space="preserve">Информации за Принципите на јавната администрација на СИГМА достапни на </w:t>
      </w:r>
      <w:r w:rsidRPr="002D16A8">
        <w:rPr>
          <w:sz w:val="18"/>
          <w:szCs w:val="18"/>
          <w:lang w:val="mk-MK"/>
        </w:rPr>
        <w:t>https://www.sigmaweb.org/publications/principles-public-administration.htm</w:t>
      </w:r>
    </w:p>
  </w:footnote>
  <w:footnote w:id="7">
    <w:p w14:paraId="2EBAFEA7" w14:textId="014C3736" w:rsidR="00902252" w:rsidRPr="002D16A8" w:rsidRDefault="00902252" w:rsidP="00F93124">
      <w:pPr>
        <w:pStyle w:val="FootnoteText"/>
        <w:rPr>
          <w:sz w:val="18"/>
          <w:szCs w:val="18"/>
          <w:lang w:val="mk-MK"/>
        </w:rPr>
      </w:pPr>
      <w:r w:rsidRPr="002D16A8">
        <w:rPr>
          <w:rStyle w:val="FootnoteReference"/>
          <w:sz w:val="18"/>
          <w:szCs w:val="18"/>
        </w:rPr>
        <w:footnoteRef/>
      </w:r>
      <w:r w:rsidRPr="002D16A8">
        <w:rPr>
          <w:sz w:val="18"/>
          <w:szCs w:val="18"/>
        </w:rPr>
        <w:t xml:space="preserve"> </w:t>
      </w:r>
      <w:r w:rsidRPr="002D16A8">
        <w:rPr>
          <w:sz w:val="18"/>
          <w:szCs w:val="18"/>
          <w:lang w:val="mk-MK"/>
        </w:rPr>
        <w:t xml:space="preserve">Информации за </w:t>
      </w:r>
      <w:r>
        <w:rPr>
          <w:sz w:val="18"/>
          <w:szCs w:val="18"/>
          <w:lang w:val="mk-MK"/>
        </w:rPr>
        <w:t xml:space="preserve">Начелата </w:t>
      </w:r>
      <w:r w:rsidRPr="002D16A8">
        <w:rPr>
          <w:sz w:val="18"/>
          <w:szCs w:val="18"/>
          <w:lang w:val="mk-MK"/>
        </w:rPr>
        <w:t>на добро владеење, Совет на Европа, https://www.coe.int/en/web/good-governance/12-principles</w:t>
      </w:r>
    </w:p>
  </w:footnote>
  <w:footnote w:id="8">
    <w:p w14:paraId="558F694E" w14:textId="6D3AA7CB" w:rsidR="00902252" w:rsidRPr="00AC68FC" w:rsidRDefault="00902252">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Информации за Целите за одржлив развој на ОН на https://sdgs.un.org/goals</w:t>
      </w:r>
    </w:p>
  </w:footnote>
  <w:footnote w:id="9">
    <w:p w14:paraId="1F6F6511" w14:textId="2C11F5AC" w:rsidR="00902252" w:rsidRPr="00AC68FC" w:rsidRDefault="00902252">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Достапна на https://finance.gov.mk/wp-content/uploads/2022/10/%D0%9F%D0%A4%D0%9C-%D0%BF%D1%80%D0%BE%D0%B3%D1%80%D0%B0%D0%BC%D0%B0-2022-2025-MK-Struktuirana-za-Vlada-1.pdf</w:t>
      </w:r>
    </w:p>
  </w:footnote>
  <w:footnote w:id="10">
    <w:p w14:paraId="7A84F3C1" w14:textId="77777777" w:rsidR="00902252" w:rsidRPr="00AC68FC" w:rsidRDefault="00902252" w:rsidP="009705BD">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Достапна на https://finance.gov.mk/wp-content/uploads/2023/02/%D0%9F%D0%95%D0%A0-2023-2025.pdf</w:t>
      </w:r>
    </w:p>
  </w:footnote>
  <w:footnote w:id="11">
    <w:p w14:paraId="0C590BC6" w14:textId="77777777" w:rsidR="00902252" w:rsidRPr="00B37775" w:rsidRDefault="00902252" w:rsidP="00603582">
      <w:pPr>
        <w:pStyle w:val="FootnoteText"/>
        <w:rPr>
          <w:lang w:val="mk-MK"/>
        </w:rPr>
      </w:pPr>
      <w:r>
        <w:rPr>
          <w:rStyle w:val="FootnoteReference"/>
        </w:rPr>
        <w:footnoteRef/>
      </w:r>
      <w:r>
        <w:t xml:space="preserve"> </w:t>
      </w:r>
      <w:r>
        <w:rPr>
          <w:lang w:val="mk-MK"/>
        </w:rPr>
        <w:t xml:space="preserve">Достапна на </w:t>
      </w:r>
      <w:r w:rsidRPr="003E7073">
        <w:rPr>
          <w:lang w:val="mk-MK"/>
        </w:rPr>
        <w:t>https://mls.gov.mk/images/files/POLRD_2021-2026_MK_so%20korekcii_Final.pdf</w:t>
      </w:r>
    </w:p>
  </w:footnote>
  <w:footnote w:id="12">
    <w:p w14:paraId="3B0F61BB" w14:textId="3701E3F6" w:rsidR="00902252" w:rsidRPr="003103CA" w:rsidRDefault="00902252" w:rsidP="001F783D">
      <w:pPr>
        <w:pStyle w:val="FootnoteText"/>
        <w:rPr>
          <w:lang w:val="mk-MK"/>
        </w:rPr>
      </w:pPr>
      <w:r>
        <w:rPr>
          <w:rStyle w:val="FootnoteReference"/>
        </w:rPr>
        <w:footnoteRef/>
      </w:r>
      <w:r>
        <w:t xml:space="preserve"> </w:t>
      </w:r>
      <w:r>
        <w:rPr>
          <w:lang w:val="mk-MK"/>
        </w:rPr>
        <w:t xml:space="preserve">Достапна на </w:t>
      </w:r>
      <w:hyperlink r:id="rId2" w:history="1">
        <w:r w:rsidRPr="000A08F4">
          <w:rPr>
            <w:rStyle w:val="Hyperlink"/>
            <w:lang w:val="mk-MK"/>
          </w:rPr>
          <w:t>https://dksk.mk</w:t>
        </w:r>
      </w:hyperlink>
      <w:r>
        <w:rPr>
          <w:lang w:val="mk-MK"/>
        </w:rPr>
        <w:t xml:space="preserve"> </w:t>
      </w:r>
    </w:p>
  </w:footnote>
  <w:footnote w:id="13">
    <w:p w14:paraId="0D712596" w14:textId="00667079" w:rsidR="00902252" w:rsidRPr="00AC68FC" w:rsidRDefault="00902252">
      <w:pPr>
        <w:pStyle w:val="FootnoteText"/>
        <w:rPr>
          <w:lang w:val="mk-MK"/>
        </w:rPr>
      </w:pPr>
      <w:r>
        <w:rPr>
          <w:rStyle w:val="FootnoteReference"/>
        </w:rPr>
        <w:footnoteRef/>
      </w:r>
      <w:r>
        <w:t xml:space="preserve"> </w:t>
      </w:r>
      <w:r>
        <w:rPr>
          <w:lang w:val="mk-MK"/>
        </w:rPr>
        <w:t xml:space="preserve">Достапен на </w:t>
      </w:r>
      <w:r w:rsidRPr="00872923">
        <w:rPr>
          <w:lang w:val="mk-MK"/>
        </w:rPr>
        <w:t>https://finance.gov.mk</w:t>
      </w:r>
    </w:p>
  </w:footnote>
  <w:footnote w:id="14">
    <w:p w14:paraId="6804C6FE" w14:textId="77777777" w:rsidR="00902252" w:rsidRPr="003103CA" w:rsidRDefault="00902252" w:rsidP="007E0A96">
      <w:pPr>
        <w:pStyle w:val="FootnoteText"/>
        <w:rPr>
          <w:lang w:val="mk-MK"/>
        </w:rPr>
      </w:pPr>
      <w:r>
        <w:rPr>
          <w:rStyle w:val="FootnoteReference"/>
        </w:rPr>
        <w:footnoteRef/>
      </w:r>
      <w:r>
        <w:t xml:space="preserve"> </w:t>
      </w:r>
      <w:r>
        <w:rPr>
          <w:lang w:val="mk-MK"/>
        </w:rPr>
        <w:t xml:space="preserve">Достапно на </w:t>
      </w:r>
      <w:hyperlink r:id="rId3" w:history="1">
        <w:r w:rsidRPr="002C3B4D">
          <w:rPr>
            <w:rStyle w:val="Hyperlink"/>
            <w:lang w:val="mk-MK"/>
          </w:rPr>
          <w:t>https://ovp.gov.mk/nap/%d0%bd%d0%b0%d1%86%d0%b8%d0%be%d0%bd%d0%b0%d0%bb%d0%b5%d0%bd-%d0%b0%d0%ba%d1%86%d0%b8%d1%81%d0%ba%d0%b8-%d0%bf%d0%bb%d0%b0%d0%bd-%d0%b7%d0%b0-%d0%be%d1%82%d0%b2%d0%be%d1%80%d0%b5%d0%bd%d0%be-%d0%b2/</w:t>
        </w:r>
      </w:hyperlink>
      <w:r>
        <w:rPr>
          <w:lang w:val="mk-MK"/>
        </w:rPr>
        <w:t xml:space="preserve"> </w:t>
      </w:r>
    </w:p>
  </w:footnote>
  <w:footnote w:id="15">
    <w:p w14:paraId="7E60C95C" w14:textId="77777777" w:rsidR="00902252" w:rsidRDefault="00902252" w:rsidP="00987609">
      <w:pPr>
        <w:pStyle w:val="FootnoteText"/>
        <w:rPr>
          <w:sz w:val="18"/>
          <w:szCs w:val="18"/>
        </w:rPr>
      </w:pPr>
      <w:r>
        <w:rPr>
          <w:rStyle w:val="FootnoteReference"/>
          <w:sz w:val="18"/>
          <w:szCs w:val="18"/>
        </w:rPr>
        <w:footnoteRef/>
      </w:r>
      <w:r>
        <w:rPr>
          <w:sz w:val="18"/>
          <w:szCs w:val="18"/>
        </w:rPr>
        <w:t xml:space="preserve"> Стратегија за родова еднаквост 2022-2027. Службен Весник на Република Северна Македонија бр. 170/2022. pg. 27. https://mtsp.gov.mk/content/pdf/2022/strategija_/%D0%A1%D1%82%D1%80%D0%B0%D1%82%D0%B5%D0%B3%D0%B8%D1%98%D0%B0_%D0%B7%D0%B0_%D1%80%D0%BE%D0%B4%D0%BE%D0%B2%D0%B0_%D0%B5%D0%B4%D0%BD%D0%B0%D0%BA%D0%B2%D0%BE%D1%81%D1%82_2022_2027.pdf</w:t>
      </w:r>
    </w:p>
  </w:footnote>
  <w:footnote w:id="16">
    <w:p w14:paraId="65901F40" w14:textId="77777777" w:rsidR="00902252" w:rsidRDefault="00902252" w:rsidP="00972921">
      <w:pPr>
        <w:pStyle w:val="FootnoteText"/>
        <w:rPr>
          <w:sz w:val="18"/>
          <w:szCs w:val="18"/>
        </w:rPr>
      </w:pPr>
      <w:r>
        <w:rPr>
          <w:rStyle w:val="FootnoteReference"/>
          <w:sz w:val="18"/>
          <w:szCs w:val="18"/>
        </w:rPr>
        <w:footnoteRef/>
      </w:r>
      <w:r>
        <w:rPr>
          <w:sz w:val="18"/>
          <w:szCs w:val="18"/>
        </w:rPr>
        <w:t xml:space="preserve"> European Parliament and European Council. 2020. EU GENDER ACTION PLAN (GAP) III. https://eur-lex.europa.eu/legal-content/EN/TXT/PDF/?uri=CELEX:52020JC0017&amp;from=EN</w:t>
      </w:r>
    </w:p>
  </w:footnote>
  <w:footnote w:id="17">
    <w:p w14:paraId="1F038432" w14:textId="4805208B" w:rsidR="00902252" w:rsidRPr="00AC68FC" w:rsidRDefault="00902252">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Достапна на https://www.nvosorabotka.gov.mk/sites/default/files/Strategija%20usvoena%2028%2012%202021.pdf</w:t>
      </w:r>
    </w:p>
  </w:footnote>
  <w:footnote w:id="18">
    <w:p w14:paraId="7BCB8D91" w14:textId="77777777" w:rsidR="00902252" w:rsidRPr="00AC68FC" w:rsidRDefault="00902252" w:rsidP="007E0A96">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 xml:space="preserve">Достапно на </w:t>
      </w:r>
      <w:hyperlink r:id="rId4" w:anchor=".Y2pUcnbMI2x" w:history="1">
        <w:r w:rsidRPr="00AC68FC">
          <w:rPr>
            <w:rStyle w:val="Hyperlink"/>
            <w:sz w:val="18"/>
            <w:szCs w:val="18"/>
            <w:lang w:val="mk-MK"/>
          </w:rPr>
          <w:t>https://www.sep.gov.mk/post/?id=13#.Y2pUcnbMI2x</w:t>
        </w:r>
      </w:hyperlink>
      <w:r w:rsidRPr="00AC68FC">
        <w:rPr>
          <w:sz w:val="18"/>
          <w:szCs w:val="18"/>
          <w:lang w:val="mk-MK"/>
        </w:rPr>
        <w:t xml:space="preserve"> </w:t>
      </w:r>
    </w:p>
  </w:footnote>
  <w:footnote w:id="19">
    <w:p w14:paraId="4B02FE25" w14:textId="77777777" w:rsidR="00902252" w:rsidRPr="00AC68FC" w:rsidRDefault="00902252" w:rsidP="007E0A96">
      <w:pPr>
        <w:pStyle w:val="FootnoteText"/>
        <w:rPr>
          <w:sz w:val="18"/>
          <w:szCs w:val="18"/>
          <w:lang w:val="mk-MK"/>
        </w:rPr>
      </w:pPr>
      <w:r w:rsidRPr="00AC68FC">
        <w:rPr>
          <w:rStyle w:val="FootnoteReference"/>
          <w:sz w:val="18"/>
          <w:szCs w:val="18"/>
        </w:rPr>
        <w:footnoteRef/>
      </w:r>
      <w:r w:rsidRPr="00AC68FC">
        <w:rPr>
          <w:sz w:val="18"/>
          <w:szCs w:val="18"/>
        </w:rPr>
        <w:t xml:space="preserve"> </w:t>
      </w:r>
      <w:r w:rsidRPr="00AC68FC">
        <w:rPr>
          <w:sz w:val="18"/>
          <w:szCs w:val="18"/>
          <w:lang w:val="mk-MK"/>
        </w:rPr>
        <w:t xml:space="preserve">Достапна на </w:t>
      </w:r>
      <w:hyperlink r:id="rId5" w:history="1">
        <w:r w:rsidRPr="00AC68FC">
          <w:rPr>
            <w:rStyle w:val="Hyperlink"/>
            <w:sz w:val="18"/>
            <w:szCs w:val="18"/>
            <w:lang w:val="mk-MK"/>
          </w:rPr>
          <w:t>https://finance.gov.mk/wp-content/uploads/2021/01/Strategija_za_reforma_na_danocniot_sistem_2021-2025_usvoena_od_VLADA.pdf</w:t>
        </w:r>
      </w:hyperlink>
      <w:r w:rsidRPr="00AC68FC">
        <w:rPr>
          <w:sz w:val="18"/>
          <w:szCs w:val="18"/>
          <w:lang w:val="mk-MK"/>
        </w:rPr>
        <w:t xml:space="preserve"> </w:t>
      </w:r>
    </w:p>
  </w:footnote>
  <w:footnote w:id="20">
    <w:p w14:paraId="4CDC9EB1" w14:textId="77777777" w:rsidR="00902252" w:rsidRPr="00DD2F5F" w:rsidRDefault="00902252" w:rsidP="007E0A96">
      <w:pPr>
        <w:pStyle w:val="FootnoteText"/>
        <w:rPr>
          <w:lang w:val="mk-MK"/>
        </w:rPr>
      </w:pPr>
      <w:r>
        <w:rPr>
          <w:rStyle w:val="FootnoteReference"/>
        </w:rPr>
        <w:footnoteRef/>
      </w:r>
      <w:r>
        <w:t xml:space="preserve"> </w:t>
      </w:r>
      <w:r>
        <w:rPr>
          <w:lang w:val="mk-MK"/>
        </w:rPr>
        <w:t xml:space="preserve">Достапно на </w:t>
      </w:r>
      <w:hyperlink r:id="rId6" w:history="1">
        <w:r w:rsidRPr="002C3B4D">
          <w:rPr>
            <w:rStyle w:val="Hyperlink"/>
            <w:lang w:val="mk-MK"/>
          </w:rPr>
          <w:t>https://finance.gov.mk/wp-content/uploads/2021/12/%D0%A0%D0%B5%D0%B2%D0%B8%D0%B4%D0%B8%D1%80%D0%B0%D0%BD%D0%B0-%D0%A4%D0%B8%D1%81%D0%BA%D0%B0%D0%BB%D0%BD%D0%B0-%D1%81%D1%82%D1%80%D0%B0%D1%82%D0%B5%D0%B3%D0%B8%D1%98%D0%B0-%D0%BD%D0%B0-%D0%A0%D0%A1%D0%9C-%D0%B7%D0%B0-2022-2024-%D1%81%D0%BE-%D0%B8%D0%B7%D0%B3%D0%BB%D0%B5%D0%B4%D0%B8-%D0%B4%D0%BE-2026-1-1.pdf</w:t>
        </w:r>
      </w:hyperlink>
      <w:r>
        <w:rPr>
          <w:lang w:val="mk-MK"/>
        </w:rPr>
        <w:t xml:space="preserve"> </w:t>
      </w:r>
    </w:p>
  </w:footnote>
  <w:footnote w:id="21">
    <w:p w14:paraId="46C0D08E" w14:textId="77777777" w:rsidR="00902252" w:rsidRPr="00493684" w:rsidRDefault="00902252" w:rsidP="007E0A96">
      <w:pPr>
        <w:pStyle w:val="FootnoteText"/>
        <w:rPr>
          <w:lang w:val="mk-MK"/>
        </w:rPr>
      </w:pPr>
      <w:r>
        <w:rPr>
          <w:rStyle w:val="FootnoteReference"/>
        </w:rPr>
        <w:footnoteRef/>
      </w:r>
      <w:r>
        <w:t xml:space="preserve"> </w:t>
      </w:r>
      <w:r>
        <w:rPr>
          <w:lang w:val="mk-MK"/>
        </w:rPr>
        <w:t xml:space="preserve">Достапна на </w:t>
      </w:r>
      <w:hyperlink r:id="rId7" w:history="1">
        <w:r w:rsidRPr="002C3B4D">
          <w:rPr>
            <w:rStyle w:val="Hyperlink"/>
            <w:lang w:val="mk-MK"/>
          </w:rPr>
          <w:t>https://op.europa.eu/en/publication-detail/-/publication/27a0545e-03bf-425f-8b09-7cef6f0870af</w:t>
        </w:r>
      </w:hyperlink>
      <w:r>
        <w:rPr>
          <w:lang w:val="mk-MK"/>
        </w:rPr>
        <w:t xml:space="preserve"> </w:t>
      </w:r>
    </w:p>
  </w:footnote>
  <w:footnote w:id="22">
    <w:p w14:paraId="515F6743" w14:textId="748491EE" w:rsidR="00902252" w:rsidRDefault="00902252">
      <w:pPr>
        <w:pStyle w:val="FootnoteText"/>
        <w:rPr>
          <w:lang w:val="mk-MK"/>
        </w:rPr>
      </w:pPr>
      <w:r>
        <w:rPr>
          <w:rStyle w:val="FootnoteReference"/>
        </w:rPr>
        <w:footnoteRef/>
      </w:r>
      <w:r>
        <w:t xml:space="preserve"> </w:t>
      </w:r>
      <w:r>
        <w:rPr>
          <w:lang w:val="mk-MK"/>
        </w:rPr>
        <w:t xml:space="preserve">Доостапна на </w:t>
      </w:r>
      <w:r w:rsidRPr="00872FA1">
        <w:rPr>
          <w:lang w:val="mk-MK"/>
        </w:rPr>
        <w:t>https://neighbourhood-enlargement.ec.europa.eu/system/files/2022-01/C_2021_8914_F1_ANNEX_EN_V5_P1_1462290.PDF</w:t>
      </w:r>
    </w:p>
    <w:p w14:paraId="1CDF453C" w14:textId="77777777" w:rsidR="00902252" w:rsidRPr="00AC68FC" w:rsidRDefault="00902252">
      <w:pPr>
        <w:pStyle w:val="FootnoteText"/>
        <w:rPr>
          <w:lang w:val="mk-MK"/>
        </w:rPr>
      </w:pPr>
    </w:p>
  </w:footnote>
  <w:footnote w:id="23">
    <w:p w14:paraId="502869CE" w14:textId="7CE0787A" w:rsidR="00902252" w:rsidRPr="00AC68FC" w:rsidRDefault="00902252" w:rsidP="00271DD6">
      <w:pPr>
        <w:spacing w:line="276" w:lineRule="auto"/>
        <w:jc w:val="both"/>
        <w:rPr>
          <w:rFonts w:eastAsia="Times New Roman" w:cstheme="minorHAnsi"/>
          <w:color w:val="202124"/>
          <w:sz w:val="18"/>
          <w:szCs w:val="18"/>
          <w:lang w:val="mk-MK"/>
        </w:rPr>
      </w:pPr>
      <w:r>
        <w:rPr>
          <w:rStyle w:val="FootnoteReference"/>
        </w:rPr>
        <w:footnoteRef/>
      </w:r>
      <w:r>
        <w:t xml:space="preserve"> </w:t>
      </w:r>
      <w:r w:rsidRPr="00AC68FC">
        <w:rPr>
          <w:rFonts w:eastAsia="Times New Roman" w:cstheme="minorHAnsi"/>
          <w:color w:val="202124"/>
          <w:sz w:val="18"/>
          <w:szCs w:val="18"/>
          <w:lang w:val="mk-MK"/>
        </w:rPr>
        <w:t>Најрелевантни показатели од 16-та цел на одржлив развој се: Значително намалување на корупцијата и митото во сите нивни форми; Развивање на ефективни, одговорни и транспарентни институции на сите нивоа; Обезбедување на одговорно, инклузивно, партиципативно и репрезентативно одлучување на сите нивоа; Обезбедување јавен пристап до информации и заштита на основните слободи во согласност со националното законодавство и меѓународните договори; Промовирање и спроведување на недискриминаторски закони и политики за одржлив развој.</w:t>
      </w:r>
    </w:p>
    <w:p w14:paraId="41E25EE1" w14:textId="396FD535" w:rsidR="00902252" w:rsidRPr="00AC68FC" w:rsidRDefault="00902252">
      <w:pPr>
        <w:pStyle w:val="FootnoteText"/>
        <w:rPr>
          <w:lang w:val="mk-MK"/>
        </w:rPr>
      </w:pPr>
    </w:p>
  </w:footnote>
  <w:footnote w:id="24">
    <w:p w14:paraId="35C94EBD" w14:textId="4A7AD343" w:rsidR="00902252" w:rsidRPr="00A40639" w:rsidRDefault="00902252">
      <w:pPr>
        <w:pStyle w:val="FootnoteText"/>
        <w:rPr>
          <w:rFonts w:cstheme="minorHAnsi"/>
          <w:lang w:val="mk-MK"/>
        </w:rPr>
      </w:pPr>
      <w:r w:rsidRPr="00A40639">
        <w:rPr>
          <w:rStyle w:val="FootnoteReference"/>
          <w:rFonts w:cstheme="minorHAnsi"/>
        </w:rPr>
        <w:footnoteRef/>
      </w:r>
      <w:r w:rsidRPr="00A40639">
        <w:rPr>
          <w:rFonts w:cstheme="minorHAnsi"/>
        </w:rPr>
        <w:t xml:space="preserve"> </w:t>
      </w:r>
      <w:r>
        <w:rPr>
          <w:rFonts w:cstheme="minorHAnsi"/>
          <w:lang w:val="mk-MK"/>
        </w:rPr>
        <w:t>„</w:t>
      </w:r>
      <w:r w:rsidRPr="00A40639">
        <w:rPr>
          <w:rFonts w:cstheme="minorHAnsi"/>
          <w:lang w:val="mk-MK"/>
        </w:rPr>
        <w:t>Службен весник на Република Северна Македонија</w:t>
      </w:r>
      <w:r>
        <w:rPr>
          <w:rFonts w:cstheme="minorHAnsi"/>
          <w:lang w:val="mk-MK"/>
        </w:rPr>
        <w:t>“</w:t>
      </w:r>
      <w:r w:rsidRPr="00A40639">
        <w:rPr>
          <w:rFonts w:cstheme="minorHAnsi"/>
          <w:lang w:val="mk-MK"/>
        </w:rPr>
        <w:t xml:space="preserve"> бр</w:t>
      </w:r>
      <w:r>
        <w:rPr>
          <w:rFonts w:cstheme="minorHAnsi"/>
          <w:lang w:val="mk-MK"/>
        </w:rPr>
        <w:t>ој</w:t>
      </w:r>
      <w:r w:rsidRPr="00A40639">
        <w:rPr>
          <w:rFonts w:cstheme="minorHAnsi"/>
          <w:lang w:val="mk-MK"/>
        </w:rPr>
        <w:t xml:space="preserve">122/22 </w:t>
      </w:r>
    </w:p>
  </w:footnote>
  <w:footnote w:id="25">
    <w:p w14:paraId="5FEEB4E2" w14:textId="77777777" w:rsidR="00902252" w:rsidRPr="0098734B" w:rsidRDefault="00902252" w:rsidP="00E9655A">
      <w:pPr>
        <w:pStyle w:val="FootnoteText"/>
        <w:rPr>
          <w:lang w:val="mk-MK"/>
        </w:rPr>
      </w:pPr>
      <w:r>
        <w:rPr>
          <w:rStyle w:val="FootnoteReference"/>
        </w:rPr>
        <w:footnoteRef/>
      </w:r>
      <w:r>
        <w:t xml:space="preserve"> </w:t>
      </w:r>
      <w:r>
        <w:rPr>
          <w:lang w:val="mk-MK"/>
        </w:rPr>
        <w:t xml:space="preserve">Достапно на </w:t>
      </w:r>
      <w:hyperlink r:id="rId8" w:history="1">
        <w:r w:rsidRPr="002C3B4D">
          <w:rPr>
            <w:rStyle w:val="Hyperlink"/>
            <w:lang w:val="mk-MK"/>
          </w:rPr>
          <w:t>https://mioa.gov.mk/?q=mk/node/2103#</w:t>
        </w:r>
      </w:hyperlink>
      <w:r>
        <w:rPr>
          <w:lang w:val="mk-MK"/>
        </w:rPr>
        <w:t xml:space="preserve"> </w:t>
      </w:r>
    </w:p>
  </w:footnote>
  <w:footnote w:id="26">
    <w:p w14:paraId="639E2022" w14:textId="77777777" w:rsidR="00902252" w:rsidRPr="008D1D57" w:rsidRDefault="00902252" w:rsidP="00E9655A">
      <w:pPr>
        <w:pStyle w:val="FootnoteText"/>
        <w:rPr>
          <w:lang w:val="mk-MK"/>
        </w:rPr>
      </w:pPr>
      <w:r>
        <w:rPr>
          <w:rStyle w:val="FootnoteReference"/>
        </w:rPr>
        <w:footnoteRef/>
      </w:r>
      <w:r>
        <w:t xml:space="preserve"> </w:t>
      </w:r>
      <w:r>
        <w:rPr>
          <w:lang w:val="mk-MK"/>
        </w:rPr>
        <w:t xml:space="preserve">Повик за учество во тематски работни групи за подготовка на новата Стратегија за реформа на јавната администрација (2023-2030), достапен на </w:t>
      </w:r>
      <w:hyperlink r:id="rId9" w:history="1">
        <w:r w:rsidRPr="002C3B4D">
          <w:rPr>
            <w:rStyle w:val="Hyperlink"/>
            <w:lang w:val="mk-MK"/>
          </w:rPr>
          <w:t>https://mioa.gov.mk/sites/default/files/pbl_files/documents/rja/povik.pdf</w:t>
        </w:r>
      </w:hyperlink>
      <w:r>
        <w:rPr>
          <w:lang w:val="mk-MK"/>
        </w:rPr>
        <w:t xml:space="preserve"> </w:t>
      </w:r>
    </w:p>
  </w:footnote>
  <w:footnote w:id="27">
    <w:p w14:paraId="53EE9E27" w14:textId="77777777" w:rsidR="00902252" w:rsidRPr="00E3517E" w:rsidRDefault="00902252" w:rsidP="00CE0737">
      <w:pPr>
        <w:pStyle w:val="FootnoteText"/>
        <w:rPr>
          <w:lang w:val="mk-MK"/>
        </w:rPr>
      </w:pPr>
      <w:r>
        <w:rPr>
          <w:rStyle w:val="FootnoteReference"/>
        </w:rPr>
        <w:footnoteRef/>
      </w:r>
      <w:r>
        <w:rPr>
          <w:rFonts w:cs="Calibri"/>
          <w:lang w:val="mk-MK"/>
        </w:rPr>
        <w:t xml:space="preserve"> </w:t>
      </w:r>
      <w:r w:rsidRPr="00E3517E">
        <w:rPr>
          <w:rFonts w:cs="Calibri"/>
          <w:sz w:val="18"/>
          <w:szCs w:val="18"/>
          <w:lang w:val="mk-MK"/>
        </w:rPr>
        <w:t>Ц</w:t>
      </w:r>
      <w:r>
        <w:rPr>
          <w:rFonts w:cs="Calibri"/>
          <w:sz w:val="18"/>
          <w:szCs w:val="18"/>
          <w:lang w:val="mk-MK"/>
        </w:rPr>
        <w:t xml:space="preserve">ентарот за управување со промени, </w:t>
      </w:r>
      <w:r w:rsidRPr="00E3517E">
        <w:rPr>
          <w:rFonts w:cs="Calibri"/>
          <w:sz w:val="18"/>
          <w:szCs w:val="18"/>
          <w:lang w:val="mk-MK"/>
        </w:rPr>
        <w:t>Фондација Отворено општество-Македонија,</w:t>
      </w:r>
      <w:r>
        <w:rPr>
          <w:rFonts w:cs="Calibri"/>
          <w:sz w:val="18"/>
          <w:szCs w:val="18"/>
          <w:lang w:val="mk-MK"/>
        </w:rPr>
        <w:t xml:space="preserve"> Институт за европска политика</w:t>
      </w:r>
      <w:r w:rsidRPr="00E3517E">
        <w:rPr>
          <w:rFonts w:cs="Calibri"/>
          <w:sz w:val="18"/>
          <w:szCs w:val="18"/>
          <w:lang w:val="mk-MK"/>
        </w:rPr>
        <w:t>, Рурална Коалиција, Центар за управување со знаење, Здружение ЗЕОООП, ЕРЦ соработка-Битола и Здружение на јавни службеници на РСМ</w:t>
      </w:r>
    </w:p>
  </w:footnote>
  <w:footnote w:id="28">
    <w:p w14:paraId="2EE987FA" w14:textId="77777777" w:rsidR="00902252" w:rsidRPr="0027372A" w:rsidRDefault="00902252" w:rsidP="00224FFD">
      <w:pPr>
        <w:pStyle w:val="FootnoteText"/>
        <w:rPr>
          <w:sz w:val="18"/>
          <w:szCs w:val="18"/>
        </w:rPr>
      </w:pPr>
      <w:r w:rsidRPr="0027372A">
        <w:rPr>
          <w:rStyle w:val="FootnoteReference"/>
          <w:sz w:val="18"/>
          <w:szCs w:val="18"/>
        </w:rPr>
        <w:footnoteRef/>
      </w:r>
      <w:r w:rsidRPr="0027372A">
        <w:rPr>
          <w:sz w:val="18"/>
          <w:szCs w:val="18"/>
        </w:rPr>
        <w:t xml:space="preserve"> </w:t>
      </w:r>
      <w:r w:rsidRPr="0027372A">
        <w:rPr>
          <w:sz w:val="18"/>
          <w:szCs w:val="18"/>
          <w:lang w:val="mk-MK"/>
        </w:rPr>
        <w:t xml:space="preserve">Извештај на СИГМА, 2021 </w:t>
      </w:r>
      <w:r w:rsidRPr="0027372A">
        <w:rPr>
          <w:sz w:val="18"/>
          <w:szCs w:val="18"/>
        </w:rPr>
        <w:t>https://www.sigmaweb.org/publications/Monitoring-Report-2021-Republic-of-North-Macedonia.pdf</w:t>
      </w:r>
    </w:p>
    <w:p w14:paraId="5012404F" w14:textId="77777777" w:rsidR="00902252" w:rsidRPr="0027372A" w:rsidRDefault="00902252" w:rsidP="00224FFD">
      <w:pPr>
        <w:pStyle w:val="FootnoteText"/>
        <w:rPr>
          <w:sz w:val="18"/>
          <w:szCs w:val="18"/>
          <w:lang w:val="mk-MK"/>
        </w:rPr>
      </w:pPr>
    </w:p>
  </w:footnote>
  <w:footnote w:id="29">
    <w:p w14:paraId="3F1CD58A" w14:textId="65092BBB" w:rsidR="00902252" w:rsidRPr="0027372A" w:rsidRDefault="00902252" w:rsidP="00F5796C">
      <w:pPr>
        <w:pStyle w:val="FootnoteText"/>
        <w:jc w:val="both"/>
        <w:rPr>
          <w:sz w:val="18"/>
          <w:szCs w:val="18"/>
          <w:lang w:val="mk-MK"/>
        </w:rPr>
      </w:pPr>
      <w:r w:rsidRPr="0027372A">
        <w:rPr>
          <w:rStyle w:val="FootnoteReference"/>
          <w:sz w:val="18"/>
          <w:szCs w:val="18"/>
        </w:rPr>
        <w:footnoteRef/>
      </w:r>
      <w:r w:rsidRPr="0027372A">
        <w:rPr>
          <w:sz w:val="18"/>
          <w:szCs w:val="18"/>
        </w:rPr>
        <w:t xml:space="preserve"> Методологија за стратешко планирање и подготвување на Годишната програма за работа на </w:t>
      </w:r>
      <w:bookmarkStart w:id="1" w:name="_Hlk122424398"/>
      <w:r>
        <w:rPr>
          <w:sz w:val="18"/>
          <w:szCs w:val="18"/>
          <w:lang w:val="mk-MK"/>
        </w:rPr>
        <w:t>ВРСМ</w:t>
      </w:r>
      <w:r w:rsidRPr="0027372A">
        <w:rPr>
          <w:sz w:val="18"/>
          <w:szCs w:val="18"/>
          <w:lang w:val="mk-MK"/>
        </w:rPr>
        <w:t>,</w:t>
      </w:r>
      <w:r w:rsidRPr="0027372A">
        <w:rPr>
          <w:sz w:val="18"/>
          <w:szCs w:val="18"/>
        </w:rPr>
        <w:t xml:space="preserve"> Упатство за начинот на постапување на министерствата и другите органи на државната управа во процесот во процесот на подготвување на стратешкиот план и годишниот план за работа</w:t>
      </w:r>
      <w:r w:rsidRPr="0027372A">
        <w:rPr>
          <w:sz w:val="18"/>
          <w:szCs w:val="18"/>
          <w:lang w:val="mk-MK"/>
        </w:rPr>
        <w:t>,</w:t>
      </w:r>
      <w:r w:rsidRPr="0027372A">
        <w:rPr>
          <w:sz w:val="18"/>
          <w:szCs w:val="18"/>
        </w:rPr>
        <w:t xml:space="preserve"> Упатство за начинот на постапување на министерствата и другите органи на државната управа во процесот на следење, оценување и известување за спроведувањето на стратешкиот план и годишниот план за работа</w:t>
      </w:r>
      <w:bookmarkEnd w:id="1"/>
      <w:r w:rsidRPr="0027372A">
        <w:rPr>
          <w:sz w:val="18"/>
          <w:szCs w:val="18"/>
          <w:lang w:val="mk-MK"/>
        </w:rPr>
        <w:t>, Упатството за начинот на постапување на министерствата и другите органи на државната управа при</w:t>
      </w:r>
      <w:r w:rsidRPr="00BA16F1">
        <w:rPr>
          <w:lang w:val="mk-MK"/>
        </w:rPr>
        <w:t xml:space="preserve"> </w:t>
      </w:r>
      <w:r w:rsidRPr="0027372A">
        <w:rPr>
          <w:sz w:val="18"/>
          <w:szCs w:val="18"/>
          <w:lang w:val="mk-MK"/>
        </w:rPr>
        <w:t>подготвувањето и следењето на спроведувањето на</w:t>
      </w:r>
      <w:r w:rsidRPr="00BA16F1">
        <w:rPr>
          <w:lang w:val="mk-MK"/>
        </w:rPr>
        <w:t xml:space="preserve"> </w:t>
      </w:r>
      <w:r w:rsidRPr="0027372A">
        <w:rPr>
          <w:sz w:val="18"/>
          <w:szCs w:val="18"/>
          <w:lang w:val="mk-MK"/>
        </w:rPr>
        <w:t xml:space="preserve">годишната програма за работа на Владата на Република Северна Македонија; Методологија за начинот на </w:t>
      </w:r>
      <w:bookmarkStart w:id="2" w:name="_Hlk122432426"/>
      <w:r w:rsidRPr="0027372A">
        <w:rPr>
          <w:sz w:val="18"/>
          <w:szCs w:val="18"/>
          <w:lang w:val="mk-MK"/>
        </w:rPr>
        <w:t>подготвување, спроведување, следење, известување и оценување  на секторските стратегии</w:t>
      </w:r>
      <w:bookmarkEnd w:id="2"/>
      <w:r w:rsidRPr="0027372A">
        <w:rPr>
          <w:sz w:val="18"/>
          <w:szCs w:val="18"/>
          <w:lang w:val="mk-MK"/>
        </w:rPr>
        <w:t>, Упатство за структурата, содржината и начинот на подготвување, спроведување, следење, известување и оценување на секторските и мултисекторските стратегии; Методологија за анализа на политиките и координација; Методологија за проценка на влијанието на регулативата, Одлука за формата и содржината на Извештајот за проценка на влијанието на регулативата, Упатство за начинот на постапување во работата на министерствата во процесот на спроведување на проценка на влијанието на регулативата; Одлука за обрасците на придружното писмо и меморандумот, содржината и формата на кореспондентната табела и на изјавата за усогласеноста на прописот со законодавството на Европската унија</w:t>
      </w:r>
    </w:p>
  </w:footnote>
  <w:footnote w:id="30">
    <w:p w14:paraId="5038F2B6" w14:textId="77777777" w:rsidR="00902252" w:rsidRPr="0027372A" w:rsidRDefault="00902252" w:rsidP="00F5796C">
      <w:pPr>
        <w:pStyle w:val="FootnoteText"/>
        <w:jc w:val="both"/>
        <w:rPr>
          <w:sz w:val="18"/>
          <w:szCs w:val="18"/>
          <w:lang w:val="mk-MK"/>
        </w:rPr>
      </w:pPr>
      <w:r w:rsidRPr="0027372A">
        <w:rPr>
          <w:rStyle w:val="FootnoteReference"/>
          <w:sz w:val="18"/>
          <w:szCs w:val="18"/>
        </w:rPr>
        <w:footnoteRef/>
      </w:r>
      <w:r w:rsidRPr="0027372A">
        <w:rPr>
          <w:sz w:val="18"/>
          <w:szCs w:val="18"/>
        </w:rPr>
        <w:t xml:space="preserve"> Упатство за начинот на постапување на министерствата и другите органи на државната управа во процесот во процесот на подготвување на стратешкиот план и годишниот план за работа</w:t>
      </w:r>
      <w:r w:rsidRPr="0027372A">
        <w:rPr>
          <w:sz w:val="18"/>
          <w:szCs w:val="18"/>
          <w:lang w:val="mk-MK"/>
        </w:rPr>
        <w:t xml:space="preserve"> и</w:t>
      </w:r>
      <w:r w:rsidRPr="0027372A">
        <w:rPr>
          <w:sz w:val="18"/>
          <w:szCs w:val="18"/>
        </w:rPr>
        <w:t xml:space="preserve"> Упатство за начинот на постапување на министерствата и другите органи на државната управа во процесот на следење, оценување и известување за спроведувањето на стратешкиот план и годишниот план за работа</w:t>
      </w:r>
    </w:p>
  </w:footnote>
  <w:footnote w:id="31">
    <w:p w14:paraId="60B48E3C" w14:textId="77777777" w:rsidR="00902252" w:rsidRPr="001E0C2E" w:rsidRDefault="00902252" w:rsidP="00224FFD">
      <w:pPr>
        <w:pStyle w:val="FootnoteText"/>
        <w:jc w:val="both"/>
        <w:rPr>
          <w:lang w:val="mk-MK"/>
        </w:rPr>
      </w:pPr>
      <w:r>
        <w:rPr>
          <w:rStyle w:val="FootnoteReference"/>
        </w:rPr>
        <w:footnoteRef/>
      </w:r>
      <w:r>
        <w:t xml:space="preserve"> </w:t>
      </w:r>
      <w:r w:rsidRPr="007C0410">
        <w:t>Информација за извршената анализа на внатрешните процеси, функциите и човечките ресурси за стратешко планирање во министерствата и другите органи на државната управа, усвоена од Владата на 20.11.2018 година</w:t>
      </w:r>
      <w:r>
        <w:t xml:space="preserve"> </w:t>
      </w:r>
      <w:hyperlink r:id="rId10" w:history="1">
        <w:r w:rsidRPr="00906269">
          <w:rPr>
            <w:rStyle w:val="Hyperlink"/>
          </w:rPr>
          <w:t>https://mioa.gov.mk/sites/default/files/pbl_files/documents/rja/2_inrform.pdf</w:t>
        </w:r>
      </w:hyperlink>
      <w:r>
        <w:t xml:space="preserve"> </w:t>
      </w:r>
    </w:p>
  </w:footnote>
  <w:footnote w:id="32">
    <w:p w14:paraId="09C17907" w14:textId="77777777" w:rsidR="00902252" w:rsidRPr="00120574" w:rsidRDefault="00902252" w:rsidP="00224FFD">
      <w:pPr>
        <w:pStyle w:val="FootnoteText"/>
        <w:rPr>
          <w:lang w:val="mk-MK"/>
        </w:rPr>
      </w:pPr>
      <w:r>
        <w:rPr>
          <w:rStyle w:val="FootnoteReference"/>
        </w:rPr>
        <w:footnoteRef/>
      </w:r>
      <w:r>
        <w:t xml:space="preserve"> </w:t>
      </w:r>
      <w:r>
        <w:rPr>
          <w:lang w:val="mk-MK"/>
        </w:rPr>
        <w:t>Секретаријат за европски прашања и Секретаријат за законодавство</w:t>
      </w:r>
    </w:p>
  </w:footnote>
  <w:footnote w:id="33">
    <w:p w14:paraId="5E4CC43A" w14:textId="77777777" w:rsidR="00902252" w:rsidRPr="001E0C2E" w:rsidRDefault="00902252" w:rsidP="00224FFD">
      <w:pPr>
        <w:pStyle w:val="FootnoteText"/>
        <w:jc w:val="both"/>
        <w:rPr>
          <w:lang w:val="mk-MK"/>
        </w:rPr>
      </w:pPr>
      <w:r>
        <w:rPr>
          <w:rStyle w:val="FootnoteReference"/>
        </w:rPr>
        <w:footnoteRef/>
      </w:r>
      <w:r>
        <w:t xml:space="preserve"> </w:t>
      </w:r>
      <w:r>
        <w:rPr>
          <w:lang w:val="mk-MK"/>
        </w:rPr>
        <w:t>Генералниот секретаријат врши анализа на нацрт-стратешките планови на министерствата и другите органи на државна управа од аспект на формата, содржината и нивната усогласеност со стратешките приоритети на Владата. Во 2021 година, извршена е анализа на нацрт-стратешките планови на 13 министерства (не доставиле Министерство за одбрана, Министерство за земјоделство, шумарство и водостопанство и Министерство за политички систем и односи меѓу заедниците) и 16 други органи на државната управа (не доставиле Агенција за иселеништво, Агенција за управување со одземен имот, Агенција за стокови резерви, Државен архив на Република Северна Македонија, Државен завод за статистика, Центар за управување со кризи и Агенција за катастар на недвижности)</w:t>
      </w:r>
    </w:p>
  </w:footnote>
  <w:footnote w:id="34">
    <w:p w14:paraId="4210D83C" w14:textId="22A23776" w:rsidR="00902252" w:rsidRPr="004A285D" w:rsidRDefault="00902252" w:rsidP="00224FFD">
      <w:pPr>
        <w:pStyle w:val="FootnoteText"/>
        <w:jc w:val="both"/>
        <w:rPr>
          <w:lang w:val="mk-MK"/>
        </w:rPr>
      </w:pPr>
      <w:r>
        <w:rPr>
          <w:rStyle w:val="FootnoteReference"/>
        </w:rPr>
        <w:footnoteRef/>
      </w:r>
      <w:r>
        <w:t xml:space="preserve"> </w:t>
      </w:r>
      <w:r w:rsidRPr="004A285D">
        <w:t>Во 202</w:t>
      </w:r>
      <w:r>
        <w:rPr>
          <w:lang w:val="mk-MK"/>
        </w:rPr>
        <w:t xml:space="preserve">2 </w:t>
      </w:r>
      <w:r w:rsidRPr="004A285D">
        <w:t>година, извршена е анализа на нацрт-стратешките планови на 1</w:t>
      </w:r>
      <w:r>
        <w:rPr>
          <w:lang w:val="mk-MK"/>
        </w:rPr>
        <w:t>4</w:t>
      </w:r>
      <w:r w:rsidRPr="004A285D">
        <w:t xml:space="preserve"> министерства (не доставиле Министерство за земјоделство, шумарство и водостопанство и Министерство за политички систем и односи меѓу заедниците) и 16 други органи на државната управа (не доставиле Агенција за иселеништво, Агенција за управување со одземен имот, Агенција за стокови резерви, </w:t>
      </w:r>
      <w:r>
        <w:rPr>
          <w:lang w:val="mk-MK"/>
        </w:rPr>
        <w:t xml:space="preserve">Биро за развој на образованието, </w:t>
      </w:r>
      <w:r w:rsidRPr="004A285D">
        <w:t xml:space="preserve">Државен архив на </w:t>
      </w:r>
      <w:r>
        <w:rPr>
          <w:lang w:val="mk-MK"/>
        </w:rPr>
        <w:t>РСМ</w:t>
      </w:r>
      <w:r w:rsidRPr="004A285D">
        <w:t>, Државен завод за статистика и Агенција за катастар на недвижности)</w:t>
      </w:r>
    </w:p>
  </w:footnote>
  <w:footnote w:id="35">
    <w:p w14:paraId="603F3007" w14:textId="77777777" w:rsidR="00902252" w:rsidRPr="008E0E18" w:rsidRDefault="00902252" w:rsidP="006A45D7">
      <w:pPr>
        <w:pStyle w:val="FootnoteText"/>
        <w:rPr>
          <w:lang w:val="mk-MK"/>
        </w:rPr>
      </w:pPr>
      <w:r>
        <w:rPr>
          <w:rStyle w:val="FootnoteReference"/>
        </w:rPr>
        <w:footnoteRef/>
      </w:r>
      <w:r>
        <w:t xml:space="preserve"> </w:t>
      </w:r>
      <w:r>
        <w:rPr>
          <w:lang w:val="mk-MK"/>
        </w:rPr>
        <w:t>Нацрт-Стратегија за реформа на јавната администрација</w:t>
      </w:r>
      <w:r>
        <w:t xml:space="preserve"> 2023-2030</w:t>
      </w:r>
      <w:r>
        <w:rPr>
          <w:lang w:val="mk-MK"/>
        </w:rPr>
        <w:t>, Нацрт-Стратегија за развој на концепт Едно општество за сите 2023-2025, Нацрт-Стратегија за транспарентност 2023-2026, Нацрт-Стратегија за унапредување на правата на лицата со попреченост 2023-2030 и Нацрт-Национална Стратегија за млади 2023-2027.</w:t>
      </w:r>
    </w:p>
  </w:footnote>
  <w:footnote w:id="36">
    <w:p w14:paraId="7322601F" w14:textId="77777777" w:rsidR="00902252" w:rsidRDefault="00902252" w:rsidP="006A45D7">
      <w:pPr>
        <w:spacing w:after="0"/>
        <w:rPr>
          <w:sz w:val="18"/>
          <w:szCs w:val="18"/>
        </w:rPr>
      </w:pPr>
      <w:r>
        <w:rPr>
          <w:rStyle w:val="FootnoteReference"/>
          <w:sz w:val="18"/>
          <w:szCs w:val="18"/>
        </w:rPr>
        <w:footnoteRef/>
      </w:r>
      <w:r>
        <w:rPr>
          <w:sz w:val="18"/>
          <w:szCs w:val="18"/>
        </w:rPr>
        <w:t xml:space="preserve"> European Commission. 2022. North Macedonia 2022 Report. SWD(2022) 337 final </w:t>
      </w:r>
      <w:hyperlink r:id="rId11" w:history="1">
        <w:r>
          <w:rPr>
            <w:rStyle w:val="Hyperlink"/>
            <w:sz w:val="18"/>
            <w:szCs w:val="18"/>
          </w:rPr>
          <w:t>https://neighbourhood-enlargement.ec.europa.eu/north-macedonia-report-2022_en</w:t>
        </w:r>
      </w:hyperlink>
      <w:r>
        <w:rPr>
          <w:sz w:val="18"/>
          <w:szCs w:val="18"/>
        </w:rPr>
        <w:t xml:space="preserve"> </w:t>
      </w:r>
    </w:p>
  </w:footnote>
  <w:footnote w:id="37">
    <w:p w14:paraId="08CE6E77" w14:textId="77777777" w:rsidR="00902252" w:rsidRDefault="00902252" w:rsidP="006A45D7">
      <w:pPr>
        <w:spacing w:after="0"/>
      </w:pPr>
      <w:r>
        <w:rPr>
          <w:rStyle w:val="FootnoteReference"/>
          <w:sz w:val="18"/>
          <w:szCs w:val="18"/>
        </w:rPr>
        <w:footnoteRef/>
      </w:r>
      <w:r>
        <w:rPr>
          <w:sz w:val="18"/>
          <w:szCs w:val="18"/>
        </w:rPr>
        <w:t xml:space="preserve"> </w:t>
      </w:r>
      <w:r>
        <w:rPr>
          <w:rStyle w:val="Strong"/>
          <w:sz w:val="18"/>
          <w:szCs w:val="18"/>
        </w:rPr>
        <w:t xml:space="preserve">Directive 2006/54/EC of the European Parliament and of the Council of 5 July 2006 on the implementation of the principle of equal opportunities and equal treatment of men and women in matters of employment and occupation (recast) </w:t>
      </w:r>
      <w:hyperlink r:id="rId12" w:history="1">
        <w:r>
          <w:rPr>
            <w:rStyle w:val="Hyperlink"/>
            <w:sz w:val="18"/>
            <w:szCs w:val="18"/>
          </w:rPr>
          <w:t>https://eur-lex.europa.eu/legal-content/EN/TXT/PDF/?uri=CELEX:32006L0054&amp;from=EN</w:t>
        </w:r>
      </w:hyperlink>
      <w:r>
        <w:t xml:space="preserve"> </w:t>
      </w:r>
    </w:p>
  </w:footnote>
  <w:footnote w:id="38">
    <w:p w14:paraId="72707F9A" w14:textId="77777777" w:rsidR="00902252" w:rsidRPr="004627B0" w:rsidRDefault="00902252" w:rsidP="006A45D7">
      <w:pPr>
        <w:pStyle w:val="FootnoteText"/>
        <w:rPr>
          <w:rFonts w:cstheme="minorHAnsi"/>
          <w:sz w:val="18"/>
          <w:szCs w:val="18"/>
          <w:lang w:val="mk-MK"/>
        </w:rPr>
      </w:pPr>
      <w:r w:rsidRPr="004627B0">
        <w:rPr>
          <w:rStyle w:val="FootnoteReference"/>
          <w:rFonts w:cstheme="minorHAnsi"/>
          <w:sz w:val="18"/>
          <w:szCs w:val="18"/>
        </w:rPr>
        <w:footnoteRef/>
      </w:r>
      <w:r w:rsidRPr="004627B0">
        <w:rPr>
          <w:rFonts w:cstheme="minorHAnsi"/>
          <w:sz w:val="18"/>
          <w:szCs w:val="18"/>
        </w:rPr>
        <w:t xml:space="preserve"> </w:t>
      </w:r>
      <w:r w:rsidRPr="004627B0">
        <w:rPr>
          <w:rFonts w:cstheme="minorHAnsi"/>
          <w:sz w:val="18"/>
          <w:szCs w:val="18"/>
          <w:lang w:val="mk-MK"/>
        </w:rPr>
        <w:t>Годишен извештај на Министерството за информатичко општество и администрација за спроведување на процесот на проценка на влијанието на регулативата – ПВР, јануари-декември 2021 година</w:t>
      </w:r>
    </w:p>
  </w:footnote>
  <w:footnote w:id="39">
    <w:p w14:paraId="6F973C70" w14:textId="77777777" w:rsidR="00902252" w:rsidRPr="00A01143" w:rsidRDefault="00902252" w:rsidP="00A51747">
      <w:pPr>
        <w:pStyle w:val="FootnoteText"/>
        <w:rPr>
          <w:lang w:val="mk-MK"/>
        </w:rPr>
      </w:pPr>
      <w:r>
        <w:rPr>
          <w:rStyle w:val="FootnoteReference"/>
        </w:rPr>
        <w:footnoteRef/>
      </w:r>
      <w:r>
        <w:t xml:space="preserve"> P</w:t>
      </w:r>
      <w:r w:rsidRPr="00B028E8">
        <w:t>roject supported by OSCE Mission to Skopje on “Piloting the gender-mainstreaming concept on legislation and regulatory impact assessment process”</w:t>
      </w:r>
    </w:p>
  </w:footnote>
  <w:footnote w:id="40">
    <w:p w14:paraId="17F6917C" w14:textId="77777777" w:rsidR="00902252" w:rsidRDefault="00902252" w:rsidP="00A51747">
      <w:pPr>
        <w:pStyle w:val="FootnoteText"/>
      </w:pPr>
      <w:r>
        <w:rPr>
          <w:rStyle w:val="FootnoteReference"/>
        </w:rPr>
        <w:footnoteRef/>
      </w:r>
      <w:r>
        <w:t xml:space="preserve"> </w:t>
      </w:r>
      <w:r w:rsidRPr="00EB0CF7">
        <w:t>Basic training on RIA in 2020, Advanced training on RIA and Training on gender mainstreaming in policy-making in 2021, Methodological and practical support of three ministries for the RIA process in 2020 and 2021</w:t>
      </w:r>
      <w:r>
        <w:t>,</w:t>
      </w:r>
      <w:r w:rsidRPr="00EB0CF7">
        <w:t xml:space="preserve"> Training to prepare an effective RIA report</w:t>
      </w:r>
      <w:r>
        <w:t xml:space="preserve"> in </w:t>
      </w:r>
      <w:r w:rsidRPr="00EB0CF7">
        <w:t>2022.</w:t>
      </w:r>
    </w:p>
  </w:footnote>
  <w:footnote w:id="41">
    <w:p w14:paraId="55D40EF4" w14:textId="77777777" w:rsidR="00902252" w:rsidRPr="004627B0" w:rsidRDefault="00902252" w:rsidP="00F5796C">
      <w:pPr>
        <w:pStyle w:val="FootnoteText"/>
        <w:jc w:val="both"/>
        <w:rPr>
          <w:rFonts w:cstheme="minorHAnsi"/>
          <w:sz w:val="18"/>
          <w:szCs w:val="18"/>
          <w:lang w:val="mk-MK"/>
        </w:rPr>
      </w:pPr>
      <w:r w:rsidRPr="004627B0">
        <w:rPr>
          <w:rStyle w:val="FootnoteReference"/>
          <w:rFonts w:cstheme="minorHAnsi"/>
          <w:sz w:val="18"/>
          <w:szCs w:val="18"/>
        </w:rPr>
        <w:footnoteRef/>
      </w:r>
      <w:r w:rsidRPr="004627B0">
        <w:rPr>
          <w:rFonts w:cstheme="minorHAnsi"/>
          <w:sz w:val="18"/>
          <w:szCs w:val="18"/>
        </w:rPr>
        <w:t xml:space="preserve"> Според Извештајот за работа на Собранието на Република Северна Македонија за периодот 1.1.202</w:t>
      </w:r>
      <w:r w:rsidRPr="004627B0">
        <w:rPr>
          <w:rFonts w:cstheme="minorHAnsi"/>
          <w:sz w:val="18"/>
          <w:szCs w:val="18"/>
          <w:lang w:val="mk-MK"/>
        </w:rPr>
        <w:t>0</w:t>
      </w:r>
      <w:r w:rsidRPr="004627B0">
        <w:rPr>
          <w:rFonts w:cstheme="minorHAnsi"/>
          <w:sz w:val="18"/>
          <w:szCs w:val="18"/>
        </w:rPr>
        <w:t>-31.12.202</w:t>
      </w:r>
      <w:r w:rsidRPr="004627B0">
        <w:rPr>
          <w:rFonts w:cstheme="minorHAnsi"/>
          <w:sz w:val="18"/>
          <w:szCs w:val="18"/>
          <w:lang w:val="mk-MK"/>
        </w:rPr>
        <w:t>0</w:t>
      </w:r>
      <w:r w:rsidRPr="004627B0">
        <w:rPr>
          <w:rFonts w:cstheme="minorHAnsi"/>
          <w:sz w:val="18"/>
          <w:szCs w:val="18"/>
        </w:rPr>
        <w:t xml:space="preserve"> година (</w:t>
      </w:r>
      <w:hyperlink r:id="rId13" w:history="1">
        <w:r w:rsidRPr="004627B0">
          <w:rPr>
            <w:rStyle w:val="Hyperlink"/>
            <w:rFonts w:cstheme="minorHAnsi"/>
            <w:sz w:val="18"/>
            <w:szCs w:val="18"/>
          </w:rPr>
          <w:t>https://www.sobranie.mk/content/izvestai/IZVESTAJ%202020%20SAJT.pdf</w:t>
        </w:r>
      </w:hyperlink>
      <w:r w:rsidRPr="004627B0">
        <w:rPr>
          <w:rFonts w:cstheme="minorHAnsi"/>
          <w:sz w:val="18"/>
          <w:szCs w:val="18"/>
        </w:rPr>
        <w:t>), Собранието во 202</w:t>
      </w:r>
      <w:r w:rsidRPr="004627B0">
        <w:rPr>
          <w:rFonts w:cstheme="minorHAnsi"/>
          <w:sz w:val="18"/>
          <w:szCs w:val="18"/>
          <w:lang w:val="mk-MK"/>
        </w:rPr>
        <w:t>0</w:t>
      </w:r>
      <w:r w:rsidRPr="004627B0">
        <w:rPr>
          <w:rFonts w:cstheme="minorHAnsi"/>
          <w:sz w:val="18"/>
          <w:szCs w:val="18"/>
        </w:rPr>
        <w:t xml:space="preserve"> година донесе </w:t>
      </w:r>
      <w:r w:rsidRPr="004627B0">
        <w:rPr>
          <w:rFonts w:cstheme="minorHAnsi"/>
          <w:sz w:val="18"/>
          <w:szCs w:val="18"/>
          <w:lang w:val="mk-MK"/>
        </w:rPr>
        <w:t>67</w:t>
      </w:r>
      <w:r w:rsidRPr="004627B0">
        <w:rPr>
          <w:rFonts w:cstheme="minorHAnsi"/>
          <w:sz w:val="18"/>
          <w:szCs w:val="18"/>
        </w:rPr>
        <w:t xml:space="preserve"> закони, од кои 1</w:t>
      </w:r>
      <w:r w:rsidRPr="004627B0">
        <w:rPr>
          <w:rFonts w:cstheme="minorHAnsi"/>
          <w:sz w:val="18"/>
          <w:szCs w:val="18"/>
          <w:lang w:val="mk-MK"/>
        </w:rPr>
        <w:t>1</w:t>
      </w:r>
      <w:r w:rsidRPr="004627B0">
        <w:rPr>
          <w:rFonts w:cstheme="minorHAnsi"/>
          <w:sz w:val="18"/>
          <w:szCs w:val="18"/>
        </w:rPr>
        <w:t xml:space="preserve"> закони за ратификација на меѓународни договори, </w:t>
      </w:r>
      <w:r w:rsidRPr="004627B0">
        <w:rPr>
          <w:rFonts w:cstheme="minorHAnsi"/>
          <w:sz w:val="18"/>
          <w:szCs w:val="18"/>
          <w:lang w:val="mk-MK"/>
        </w:rPr>
        <w:t>2</w:t>
      </w:r>
      <w:r w:rsidRPr="004627B0">
        <w:rPr>
          <w:rFonts w:cstheme="minorHAnsi"/>
          <w:sz w:val="18"/>
          <w:szCs w:val="18"/>
        </w:rPr>
        <w:t xml:space="preserve">3 закони во редовна постапка и </w:t>
      </w:r>
      <w:r w:rsidRPr="004627B0">
        <w:rPr>
          <w:rFonts w:cstheme="minorHAnsi"/>
          <w:sz w:val="18"/>
          <w:szCs w:val="18"/>
          <w:lang w:val="mk-MK"/>
        </w:rPr>
        <w:t>33</w:t>
      </w:r>
      <w:r w:rsidRPr="004627B0">
        <w:rPr>
          <w:rFonts w:cstheme="minorHAnsi"/>
          <w:sz w:val="18"/>
          <w:szCs w:val="18"/>
        </w:rPr>
        <w:t xml:space="preserve"> закон во скратена постапка.</w:t>
      </w:r>
    </w:p>
  </w:footnote>
  <w:footnote w:id="42">
    <w:p w14:paraId="434E795D" w14:textId="77777777" w:rsidR="00902252" w:rsidRPr="00A475D1" w:rsidRDefault="00902252" w:rsidP="00F5796C">
      <w:pPr>
        <w:pStyle w:val="FootnoteText"/>
        <w:jc w:val="both"/>
        <w:rPr>
          <w:rFonts w:ascii="StobiSerif Regular" w:hAnsi="StobiSerif Regular"/>
          <w:sz w:val="18"/>
          <w:szCs w:val="18"/>
          <w:lang w:val="mk-MK"/>
        </w:rPr>
      </w:pPr>
      <w:r w:rsidRPr="004627B0">
        <w:rPr>
          <w:rStyle w:val="FootnoteReference"/>
          <w:rFonts w:cstheme="minorHAnsi"/>
          <w:sz w:val="18"/>
          <w:szCs w:val="18"/>
        </w:rPr>
        <w:footnoteRef/>
      </w:r>
      <w:r w:rsidRPr="004627B0">
        <w:rPr>
          <w:rFonts w:cstheme="minorHAnsi"/>
          <w:sz w:val="18"/>
          <w:szCs w:val="18"/>
        </w:rPr>
        <w:t xml:space="preserve"> </w:t>
      </w:r>
      <w:r w:rsidRPr="004627B0">
        <w:rPr>
          <w:rFonts w:cstheme="minorHAnsi"/>
          <w:sz w:val="18"/>
          <w:szCs w:val="18"/>
          <w:lang w:val="mk-MK"/>
        </w:rPr>
        <w:t xml:space="preserve">Според </w:t>
      </w:r>
      <w:r w:rsidRPr="004627B0">
        <w:rPr>
          <w:rFonts w:cstheme="minorHAnsi"/>
          <w:sz w:val="18"/>
          <w:szCs w:val="18"/>
        </w:rPr>
        <w:t>Извештај</w:t>
      </w:r>
      <w:r w:rsidRPr="004627B0">
        <w:rPr>
          <w:rFonts w:cstheme="minorHAnsi"/>
          <w:sz w:val="18"/>
          <w:szCs w:val="18"/>
          <w:lang w:val="mk-MK"/>
        </w:rPr>
        <w:t>от</w:t>
      </w:r>
      <w:r w:rsidRPr="004627B0">
        <w:rPr>
          <w:rFonts w:cstheme="minorHAnsi"/>
          <w:sz w:val="18"/>
          <w:szCs w:val="18"/>
        </w:rPr>
        <w:t xml:space="preserve"> за работа на Собранието на Република Северна Македонија за периодот 1.1.2021-31.12.2021 година </w:t>
      </w:r>
      <w:r w:rsidRPr="004627B0">
        <w:rPr>
          <w:rFonts w:cstheme="minorHAnsi"/>
          <w:sz w:val="18"/>
          <w:szCs w:val="18"/>
          <w:lang w:val="mk-MK"/>
        </w:rPr>
        <w:t>(</w:t>
      </w:r>
      <w:hyperlink r:id="rId14" w:history="1">
        <w:r w:rsidRPr="004627B0">
          <w:rPr>
            <w:rStyle w:val="Hyperlink"/>
            <w:rFonts w:cstheme="minorHAnsi"/>
            <w:sz w:val="18"/>
            <w:szCs w:val="18"/>
          </w:rPr>
          <w:t>https://www.sobranie.mk/content/izvestai/IZVESTAJ%202021.pdf</w:t>
        </w:r>
      </w:hyperlink>
      <w:r w:rsidRPr="004627B0">
        <w:rPr>
          <w:rFonts w:cstheme="minorHAnsi"/>
          <w:sz w:val="18"/>
          <w:szCs w:val="18"/>
          <w:lang w:val="mk-MK"/>
        </w:rPr>
        <w:t>), Собранието во 2021 година донесе 213 закони, од кои 19 закони за ратификација на меѓународни договори, 113 закони во редовна постапка и 81 закон во скратена постапка.</w:t>
      </w:r>
    </w:p>
  </w:footnote>
  <w:footnote w:id="43">
    <w:p w14:paraId="3492ACA4" w14:textId="77777777" w:rsidR="00902252" w:rsidRPr="008776A1" w:rsidRDefault="00902252" w:rsidP="00F5796C">
      <w:pPr>
        <w:pStyle w:val="FootnoteText"/>
        <w:rPr>
          <w:lang w:val="mk-MK"/>
        </w:rPr>
      </w:pPr>
      <w:r>
        <w:rPr>
          <w:rStyle w:val="FootnoteReference"/>
        </w:rPr>
        <w:footnoteRef/>
      </w:r>
      <w:r>
        <w:t xml:space="preserve"> </w:t>
      </w:r>
      <w:r w:rsidRPr="00195AA1">
        <w:t>Извештај на СИГМА, 2021 https://www.sigmaweb.org/publications/Monitoring-Report-2021-Republic-of-North-Macedonia.pdf</w:t>
      </w:r>
    </w:p>
  </w:footnote>
  <w:footnote w:id="44">
    <w:p w14:paraId="79F5F0D5" w14:textId="77777777" w:rsidR="00902252" w:rsidRPr="00604B7E" w:rsidRDefault="00902252" w:rsidP="00F5796C">
      <w:pPr>
        <w:pStyle w:val="FootnoteText"/>
        <w:rPr>
          <w:lang w:val="mk-MK"/>
        </w:rPr>
      </w:pPr>
      <w:r>
        <w:rPr>
          <w:rStyle w:val="FootnoteReference"/>
        </w:rPr>
        <w:footnoteRef/>
      </w:r>
      <w:r>
        <w:t xml:space="preserve"> </w:t>
      </w:r>
      <w:r w:rsidRPr="00C82032">
        <w:t>https://epi.org.mk/wp-content/uploads/National-Par-Monitor-Macedonia_mk.pdf</w:t>
      </w:r>
    </w:p>
  </w:footnote>
  <w:footnote w:id="45">
    <w:p w14:paraId="6B2512BD" w14:textId="77777777" w:rsidR="00902252" w:rsidRPr="0027372A" w:rsidRDefault="00902252" w:rsidP="00F5796C">
      <w:pPr>
        <w:pStyle w:val="FootnoteText"/>
        <w:jc w:val="both"/>
        <w:rPr>
          <w:sz w:val="18"/>
          <w:szCs w:val="18"/>
          <w:lang w:val="mk-MK"/>
        </w:rPr>
      </w:pPr>
      <w:r w:rsidRPr="0027372A">
        <w:rPr>
          <w:rStyle w:val="FootnoteReference"/>
          <w:sz w:val="18"/>
          <w:szCs w:val="18"/>
        </w:rPr>
        <w:footnoteRef/>
      </w:r>
      <w:r w:rsidRPr="0027372A">
        <w:rPr>
          <w:sz w:val="18"/>
          <w:szCs w:val="18"/>
        </w:rPr>
        <w:t xml:space="preserve"> </w:t>
      </w:r>
      <w:r w:rsidRPr="0027372A">
        <w:rPr>
          <w:sz w:val="18"/>
          <w:szCs w:val="18"/>
          <w:lang w:val="mk-MK"/>
        </w:rPr>
        <w:t xml:space="preserve">Согласно </w:t>
      </w:r>
      <w:r w:rsidRPr="0027372A">
        <w:rPr>
          <w:sz w:val="18"/>
          <w:szCs w:val="18"/>
        </w:rPr>
        <w:t>податоци</w:t>
      </w:r>
      <w:r w:rsidRPr="0027372A">
        <w:rPr>
          <w:sz w:val="18"/>
          <w:szCs w:val="18"/>
          <w:lang w:val="mk-MK"/>
        </w:rPr>
        <w:t>те</w:t>
      </w:r>
      <w:r w:rsidRPr="0027372A">
        <w:rPr>
          <w:sz w:val="18"/>
          <w:szCs w:val="18"/>
        </w:rPr>
        <w:t xml:space="preserve"> на Балканскиот барометар за истражување на мислењето на бизнис-заедницата (https://www.rcc.int/balkanbarometer).</w:t>
      </w:r>
    </w:p>
  </w:footnote>
  <w:footnote w:id="46">
    <w:p w14:paraId="084CC424" w14:textId="77777777" w:rsidR="00902252" w:rsidRPr="0027372A" w:rsidRDefault="00902252" w:rsidP="00F5796C">
      <w:pPr>
        <w:pStyle w:val="FootnoteText"/>
        <w:rPr>
          <w:sz w:val="18"/>
          <w:szCs w:val="18"/>
          <w:lang w:val="mk-MK"/>
        </w:rPr>
      </w:pPr>
      <w:r w:rsidRPr="0027372A">
        <w:rPr>
          <w:rStyle w:val="FootnoteReference"/>
          <w:sz w:val="18"/>
          <w:szCs w:val="18"/>
        </w:rPr>
        <w:footnoteRef/>
      </w:r>
      <w:r w:rsidRPr="0027372A">
        <w:rPr>
          <w:sz w:val="18"/>
          <w:szCs w:val="18"/>
        </w:rPr>
        <w:t xml:space="preserve"> </w:t>
      </w:r>
      <w:r w:rsidRPr="0027372A">
        <w:rPr>
          <w:sz w:val="18"/>
          <w:szCs w:val="18"/>
          <w:lang w:val="mk-MK"/>
        </w:rPr>
        <w:t>www.nvosorabotka.gov.mk.</w:t>
      </w:r>
    </w:p>
  </w:footnote>
  <w:footnote w:id="47">
    <w:p w14:paraId="040D46B7" w14:textId="77777777" w:rsidR="00902252" w:rsidRPr="0027372A" w:rsidRDefault="00902252" w:rsidP="00F5796C">
      <w:pPr>
        <w:pStyle w:val="FootnoteText"/>
        <w:rPr>
          <w:sz w:val="18"/>
          <w:szCs w:val="18"/>
          <w:lang w:val="mk-MK"/>
        </w:rPr>
      </w:pPr>
      <w:r w:rsidRPr="0027372A">
        <w:rPr>
          <w:rStyle w:val="FootnoteReference"/>
          <w:sz w:val="18"/>
          <w:szCs w:val="18"/>
        </w:rPr>
        <w:footnoteRef/>
      </w:r>
      <w:r w:rsidRPr="0027372A">
        <w:rPr>
          <w:sz w:val="18"/>
          <w:szCs w:val="18"/>
        </w:rPr>
        <w:t xml:space="preserve"> https://www.nvosorabotka.gov.mk/?q=node/99</w:t>
      </w:r>
    </w:p>
  </w:footnote>
  <w:footnote w:id="48">
    <w:p w14:paraId="2CFC021B" w14:textId="77777777" w:rsidR="00902252" w:rsidRPr="0027372A" w:rsidRDefault="00902252" w:rsidP="00F5796C">
      <w:pPr>
        <w:pStyle w:val="NormalWeb"/>
        <w:jc w:val="both"/>
        <w:rPr>
          <w:rFonts w:asciiTheme="minorHAnsi" w:hAnsiTheme="minorHAnsi" w:cstheme="minorHAnsi"/>
          <w:sz w:val="18"/>
          <w:szCs w:val="18"/>
          <w:lang w:val="mk-MK"/>
        </w:rPr>
      </w:pPr>
      <w:r w:rsidRPr="0027372A">
        <w:rPr>
          <w:rStyle w:val="FootnoteReference"/>
          <w:sz w:val="18"/>
          <w:szCs w:val="18"/>
        </w:rPr>
        <w:footnoteRef/>
      </w:r>
      <w:r w:rsidRPr="0027372A">
        <w:rPr>
          <w:sz w:val="18"/>
          <w:szCs w:val="18"/>
        </w:rPr>
        <w:t xml:space="preserve"> </w:t>
      </w:r>
      <w:r w:rsidRPr="0027372A">
        <w:rPr>
          <w:rFonts w:asciiTheme="minorHAnsi" w:hAnsiTheme="minorHAnsi" w:cstheme="minorHAnsi"/>
          <w:sz w:val="18"/>
          <w:szCs w:val="18"/>
          <w:lang w:val="mk-MK"/>
        </w:rPr>
        <w:t>„Национален монитор за реформи во јавната администрација Северна Македонија 2019/2020“, Институт за Европска политика, Скопје, 2021, стр.11</w:t>
      </w:r>
    </w:p>
    <w:p w14:paraId="5AE97F21" w14:textId="77777777" w:rsidR="00902252" w:rsidRPr="003738FB" w:rsidRDefault="00902252" w:rsidP="00F5796C">
      <w:pPr>
        <w:pStyle w:val="FootnoteText"/>
        <w:rPr>
          <w:lang w:val="mk-MK"/>
        </w:rPr>
      </w:pPr>
    </w:p>
  </w:footnote>
  <w:footnote w:id="49">
    <w:p w14:paraId="1D3F6373" w14:textId="77777777" w:rsidR="00902252" w:rsidRDefault="00902252" w:rsidP="0087358D">
      <w:pPr>
        <w:spacing w:after="0"/>
        <w:rPr>
          <w:rFonts w:cstheme="minorHAnsi"/>
          <w:sz w:val="18"/>
          <w:szCs w:val="18"/>
        </w:rPr>
      </w:pPr>
      <w:r>
        <w:rPr>
          <w:rStyle w:val="FootnoteReference"/>
          <w:rFonts w:cstheme="minorHAnsi"/>
          <w:sz w:val="18"/>
          <w:szCs w:val="18"/>
        </w:rPr>
        <w:footnoteRef/>
      </w:r>
      <w:r>
        <w:rPr>
          <w:rFonts w:cstheme="minorHAnsi"/>
          <w:sz w:val="18"/>
          <w:szCs w:val="18"/>
        </w:rPr>
        <w:t xml:space="preserve"> European Commission. 2022. North Macedonia 2022 Report. SWD(2022) 337 final </w:t>
      </w:r>
      <w:hyperlink r:id="rId15" w:history="1">
        <w:r>
          <w:rPr>
            <w:rStyle w:val="Hyperlink"/>
            <w:rFonts w:cstheme="minorHAnsi"/>
            <w:sz w:val="18"/>
            <w:szCs w:val="18"/>
          </w:rPr>
          <w:t>https://neighbourhood-enlargement.ec.europa.eu/north-macedonia-report-2022_en</w:t>
        </w:r>
      </w:hyperlink>
    </w:p>
  </w:footnote>
  <w:footnote w:id="50">
    <w:p w14:paraId="343CAFF8" w14:textId="77777777" w:rsidR="00902252" w:rsidRDefault="00902252" w:rsidP="0087358D">
      <w:pPr>
        <w:spacing w:after="0"/>
        <w:rPr>
          <w:rFonts w:cstheme="minorHAnsi"/>
          <w:sz w:val="18"/>
          <w:szCs w:val="18"/>
          <w:lang w:val="en-US"/>
        </w:rPr>
      </w:pPr>
      <w:r>
        <w:rPr>
          <w:rStyle w:val="FootnoteReference"/>
          <w:rFonts w:cstheme="minorHAnsi"/>
          <w:sz w:val="18"/>
          <w:szCs w:val="18"/>
        </w:rPr>
        <w:footnoteRef/>
      </w:r>
      <w:r>
        <w:rPr>
          <w:rFonts w:cstheme="minorHAnsi"/>
          <w:sz w:val="18"/>
          <w:szCs w:val="18"/>
        </w:rPr>
        <w:t xml:space="preserve"> OECD. 2021. SIGMA Monitoring Report: Republic of North Macedonia. </w:t>
      </w:r>
      <w:hyperlink r:id="rId16" w:history="1">
        <w:r>
          <w:rPr>
            <w:rStyle w:val="Hyperlink"/>
            <w:rFonts w:cstheme="minorHAnsi"/>
            <w:sz w:val="18"/>
            <w:szCs w:val="18"/>
          </w:rPr>
          <w:t>https://www.sigmaweb.org/publications/Monitoring-Report-2021-Republic-of-North-Macedonia.pdf .p</w:t>
        </w:r>
      </w:hyperlink>
      <w:r>
        <w:rPr>
          <w:rFonts w:cstheme="minorHAnsi"/>
          <w:sz w:val="18"/>
          <w:szCs w:val="18"/>
        </w:rPr>
        <w:t>. 77</w:t>
      </w:r>
    </w:p>
  </w:footnote>
  <w:footnote w:id="51">
    <w:p w14:paraId="4ABEED1B" w14:textId="77777777" w:rsidR="00902252" w:rsidRPr="0027372A" w:rsidRDefault="00902252" w:rsidP="00F5796C">
      <w:pPr>
        <w:jc w:val="both"/>
        <w:rPr>
          <w:rFonts w:cstheme="minorHAnsi"/>
          <w:sz w:val="18"/>
          <w:szCs w:val="18"/>
          <w:lang w:val="mk-MK"/>
        </w:rPr>
      </w:pPr>
      <w:r w:rsidRPr="0027372A">
        <w:rPr>
          <w:rStyle w:val="FootnoteReference"/>
          <w:sz w:val="18"/>
          <w:szCs w:val="18"/>
        </w:rPr>
        <w:footnoteRef/>
      </w:r>
      <w:r w:rsidRPr="0027372A">
        <w:rPr>
          <w:sz w:val="18"/>
          <w:szCs w:val="18"/>
        </w:rPr>
        <w:t xml:space="preserve"> </w:t>
      </w:r>
      <w:r w:rsidRPr="0027372A">
        <w:rPr>
          <w:rFonts w:cstheme="minorHAnsi"/>
          <w:sz w:val="18"/>
          <w:szCs w:val="18"/>
          <w:lang w:val="mk-MK"/>
        </w:rPr>
        <w:t>Средствата за одржување на ЛМС одобрени за период 2021-2023 изнесуваат 1.200.000,00 денари без ДДВ (овие средства се во К6 - Програмата за реализација на Стратегијата за реформа на јавната администрација). Меѓутоа, во периодот од септември 2021 (од кога е почната реализацијата на договорот за одржување на ЛМС со надворешна ИТ фирма) се покажа дека овие средства не се доволни за негово целосно унапредување. Имено, апгрејдиран е системот (да обезбеди непречен пристап на голем број корисници истовремено), но е-обуките за темите од Годишната програма за генерички обуки, т.н. SCORM пакети, не се апгрејдирани за да соодветствуваат на новиот систем, поради цената за нивно унапредување, односно средствата издвоени за одржување на ЛМС не можат да опфатат унапредување на SCORM пакетите.</w:t>
      </w:r>
    </w:p>
  </w:footnote>
  <w:footnote w:id="52">
    <w:p w14:paraId="3A0BA0FF" w14:textId="77777777" w:rsidR="00902252" w:rsidRPr="0027372A" w:rsidRDefault="00902252" w:rsidP="00F5796C">
      <w:pPr>
        <w:pStyle w:val="FootnoteText"/>
        <w:rPr>
          <w:sz w:val="18"/>
          <w:szCs w:val="18"/>
        </w:rPr>
      </w:pPr>
      <w:r w:rsidRPr="0027372A">
        <w:rPr>
          <w:rStyle w:val="FootnoteReference"/>
          <w:sz w:val="18"/>
          <w:szCs w:val="18"/>
        </w:rPr>
        <w:footnoteRef/>
      </w:r>
      <w:r w:rsidRPr="0027372A">
        <w:rPr>
          <w:sz w:val="18"/>
          <w:szCs w:val="18"/>
        </w:rPr>
        <w:t xml:space="preserve"> („Службен весник на Република Македонија“бр. 58/00, 44/02, 82/08, 167/10, 51/11 и „Службен весник на Република Северна Македонија“бр. 96/19 и 110/19)</w:t>
      </w:r>
    </w:p>
  </w:footnote>
  <w:footnote w:id="53">
    <w:p w14:paraId="6B2C27A2" w14:textId="77777777" w:rsidR="00902252" w:rsidRPr="0027372A" w:rsidRDefault="00902252" w:rsidP="00F5796C">
      <w:pPr>
        <w:pStyle w:val="FootnoteText"/>
        <w:rPr>
          <w:sz w:val="18"/>
          <w:szCs w:val="18"/>
        </w:rPr>
      </w:pPr>
      <w:r w:rsidRPr="0027372A">
        <w:rPr>
          <w:rStyle w:val="FootnoteReference"/>
          <w:sz w:val="18"/>
          <w:szCs w:val="18"/>
        </w:rPr>
        <w:footnoteRef/>
      </w:r>
      <w:r w:rsidRPr="0027372A">
        <w:rPr>
          <w:sz w:val="18"/>
          <w:szCs w:val="18"/>
        </w:rPr>
        <w:t xml:space="preserve"> https://mioa.gov.mk/sites/default/files/pbl_files/documents/rja/fura_-_final_report.pdf</w:t>
      </w:r>
    </w:p>
  </w:footnote>
  <w:footnote w:id="54">
    <w:p w14:paraId="17F95941"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https://www.sigmaweb.org/publications/Baseline-Measurement-2015-fYRMacedonia.pdf</w:t>
      </w:r>
    </w:p>
  </w:footnote>
  <w:footnote w:id="55">
    <w:p w14:paraId="53E1DF90"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https://www.sigmaweb.org/publications/Baseline-Measurement-2015-fYRMacedonia.pdf</w:t>
      </w:r>
    </w:p>
  </w:footnote>
  <w:footnote w:id="56">
    <w:p w14:paraId="1B4A860F"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https://mioa.gov.mk/sites/default/files/pbl_files/documents/reports/synthesis_report_2022_en.pdf</w:t>
      </w:r>
    </w:p>
  </w:footnote>
  <w:footnote w:id="57">
    <w:p w14:paraId="1505B2C3"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https://mioa.gov.mk/sites/default/files/pbl_files/documents/rja/analiza_za_privichnata_primena_na_zoup_12_2018.pdf</w:t>
      </w:r>
    </w:p>
  </w:footnote>
  <w:footnote w:id="58">
    <w:p w14:paraId="16A796FE"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Report of the peer review on administrative procedures and administrative justice (conducted in Skopje from 11 to 14 june 2018)</w:t>
      </w:r>
    </w:p>
  </w:footnote>
  <w:footnote w:id="59">
    <w:p w14:paraId="365851EF"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(„Службен </w:t>
      </w:r>
      <w:r w:rsidRPr="00FC58FC">
        <w:rPr>
          <w:sz w:val="18"/>
          <w:szCs w:val="18"/>
          <w:lang w:val="mk-MK"/>
        </w:rPr>
        <w:t>в</w:t>
      </w:r>
      <w:r w:rsidRPr="00FC58FC">
        <w:rPr>
          <w:sz w:val="18"/>
          <w:szCs w:val="18"/>
        </w:rPr>
        <w:t>есник на Р</w:t>
      </w:r>
      <w:r w:rsidRPr="00FC58FC">
        <w:rPr>
          <w:sz w:val="18"/>
          <w:szCs w:val="18"/>
          <w:lang w:val="mk-MK"/>
        </w:rPr>
        <w:t xml:space="preserve">епублика </w:t>
      </w:r>
      <w:r w:rsidRPr="00FC58FC">
        <w:rPr>
          <w:sz w:val="18"/>
          <w:szCs w:val="18"/>
        </w:rPr>
        <w:t>С</w:t>
      </w:r>
      <w:r w:rsidRPr="00FC58FC">
        <w:rPr>
          <w:sz w:val="18"/>
          <w:szCs w:val="18"/>
          <w:lang w:val="mk-MK"/>
        </w:rPr>
        <w:t xml:space="preserve">еверна </w:t>
      </w:r>
      <w:r w:rsidRPr="00FC58FC">
        <w:rPr>
          <w:sz w:val="18"/>
          <w:szCs w:val="18"/>
        </w:rPr>
        <w:t>М</w:t>
      </w:r>
      <w:r w:rsidRPr="00FC58FC">
        <w:rPr>
          <w:sz w:val="18"/>
          <w:szCs w:val="18"/>
          <w:lang w:val="mk-MK"/>
        </w:rPr>
        <w:t>акедонија</w:t>
      </w:r>
      <w:r w:rsidRPr="00FC58FC">
        <w:rPr>
          <w:sz w:val="18"/>
          <w:szCs w:val="18"/>
        </w:rPr>
        <w:t xml:space="preserve"> бр.102/19“)</w:t>
      </w:r>
    </w:p>
  </w:footnote>
  <w:footnote w:id="60">
    <w:p w14:paraId="754C187C"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Македонија “бр.12/19)</w:t>
      </w:r>
    </w:p>
  </w:footnote>
  <w:footnote w:id="61">
    <w:p w14:paraId="03544503"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Македонија“бр. 196/15 и 35/18 и „Службен весник на Република Северна Македонија“бр. 257/20)</w:t>
      </w:r>
    </w:p>
  </w:footnote>
  <w:footnote w:id="62">
    <w:p w14:paraId="52E83039"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Северна Македонија“бр. 122/21)</w:t>
      </w:r>
    </w:p>
  </w:footnote>
  <w:footnote w:id="63">
    <w:p w14:paraId="308ED406"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Македонија “бр.183/14)</w:t>
      </w:r>
    </w:p>
  </w:footnote>
  <w:footnote w:id="64">
    <w:p w14:paraId="7268C870"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(„Службен весник на Република Северна Македонија“ бр.101/19</w:t>
      </w:r>
      <w:r w:rsidRPr="00FC58FC">
        <w:rPr>
          <w:sz w:val="18"/>
          <w:szCs w:val="18"/>
          <w:lang w:val="mk-MK"/>
        </w:rPr>
        <w:t>)</w:t>
      </w:r>
    </w:p>
  </w:footnote>
  <w:footnote w:id="65">
    <w:p w14:paraId="38DE5DDC"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Македонија“ бр.27/14)</w:t>
      </w:r>
    </w:p>
  </w:footnote>
  <w:footnote w:id="66">
    <w:p w14:paraId="45C38D6C"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(„Службен весник на Република Македонија“ 5/2002)</w:t>
      </w:r>
    </w:p>
  </w:footnote>
  <w:footnote w:id="67">
    <w:p w14:paraId="7A155387"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Мониторингот беше спроведен согласно методологијата имплементирана во соработка со надворешни експерти, ангажирани од ИПА II Проектот „Транспарентност и отчетност на јавната администрациија“, чиј корисник е А</w:t>
      </w:r>
      <w:r w:rsidRPr="00FC58FC">
        <w:rPr>
          <w:sz w:val="18"/>
          <w:szCs w:val="18"/>
          <w:lang w:val="mk-MK"/>
        </w:rPr>
        <w:t xml:space="preserve">ЗПСПИЈК </w:t>
      </w:r>
      <w:hyperlink r:id="rId17" w:history="1">
        <w:r w:rsidRPr="00FC58FC">
          <w:rPr>
            <w:rStyle w:val="Hyperlink"/>
            <w:sz w:val="18"/>
            <w:szCs w:val="18"/>
            <w:lang w:val="mk-MK"/>
          </w:rPr>
          <w:t>https://aspi.mk/wp-content/uploads/2022/04/%D0%9C%D0%B5%D1%82%D0%BE%D0%B4%D0%BE%D0%BB%D0%BE%D0%B3%D0%B8%D1%98%D0%B0-%D0%B7%D0%B0-%D1%81%D0%BF%D1%80%D0%BE%D0%B2%D0%B5%D0%B4%D1%83%D0%B2%D0%B0%D1%9A%D0%B5-%D0%BD%D0%B0-%D0%BC%D0%BE%D0%BD%D0%B8%D1%82%D0%BE%D1%80%D0%B8%D0%BD%D0%B3.pdf</w:t>
        </w:r>
      </w:hyperlink>
    </w:p>
    <w:p w14:paraId="1F326672" w14:textId="77777777" w:rsidR="00902252" w:rsidRPr="00FC58FC" w:rsidRDefault="00902252" w:rsidP="00F5796C">
      <w:pPr>
        <w:pStyle w:val="FootnoteText"/>
        <w:rPr>
          <w:sz w:val="18"/>
          <w:szCs w:val="18"/>
          <w:lang w:val="mk-MK"/>
        </w:rPr>
      </w:pPr>
    </w:p>
  </w:footnote>
  <w:footnote w:id="68">
    <w:p w14:paraId="6B90D564"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w:t>
      </w:r>
      <w:r w:rsidRPr="00FC58FC">
        <w:rPr>
          <w:sz w:val="18"/>
          <w:szCs w:val="18"/>
          <w:lang w:val="mk-MK"/>
        </w:rPr>
        <w:t xml:space="preserve">Истражувањето на ЦГК </w:t>
      </w:r>
      <w:r w:rsidRPr="00FC58FC">
        <w:rPr>
          <w:sz w:val="18"/>
          <w:szCs w:val="18"/>
        </w:rPr>
        <w:t>покажува редовното годишно рангирање на Владата, министерствата и општините според </w:t>
      </w:r>
      <w:hyperlink r:id="rId18" w:tgtFrame="_blank" w:history="1">
        <w:r w:rsidRPr="00FC58FC">
          <w:rPr>
            <w:rStyle w:val="Hyperlink"/>
            <w:sz w:val="18"/>
            <w:szCs w:val="18"/>
          </w:rPr>
          <w:t>Индексот на активна транспарентност</w:t>
        </w:r>
      </w:hyperlink>
      <w:r w:rsidRPr="00FC58FC">
        <w:rPr>
          <w:sz w:val="18"/>
          <w:szCs w:val="18"/>
        </w:rPr>
        <w:t xml:space="preserve">, односно според проактивното објавување информации од јавен карактер. Во рангирањето се вклучени 98 институции од земјава, односно Владата, сите министерства и сите општини. </w:t>
      </w:r>
      <w:hyperlink r:id="rId19" w:history="1">
        <w:r w:rsidRPr="00FC58FC">
          <w:rPr>
            <w:rStyle w:val="Hyperlink"/>
            <w:sz w:val="18"/>
            <w:szCs w:val="18"/>
          </w:rPr>
          <w:t>ЦГК: Активната транспарентност на институциите годинава е подобрена | Meta.mk</w:t>
        </w:r>
      </w:hyperlink>
    </w:p>
  </w:footnote>
  <w:footnote w:id="69">
    <w:p w14:paraId="2E573D17"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w:t>
      </w:r>
      <w:hyperlink r:id="rId20" w:history="1">
        <w:r w:rsidRPr="00FC58FC">
          <w:rPr>
            <w:rStyle w:val="Hyperlink"/>
            <w:sz w:val="18"/>
            <w:szCs w:val="18"/>
          </w:rPr>
          <w:t>mk-executive-2192022.pdf (metamorphosis.org.mk)</w:t>
        </w:r>
      </w:hyperlink>
    </w:p>
  </w:footnote>
  <w:footnote w:id="70">
    <w:p w14:paraId="63CF5439"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w:t>
      </w:r>
      <w:hyperlink r:id="rId21" w:history="1">
        <w:r w:rsidRPr="00FC58FC">
          <w:rPr>
            <w:rStyle w:val="Hyperlink"/>
            <w:sz w:val="18"/>
            <w:szCs w:val="18"/>
          </w:rPr>
          <w:t>https://aspi.mk/wp-content/uploads/2022/10/%D0%90%D0%BD%D0%B0%D0%BB%D0%B8%D0%B7%D0%B0-%D0%BD%D0%B0-%D0%BF%D1%80%D0%B8%D0%BC%D0%B5%D0%BD%D0%B0%D1%82%D0%B0-%D0%BD%D0%B0-%D0%97%D0%A1%D0%9F%D0%98%D0%88%D0%9A-%D1%81%D0%BE-%D0%BF%D1%80%D0%B5%D0%BF%D0%BE%D1%80%D0%B0%D0%BA%D0%B8-%D0%B7%D0%B0-%D1%83%D0%BD%D0%B0%D0%BF%D1%80%D0%B5%D0%B4%D1%83%D0%B2%D0%B0%D1%9A%D0%B5-%D0%BD%D0%B0-%D1%81%D0%B8%D1%81%D1%82%D0%B5%D0%BC%D0%BE%D1%82-%D0%B7%D0%B0-%D1%81%D0%BB%D0%BE%D0%B1%D0%BE%D0%B4%D0%B5%D0%BD-%D0%BF%D1%80%D0%B8%D1%81%D1%82%D0%B0%D0%BF-%D0%B4%D0%BE-%D0%B8%D0%BD%D1%84%D0%BE%D1%80%D0%BC%D0%B0%D1%86%D0%B8%D0%B8%D1%82%D0%B5.pdf</w:t>
        </w:r>
      </w:hyperlink>
    </w:p>
    <w:p w14:paraId="23DF09BE" w14:textId="77777777" w:rsidR="00902252" w:rsidRDefault="00902252" w:rsidP="00F5796C">
      <w:pPr>
        <w:pStyle w:val="FootnoteText"/>
        <w:rPr>
          <w:lang w:val="mk-MK"/>
        </w:rPr>
      </w:pPr>
    </w:p>
  </w:footnote>
  <w:footnote w:id="71">
    <w:p w14:paraId="3E857B3E" w14:textId="77777777" w:rsidR="00902252" w:rsidRPr="00FC58FC" w:rsidRDefault="00902252" w:rsidP="00F5796C">
      <w:pPr>
        <w:pStyle w:val="FootnoteText"/>
        <w:rPr>
          <w:sz w:val="18"/>
          <w:szCs w:val="18"/>
        </w:rPr>
      </w:pPr>
      <w:r w:rsidRPr="00FC58FC">
        <w:rPr>
          <w:rStyle w:val="FootnoteReference"/>
          <w:sz w:val="18"/>
          <w:szCs w:val="18"/>
        </w:rPr>
        <w:footnoteRef/>
      </w:r>
      <w:r w:rsidRPr="00FC58FC">
        <w:rPr>
          <w:sz w:val="18"/>
          <w:szCs w:val="18"/>
        </w:rPr>
        <w:t xml:space="preserve"> Иницијативата партнерство за отворена власт,</w:t>
      </w:r>
      <w:r w:rsidRPr="00FC58FC">
        <w:rPr>
          <w:iCs/>
          <w:sz w:val="18"/>
          <w:szCs w:val="18"/>
        </w:rPr>
        <w:t xml:space="preserve"> </w:t>
      </w:r>
      <w:r w:rsidRPr="00FC58FC">
        <w:rPr>
          <w:sz w:val="18"/>
          <w:szCs w:val="18"/>
        </w:rPr>
        <w:t xml:space="preserve">Законот за користење на податоците од јавниот сектор Службен весник бр. 27 од 05.02.2014 г. и </w:t>
      </w:r>
      <w:r w:rsidRPr="00FC58FC">
        <w:rPr>
          <w:iCs/>
          <w:sz w:val="18"/>
          <w:szCs w:val="18"/>
        </w:rPr>
        <w:t>Стратегијата за отворени податоци со Акциски план 2018-2020 година</w:t>
      </w:r>
    </w:p>
  </w:footnote>
  <w:footnote w:id="72">
    <w:p w14:paraId="4168C072"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w:t>
      </w:r>
      <w:r w:rsidRPr="00FC58FC">
        <w:rPr>
          <w:sz w:val="18"/>
          <w:szCs w:val="18"/>
          <w:lang w:val="mk-MK"/>
        </w:rPr>
        <w:t>Во 2019 беа 50 услуги, а во 2022 се 66 услуги.</w:t>
      </w:r>
    </w:p>
  </w:footnote>
  <w:footnote w:id="73">
    <w:p w14:paraId="6AABB5B2" w14:textId="77777777"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w:t>
      </w:r>
      <w:r w:rsidRPr="00FC58FC">
        <w:rPr>
          <w:sz w:val="18"/>
          <w:szCs w:val="18"/>
          <w:lang w:val="mk-MK"/>
        </w:rPr>
        <w:t>Да се дообјасни дека бројот е мал бидејќи 66те услуги се на 4то ниво.</w:t>
      </w:r>
    </w:p>
  </w:footnote>
  <w:footnote w:id="74">
    <w:p w14:paraId="58665729" w14:textId="09483F03" w:rsidR="00902252" w:rsidRPr="00FC58FC" w:rsidRDefault="00902252" w:rsidP="00F5796C">
      <w:pPr>
        <w:pStyle w:val="FootnoteText"/>
        <w:rPr>
          <w:sz w:val="18"/>
          <w:szCs w:val="18"/>
          <w:lang w:val="mk-MK"/>
        </w:rPr>
      </w:pPr>
      <w:r w:rsidRPr="00FC58FC">
        <w:rPr>
          <w:rStyle w:val="FootnoteReference"/>
          <w:sz w:val="18"/>
          <w:szCs w:val="18"/>
        </w:rPr>
        <w:footnoteRef/>
      </w:r>
      <w:r w:rsidRPr="00FC58FC">
        <w:rPr>
          <w:sz w:val="18"/>
          <w:szCs w:val="18"/>
        </w:rPr>
        <w:t xml:space="preserve"> </w:t>
      </w:r>
      <w:r w:rsidRPr="00FC58FC">
        <w:rPr>
          <w:sz w:val="18"/>
          <w:szCs w:val="18"/>
          <w:lang w:val="mk-MK"/>
        </w:rPr>
        <w:t>Пресметано од 1300 институции</w:t>
      </w:r>
    </w:p>
  </w:footnote>
  <w:footnote w:id="75">
    <w:p w14:paraId="5C2C0FAF" w14:textId="52ECDFBB" w:rsidR="00902252" w:rsidRPr="00465999" w:rsidRDefault="00902252" w:rsidP="00465999">
      <w:pPr>
        <w:pStyle w:val="FootnoteText"/>
        <w:jc w:val="both"/>
        <w:rPr>
          <w:sz w:val="18"/>
          <w:szCs w:val="18"/>
          <w:lang w:val="mk-MK"/>
        </w:rPr>
      </w:pPr>
      <w:r w:rsidRPr="00465999">
        <w:rPr>
          <w:rStyle w:val="FootnoteReference"/>
          <w:sz w:val="18"/>
          <w:szCs w:val="18"/>
        </w:rPr>
        <w:footnoteRef/>
      </w:r>
      <w:r w:rsidRPr="00465999">
        <w:rPr>
          <w:sz w:val="18"/>
          <w:szCs w:val="18"/>
          <w:lang w:val="mk-MK"/>
        </w:rPr>
        <w:t>(како „Нордиска поддршка за напредокот на Северна Македонија“ финансиран од Амбасадата на Кралството Норвешка (АКН) и Шведската агенција за меѓународен развој и соработка (СИДА) спроведуван од Канцеларијата на Обединетите нации за проектни услуги (УНОПС) и други)</w:t>
      </w:r>
      <w:r w:rsidRPr="00465999">
        <w:rPr>
          <w:sz w:val="18"/>
          <w:szCs w:val="18"/>
        </w:rPr>
        <w:t xml:space="preserve"> </w:t>
      </w:r>
    </w:p>
  </w:footnote>
  <w:footnote w:id="76">
    <w:p w14:paraId="29F61FD9" w14:textId="77777777" w:rsidR="00902252" w:rsidRPr="00E1257D" w:rsidRDefault="00902252" w:rsidP="00106B99">
      <w:pPr>
        <w:pStyle w:val="FootnoteText"/>
        <w:jc w:val="both"/>
        <w:rPr>
          <w:rFonts w:cstheme="minorHAnsi"/>
          <w:sz w:val="18"/>
          <w:szCs w:val="18"/>
          <w:lang w:val="mk-MK"/>
        </w:rPr>
      </w:pPr>
      <w:r w:rsidRPr="00E1257D">
        <w:rPr>
          <w:rStyle w:val="FootnoteReference"/>
          <w:rFonts w:cstheme="minorHAnsi"/>
          <w:sz w:val="18"/>
          <w:szCs w:val="18"/>
        </w:rPr>
        <w:footnoteRef/>
      </w:r>
      <w:r w:rsidRPr="00E1257D">
        <w:rPr>
          <w:rFonts w:cstheme="minorHAnsi"/>
          <w:sz w:val="18"/>
          <w:szCs w:val="18"/>
        </w:rPr>
        <w:t xml:space="preserve"> </w:t>
      </w:r>
      <w:r w:rsidRPr="00E1257D">
        <w:rPr>
          <w:rFonts w:cstheme="minorHAnsi"/>
          <w:sz w:val="18"/>
          <w:szCs w:val="18"/>
          <w:lang w:val="mk-MK"/>
        </w:rPr>
        <w:t>Во областа на јавната служба и управувањето со човечките ресурси, учинокот на Република Северна Македонија останува меѓу најслабите во регионот, со просечна вредност на индикаторот од 2.6.</w:t>
      </w:r>
    </w:p>
  </w:footnote>
  <w:footnote w:id="77">
    <w:p w14:paraId="62309202" w14:textId="77777777" w:rsidR="00902252" w:rsidRPr="00E1257D" w:rsidRDefault="00902252" w:rsidP="00106B99">
      <w:pPr>
        <w:pStyle w:val="FootnoteText"/>
        <w:jc w:val="both"/>
        <w:rPr>
          <w:rFonts w:cstheme="minorHAnsi"/>
          <w:sz w:val="18"/>
          <w:szCs w:val="18"/>
          <w:lang w:val="mk-MK"/>
        </w:rPr>
      </w:pPr>
      <w:r w:rsidRPr="00E1257D">
        <w:rPr>
          <w:rStyle w:val="FootnoteReference"/>
          <w:rFonts w:cstheme="minorHAnsi"/>
          <w:sz w:val="18"/>
          <w:szCs w:val="18"/>
        </w:rPr>
        <w:footnoteRef/>
      </w:r>
      <w:r w:rsidRPr="00E1257D">
        <w:rPr>
          <w:rFonts w:cstheme="minorHAnsi"/>
          <w:sz w:val="18"/>
          <w:szCs w:val="18"/>
        </w:rPr>
        <w:t xml:space="preserve"> </w:t>
      </w:r>
      <w:r w:rsidRPr="00E1257D">
        <w:rPr>
          <w:rFonts w:cstheme="minorHAnsi"/>
          <w:sz w:val="18"/>
          <w:szCs w:val="18"/>
          <w:lang w:val="mk-MK"/>
        </w:rPr>
        <w:t xml:space="preserve">„Национален монитор за реформи во јавната администрација Северна Македонија 2019/2020, Институт за Европска политика, Скопје, 2021; Трет Извештај за степенот на имплементација на Стратегијата за реформа на јавната администрација 2018-2022, Фондација Отворено општество – Македонија </w:t>
      </w:r>
    </w:p>
  </w:footnote>
  <w:footnote w:id="78">
    <w:p w14:paraId="69A99646" w14:textId="31F9F95D" w:rsidR="00480B4A" w:rsidRPr="00480B4A" w:rsidRDefault="00480B4A">
      <w:pPr>
        <w:pStyle w:val="FootnoteText"/>
        <w:rPr>
          <w:lang w:val="mk-MK"/>
        </w:rPr>
      </w:pPr>
      <w:r>
        <w:rPr>
          <w:rStyle w:val="FootnoteReference"/>
        </w:rPr>
        <w:footnoteRef/>
      </w:r>
      <w:r>
        <w:t xml:space="preserve"> </w:t>
      </w:r>
      <w:r>
        <w:rPr>
          <w:lang w:val="mk-MK"/>
        </w:rPr>
        <w:t xml:space="preserve">Се подразбираат институциите согласно Извештајот од Регистерот на вработените во јавниот сектор, кој МИОА го објавува еднаш годишно.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112D"/>
    <w:multiLevelType w:val="hybridMultilevel"/>
    <w:tmpl w:val="84AC5DF8"/>
    <w:lvl w:ilvl="0" w:tplc="7D9A1AEE">
      <w:start w:val="202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227F2598"/>
    <w:multiLevelType w:val="hybridMultilevel"/>
    <w:tmpl w:val="41C81E92"/>
    <w:lvl w:ilvl="0" w:tplc="758259BE">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15:restartNumberingAfterBreak="0">
    <w:nsid w:val="25D877DD"/>
    <w:multiLevelType w:val="hybridMultilevel"/>
    <w:tmpl w:val="648851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47D1A"/>
    <w:multiLevelType w:val="multilevel"/>
    <w:tmpl w:val="F3DA80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5250E3"/>
    <w:multiLevelType w:val="multilevel"/>
    <w:tmpl w:val="93E8CE2C"/>
    <w:lvl w:ilvl="0">
      <w:start w:val="3"/>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asciiTheme="minorHAnsi" w:hAnsiTheme="minorHAnsi" w:hint="default"/>
        <w:b/>
        <w:sz w:val="24"/>
        <w:szCs w:val="24"/>
      </w:rPr>
    </w:lvl>
    <w:lvl w:ilvl="2">
      <w:start w:val="1"/>
      <w:numFmt w:val="decimal"/>
      <w:isLgl/>
      <w:lvlText w:val="%1.%2.%3."/>
      <w:lvlJc w:val="left"/>
      <w:pPr>
        <w:ind w:left="1080" w:hanging="720"/>
      </w:pPr>
      <w:rPr>
        <w:rFonts w:asciiTheme="minorHAnsi" w:hAnsiTheme="minorHAnsi" w:hint="default"/>
        <w:b/>
        <w:sz w:val="24"/>
      </w:rPr>
    </w:lvl>
    <w:lvl w:ilvl="3">
      <w:start w:val="1"/>
      <w:numFmt w:val="decimal"/>
      <w:isLgl/>
      <w:lvlText w:val="%1.%2.%3.%4."/>
      <w:lvlJc w:val="left"/>
      <w:pPr>
        <w:ind w:left="1080" w:hanging="720"/>
      </w:pPr>
      <w:rPr>
        <w:rFonts w:asciiTheme="minorHAnsi" w:hAnsiTheme="minorHAnsi" w:hint="default"/>
        <w:b/>
        <w:sz w:val="24"/>
      </w:rPr>
    </w:lvl>
    <w:lvl w:ilvl="4">
      <w:start w:val="1"/>
      <w:numFmt w:val="decimal"/>
      <w:isLgl/>
      <w:lvlText w:val="%1.%2.%3.%4.%5."/>
      <w:lvlJc w:val="left"/>
      <w:pPr>
        <w:ind w:left="1440" w:hanging="1080"/>
      </w:pPr>
      <w:rPr>
        <w:rFonts w:asciiTheme="minorHAnsi" w:hAnsiTheme="minorHAnsi" w:hint="default"/>
        <w:b/>
        <w:sz w:val="24"/>
      </w:rPr>
    </w:lvl>
    <w:lvl w:ilvl="5">
      <w:start w:val="1"/>
      <w:numFmt w:val="decimal"/>
      <w:isLgl/>
      <w:lvlText w:val="%1.%2.%3.%4.%5.%6."/>
      <w:lvlJc w:val="left"/>
      <w:pPr>
        <w:ind w:left="1440" w:hanging="1080"/>
      </w:pPr>
      <w:rPr>
        <w:rFonts w:asciiTheme="minorHAnsi" w:hAnsiTheme="minorHAnsi" w:hint="default"/>
        <w:b/>
        <w:sz w:val="24"/>
      </w:rPr>
    </w:lvl>
    <w:lvl w:ilvl="6">
      <w:start w:val="1"/>
      <w:numFmt w:val="decimal"/>
      <w:isLgl/>
      <w:lvlText w:val="%1.%2.%3.%4.%5.%6.%7."/>
      <w:lvlJc w:val="left"/>
      <w:pPr>
        <w:ind w:left="1800" w:hanging="1440"/>
      </w:pPr>
      <w:rPr>
        <w:rFonts w:asciiTheme="minorHAnsi" w:hAnsiTheme="minorHAnsi" w:hint="default"/>
        <w:b/>
        <w:sz w:val="24"/>
      </w:rPr>
    </w:lvl>
    <w:lvl w:ilvl="7">
      <w:start w:val="1"/>
      <w:numFmt w:val="decimal"/>
      <w:isLgl/>
      <w:lvlText w:val="%1.%2.%3.%4.%5.%6.%7.%8."/>
      <w:lvlJc w:val="left"/>
      <w:pPr>
        <w:ind w:left="1800" w:hanging="1440"/>
      </w:pPr>
      <w:rPr>
        <w:rFonts w:asciiTheme="minorHAnsi" w:hAnsiTheme="minorHAnsi" w:hint="default"/>
        <w:b/>
        <w:sz w:val="24"/>
      </w:rPr>
    </w:lvl>
    <w:lvl w:ilvl="8">
      <w:start w:val="1"/>
      <w:numFmt w:val="decimal"/>
      <w:isLgl/>
      <w:lvlText w:val="%1.%2.%3.%4.%5.%6.%7.%8.%9."/>
      <w:lvlJc w:val="left"/>
      <w:pPr>
        <w:ind w:left="2160" w:hanging="1800"/>
      </w:pPr>
      <w:rPr>
        <w:rFonts w:asciiTheme="minorHAnsi" w:hAnsiTheme="minorHAnsi" w:hint="default"/>
        <w:b/>
        <w:sz w:val="24"/>
      </w:rPr>
    </w:lvl>
  </w:abstractNum>
  <w:abstractNum w:abstractNumId="5" w15:restartNumberingAfterBreak="0">
    <w:nsid w:val="30AD2967"/>
    <w:multiLevelType w:val="hybridMultilevel"/>
    <w:tmpl w:val="3D66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0CE7"/>
    <w:multiLevelType w:val="hybridMultilevel"/>
    <w:tmpl w:val="5496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78F2"/>
    <w:multiLevelType w:val="multilevel"/>
    <w:tmpl w:val="37286C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A7F9A"/>
    <w:multiLevelType w:val="hybridMultilevel"/>
    <w:tmpl w:val="E2C0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2E9"/>
    <w:multiLevelType w:val="hybridMultilevel"/>
    <w:tmpl w:val="FCD4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21F30"/>
    <w:multiLevelType w:val="hybridMultilevel"/>
    <w:tmpl w:val="6F1E6E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3B65550"/>
    <w:multiLevelType w:val="hybridMultilevel"/>
    <w:tmpl w:val="9336208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D3141"/>
    <w:multiLevelType w:val="hybridMultilevel"/>
    <w:tmpl w:val="483EF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183B"/>
    <w:multiLevelType w:val="hybridMultilevel"/>
    <w:tmpl w:val="ADEC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816C0B"/>
    <w:multiLevelType w:val="hybridMultilevel"/>
    <w:tmpl w:val="8AA2C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D14605"/>
    <w:multiLevelType w:val="hybridMultilevel"/>
    <w:tmpl w:val="E820A4B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997435C"/>
    <w:multiLevelType w:val="hybridMultilevel"/>
    <w:tmpl w:val="A1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853E6"/>
    <w:multiLevelType w:val="hybridMultilevel"/>
    <w:tmpl w:val="A7B69B92"/>
    <w:lvl w:ilvl="0" w:tplc="9A74BF00">
      <w:start w:val="1"/>
      <w:numFmt w:val="bullet"/>
      <w:lvlText w:val="•"/>
      <w:lvlJc w:val="left"/>
      <w:pPr>
        <w:tabs>
          <w:tab w:val="num" w:pos="720"/>
        </w:tabs>
        <w:ind w:left="720" w:hanging="360"/>
      </w:pPr>
      <w:rPr>
        <w:rFonts w:ascii="Arial" w:hAnsi="Arial" w:hint="default"/>
      </w:rPr>
    </w:lvl>
    <w:lvl w:ilvl="1" w:tplc="FBC8AA36" w:tentative="1">
      <w:start w:val="1"/>
      <w:numFmt w:val="bullet"/>
      <w:lvlText w:val="•"/>
      <w:lvlJc w:val="left"/>
      <w:pPr>
        <w:tabs>
          <w:tab w:val="num" w:pos="1440"/>
        </w:tabs>
        <w:ind w:left="1440" w:hanging="360"/>
      </w:pPr>
      <w:rPr>
        <w:rFonts w:ascii="Arial" w:hAnsi="Arial" w:hint="default"/>
      </w:rPr>
    </w:lvl>
    <w:lvl w:ilvl="2" w:tplc="470ABC74" w:tentative="1">
      <w:start w:val="1"/>
      <w:numFmt w:val="bullet"/>
      <w:lvlText w:val="•"/>
      <w:lvlJc w:val="left"/>
      <w:pPr>
        <w:tabs>
          <w:tab w:val="num" w:pos="2160"/>
        </w:tabs>
        <w:ind w:left="2160" w:hanging="360"/>
      </w:pPr>
      <w:rPr>
        <w:rFonts w:ascii="Arial" w:hAnsi="Arial" w:hint="default"/>
      </w:rPr>
    </w:lvl>
    <w:lvl w:ilvl="3" w:tplc="30B279DE" w:tentative="1">
      <w:start w:val="1"/>
      <w:numFmt w:val="bullet"/>
      <w:lvlText w:val="•"/>
      <w:lvlJc w:val="left"/>
      <w:pPr>
        <w:tabs>
          <w:tab w:val="num" w:pos="2880"/>
        </w:tabs>
        <w:ind w:left="2880" w:hanging="360"/>
      </w:pPr>
      <w:rPr>
        <w:rFonts w:ascii="Arial" w:hAnsi="Arial" w:hint="default"/>
      </w:rPr>
    </w:lvl>
    <w:lvl w:ilvl="4" w:tplc="DA9C3A1C" w:tentative="1">
      <w:start w:val="1"/>
      <w:numFmt w:val="bullet"/>
      <w:lvlText w:val="•"/>
      <w:lvlJc w:val="left"/>
      <w:pPr>
        <w:tabs>
          <w:tab w:val="num" w:pos="3600"/>
        </w:tabs>
        <w:ind w:left="3600" w:hanging="360"/>
      </w:pPr>
      <w:rPr>
        <w:rFonts w:ascii="Arial" w:hAnsi="Arial" w:hint="default"/>
      </w:rPr>
    </w:lvl>
    <w:lvl w:ilvl="5" w:tplc="BF42FD60" w:tentative="1">
      <w:start w:val="1"/>
      <w:numFmt w:val="bullet"/>
      <w:lvlText w:val="•"/>
      <w:lvlJc w:val="left"/>
      <w:pPr>
        <w:tabs>
          <w:tab w:val="num" w:pos="4320"/>
        </w:tabs>
        <w:ind w:left="4320" w:hanging="360"/>
      </w:pPr>
      <w:rPr>
        <w:rFonts w:ascii="Arial" w:hAnsi="Arial" w:hint="default"/>
      </w:rPr>
    </w:lvl>
    <w:lvl w:ilvl="6" w:tplc="037ABE0C" w:tentative="1">
      <w:start w:val="1"/>
      <w:numFmt w:val="bullet"/>
      <w:lvlText w:val="•"/>
      <w:lvlJc w:val="left"/>
      <w:pPr>
        <w:tabs>
          <w:tab w:val="num" w:pos="5040"/>
        </w:tabs>
        <w:ind w:left="5040" w:hanging="360"/>
      </w:pPr>
      <w:rPr>
        <w:rFonts w:ascii="Arial" w:hAnsi="Arial" w:hint="default"/>
      </w:rPr>
    </w:lvl>
    <w:lvl w:ilvl="7" w:tplc="49BC1E8C" w:tentative="1">
      <w:start w:val="1"/>
      <w:numFmt w:val="bullet"/>
      <w:lvlText w:val="•"/>
      <w:lvlJc w:val="left"/>
      <w:pPr>
        <w:tabs>
          <w:tab w:val="num" w:pos="5760"/>
        </w:tabs>
        <w:ind w:left="5760" w:hanging="360"/>
      </w:pPr>
      <w:rPr>
        <w:rFonts w:ascii="Arial" w:hAnsi="Arial" w:hint="default"/>
      </w:rPr>
    </w:lvl>
    <w:lvl w:ilvl="8" w:tplc="222EA9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C50318"/>
    <w:multiLevelType w:val="hybridMultilevel"/>
    <w:tmpl w:val="D01AF35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FF7472"/>
    <w:multiLevelType w:val="hybridMultilevel"/>
    <w:tmpl w:val="07B6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5459D"/>
    <w:multiLevelType w:val="hybridMultilevel"/>
    <w:tmpl w:val="F92CCECE"/>
    <w:lvl w:ilvl="0" w:tplc="4BA45D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4B51468"/>
    <w:multiLevelType w:val="hybridMultilevel"/>
    <w:tmpl w:val="0A04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0167D"/>
    <w:multiLevelType w:val="hybridMultilevel"/>
    <w:tmpl w:val="9898A7E2"/>
    <w:lvl w:ilvl="0" w:tplc="FA5A1A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A4053B"/>
    <w:multiLevelType w:val="hybridMultilevel"/>
    <w:tmpl w:val="7AF0A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
  </w:num>
  <w:num w:numId="4">
    <w:abstractNumId w:val="11"/>
  </w:num>
  <w:num w:numId="5">
    <w:abstractNumId w:val="7"/>
  </w:num>
  <w:num w:numId="6">
    <w:abstractNumId w:val="16"/>
  </w:num>
  <w:num w:numId="7">
    <w:abstractNumId w:val="4"/>
  </w:num>
  <w:num w:numId="8">
    <w:abstractNumId w:val="5"/>
  </w:num>
  <w:num w:numId="9">
    <w:abstractNumId w:val="17"/>
  </w:num>
  <w:num w:numId="10">
    <w:abstractNumId w:val="19"/>
  </w:num>
  <w:num w:numId="11">
    <w:abstractNumId w:val="21"/>
  </w:num>
  <w:num w:numId="12">
    <w:abstractNumId w:val="23"/>
  </w:num>
  <w:num w:numId="13">
    <w:abstractNumId w:val="14"/>
  </w:num>
  <w:num w:numId="14">
    <w:abstractNumId w:val="6"/>
  </w:num>
  <w:num w:numId="15">
    <w:abstractNumId w:val="12"/>
  </w:num>
  <w:num w:numId="16">
    <w:abstractNumId w:val="13"/>
  </w:num>
  <w:num w:numId="17">
    <w:abstractNumId w:val="15"/>
  </w:num>
  <w:num w:numId="18">
    <w:abstractNumId w:val="0"/>
  </w:num>
  <w:num w:numId="19">
    <w:abstractNumId w:val="9"/>
  </w:num>
  <w:num w:numId="20">
    <w:abstractNumId w:val="8"/>
  </w:num>
  <w:num w:numId="21">
    <w:abstractNumId w:val="10"/>
  </w:num>
  <w:num w:numId="22">
    <w:abstractNumId w:val="22"/>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CE"/>
    <w:rsid w:val="0000137C"/>
    <w:rsid w:val="000207A6"/>
    <w:rsid w:val="00025879"/>
    <w:rsid w:val="000421D6"/>
    <w:rsid w:val="0004290D"/>
    <w:rsid w:val="00053C50"/>
    <w:rsid w:val="000568B1"/>
    <w:rsid w:val="00057301"/>
    <w:rsid w:val="0006026B"/>
    <w:rsid w:val="00063B5A"/>
    <w:rsid w:val="00071C93"/>
    <w:rsid w:val="00081FA3"/>
    <w:rsid w:val="00092885"/>
    <w:rsid w:val="000943C5"/>
    <w:rsid w:val="00095624"/>
    <w:rsid w:val="000A08F4"/>
    <w:rsid w:val="000A2DED"/>
    <w:rsid w:val="000C559E"/>
    <w:rsid w:val="000C62C4"/>
    <w:rsid w:val="000D65A4"/>
    <w:rsid w:val="000E4598"/>
    <w:rsid w:val="000E5AA6"/>
    <w:rsid w:val="000E66C0"/>
    <w:rsid w:val="000F7EC2"/>
    <w:rsid w:val="00100047"/>
    <w:rsid w:val="0010026C"/>
    <w:rsid w:val="00106B99"/>
    <w:rsid w:val="001076F3"/>
    <w:rsid w:val="001137AE"/>
    <w:rsid w:val="00124E37"/>
    <w:rsid w:val="0012682C"/>
    <w:rsid w:val="0014020D"/>
    <w:rsid w:val="00142DD3"/>
    <w:rsid w:val="00143FF7"/>
    <w:rsid w:val="001519F5"/>
    <w:rsid w:val="00152374"/>
    <w:rsid w:val="001617CE"/>
    <w:rsid w:val="00166A64"/>
    <w:rsid w:val="00167B86"/>
    <w:rsid w:val="001757F8"/>
    <w:rsid w:val="00185881"/>
    <w:rsid w:val="00191CB5"/>
    <w:rsid w:val="00191CBB"/>
    <w:rsid w:val="001A25F1"/>
    <w:rsid w:val="001A6A43"/>
    <w:rsid w:val="001B0DD6"/>
    <w:rsid w:val="001B68C6"/>
    <w:rsid w:val="001C00CC"/>
    <w:rsid w:val="001C0934"/>
    <w:rsid w:val="001C1059"/>
    <w:rsid w:val="001D1515"/>
    <w:rsid w:val="001E3A6D"/>
    <w:rsid w:val="001E4DE7"/>
    <w:rsid w:val="001F11B5"/>
    <w:rsid w:val="001F56C5"/>
    <w:rsid w:val="001F5DEF"/>
    <w:rsid w:val="001F783D"/>
    <w:rsid w:val="00202BF0"/>
    <w:rsid w:val="00205DF2"/>
    <w:rsid w:val="00224FFD"/>
    <w:rsid w:val="00226226"/>
    <w:rsid w:val="00227E82"/>
    <w:rsid w:val="00234623"/>
    <w:rsid w:val="002370B5"/>
    <w:rsid w:val="0025143B"/>
    <w:rsid w:val="0025203C"/>
    <w:rsid w:val="00252A7B"/>
    <w:rsid w:val="00261154"/>
    <w:rsid w:val="00265430"/>
    <w:rsid w:val="00271DD6"/>
    <w:rsid w:val="00272902"/>
    <w:rsid w:val="0027372A"/>
    <w:rsid w:val="00274267"/>
    <w:rsid w:val="00282815"/>
    <w:rsid w:val="002877AE"/>
    <w:rsid w:val="00296957"/>
    <w:rsid w:val="002A0990"/>
    <w:rsid w:val="002A18CD"/>
    <w:rsid w:val="002A2063"/>
    <w:rsid w:val="002A6848"/>
    <w:rsid w:val="002B1F8F"/>
    <w:rsid w:val="002B4969"/>
    <w:rsid w:val="002C7FE7"/>
    <w:rsid w:val="002D2DCE"/>
    <w:rsid w:val="002E4B8F"/>
    <w:rsid w:val="002E6DA4"/>
    <w:rsid w:val="002F03D2"/>
    <w:rsid w:val="002F55EA"/>
    <w:rsid w:val="002F6E9F"/>
    <w:rsid w:val="003020D3"/>
    <w:rsid w:val="00306093"/>
    <w:rsid w:val="0031039C"/>
    <w:rsid w:val="00311141"/>
    <w:rsid w:val="00314449"/>
    <w:rsid w:val="00315411"/>
    <w:rsid w:val="00316D23"/>
    <w:rsid w:val="00321E2D"/>
    <w:rsid w:val="003231F3"/>
    <w:rsid w:val="00335E39"/>
    <w:rsid w:val="00342066"/>
    <w:rsid w:val="003447AE"/>
    <w:rsid w:val="00351D48"/>
    <w:rsid w:val="00354629"/>
    <w:rsid w:val="00354814"/>
    <w:rsid w:val="003607EF"/>
    <w:rsid w:val="00360D29"/>
    <w:rsid w:val="00374A5A"/>
    <w:rsid w:val="003850F5"/>
    <w:rsid w:val="00385B81"/>
    <w:rsid w:val="00386E93"/>
    <w:rsid w:val="00390354"/>
    <w:rsid w:val="00391FCF"/>
    <w:rsid w:val="003B0807"/>
    <w:rsid w:val="003B5447"/>
    <w:rsid w:val="003B5D17"/>
    <w:rsid w:val="003B62C1"/>
    <w:rsid w:val="003B6A0B"/>
    <w:rsid w:val="003B7B57"/>
    <w:rsid w:val="003C1222"/>
    <w:rsid w:val="003C30F6"/>
    <w:rsid w:val="003C5103"/>
    <w:rsid w:val="003C7510"/>
    <w:rsid w:val="003D2889"/>
    <w:rsid w:val="003D5BCF"/>
    <w:rsid w:val="003D7676"/>
    <w:rsid w:val="003E02C7"/>
    <w:rsid w:val="003E03EF"/>
    <w:rsid w:val="003E6B1D"/>
    <w:rsid w:val="003F0B2B"/>
    <w:rsid w:val="003F22BC"/>
    <w:rsid w:val="003F6225"/>
    <w:rsid w:val="00400FE0"/>
    <w:rsid w:val="00401ED1"/>
    <w:rsid w:val="00403AC7"/>
    <w:rsid w:val="0041445E"/>
    <w:rsid w:val="00415F02"/>
    <w:rsid w:val="004304E0"/>
    <w:rsid w:val="00432B4D"/>
    <w:rsid w:val="004370A2"/>
    <w:rsid w:val="00450DC1"/>
    <w:rsid w:val="00457BED"/>
    <w:rsid w:val="00465999"/>
    <w:rsid w:val="00474537"/>
    <w:rsid w:val="00475216"/>
    <w:rsid w:val="00480B4A"/>
    <w:rsid w:val="004911AF"/>
    <w:rsid w:val="00496572"/>
    <w:rsid w:val="004C5FCD"/>
    <w:rsid w:val="004E1A11"/>
    <w:rsid w:val="004F28DE"/>
    <w:rsid w:val="004F2FC2"/>
    <w:rsid w:val="004F4C9F"/>
    <w:rsid w:val="005102CB"/>
    <w:rsid w:val="0051214F"/>
    <w:rsid w:val="00512A53"/>
    <w:rsid w:val="00524D28"/>
    <w:rsid w:val="00525954"/>
    <w:rsid w:val="005260AE"/>
    <w:rsid w:val="00530296"/>
    <w:rsid w:val="00530C74"/>
    <w:rsid w:val="00537256"/>
    <w:rsid w:val="00542CCC"/>
    <w:rsid w:val="00547DA7"/>
    <w:rsid w:val="00566D18"/>
    <w:rsid w:val="00573CCD"/>
    <w:rsid w:val="00580D74"/>
    <w:rsid w:val="00586AE9"/>
    <w:rsid w:val="005911BA"/>
    <w:rsid w:val="00594315"/>
    <w:rsid w:val="005A33E9"/>
    <w:rsid w:val="005A6012"/>
    <w:rsid w:val="005B24A2"/>
    <w:rsid w:val="005B383C"/>
    <w:rsid w:val="005B5D3E"/>
    <w:rsid w:val="005C0240"/>
    <w:rsid w:val="005C2B82"/>
    <w:rsid w:val="005C5FE8"/>
    <w:rsid w:val="005C74F3"/>
    <w:rsid w:val="005D48BD"/>
    <w:rsid w:val="005D632E"/>
    <w:rsid w:val="005D7B89"/>
    <w:rsid w:val="005F795B"/>
    <w:rsid w:val="00603582"/>
    <w:rsid w:val="00617125"/>
    <w:rsid w:val="00633686"/>
    <w:rsid w:val="0064420D"/>
    <w:rsid w:val="00652446"/>
    <w:rsid w:val="0065671B"/>
    <w:rsid w:val="006570F1"/>
    <w:rsid w:val="006615B3"/>
    <w:rsid w:val="0067127F"/>
    <w:rsid w:val="00671671"/>
    <w:rsid w:val="0067615C"/>
    <w:rsid w:val="00676D46"/>
    <w:rsid w:val="00686D76"/>
    <w:rsid w:val="00691C57"/>
    <w:rsid w:val="00695C52"/>
    <w:rsid w:val="006A45D7"/>
    <w:rsid w:val="006C35F2"/>
    <w:rsid w:val="006D1865"/>
    <w:rsid w:val="006E501F"/>
    <w:rsid w:val="006F4548"/>
    <w:rsid w:val="006F5494"/>
    <w:rsid w:val="00703B11"/>
    <w:rsid w:val="00707CBC"/>
    <w:rsid w:val="00712386"/>
    <w:rsid w:val="007248EC"/>
    <w:rsid w:val="00730E6F"/>
    <w:rsid w:val="00734AA0"/>
    <w:rsid w:val="00737FF0"/>
    <w:rsid w:val="0074050E"/>
    <w:rsid w:val="0074178E"/>
    <w:rsid w:val="007430E3"/>
    <w:rsid w:val="00745259"/>
    <w:rsid w:val="00771754"/>
    <w:rsid w:val="007717A7"/>
    <w:rsid w:val="00774FB2"/>
    <w:rsid w:val="00775C96"/>
    <w:rsid w:val="00777F37"/>
    <w:rsid w:val="00782920"/>
    <w:rsid w:val="007922E5"/>
    <w:rsid w:val="00794A7D"/>
    <w:rsid w:val="0079725F"/>
    <w:rsid w:val="007A09E8"/>
    <w:rsid w:val="007A331C"/>
    <w:rsid w:val="007A5FC6"/>
    <w:rsid w:val="007B563D"/>
    <w:rsid w:val="007C2186"/>
    <w:rsid w:val="007C6907"/>
    <w:rsid w:val="007C78C5"/>
    <w:rsid w:val="007D1767"/>
    <w:rsid w:val="007E0A96"/>
    <w:rsid w:val="007E2D5D"/>
    <w:rsid w:val="00803190"/>
    <w:rsid w:val="008053AF"/>
    <w:rsid w:val="008079C1"/>
    <w:rsid w:val="00807A03"/>
    <w:rsid w:val="00813FC6"/>
    <w:rsid w:val="00814D3C"/>
    <w:rsid w:val="0081616E"/>
    <w:rsid w:val="00834A4A"/>
    <w:rsid w:val="00852E72"/>
    <w:rsid w:val="0085684F"/>
    <w:rsid w:val="00861A60"/>
    <w:rsid w:val="008645FB"/>
    <w:rsid w:val="00872923"/>
    <w:rsid w:val="00872FA1"/>
    <w:rsid w:val="0087358D"/>
    <w:rsid w:val="00873CDE"/>
    <w:rsid w:val="00887C2C"/>
    <w:rsid w:val="00893D41"/>
    <w:rsid w:val="008964A8"/>
    <w:rsid w:val="008A15B9"/>
    <w:rsid w:val="008A42BD"/>
    <w:rsid w:val="008A4FA5"/>
    <w:rsid w:val="008A503E"/>
    <w:rsid w:val="008A576B"/>
    <w:rsid w:val="008B2C38"/>
    <w:rsid w:val="008B3CEE"/>
    <w:rsid w:val="008B3EF9"/>
    <w:rsid w:val="008B7132"/>
    <w:rsid w:val="008C2708"/>
    <w:rsid w:val="008C751E"/>
    <w:rsid w:val="008D4948"/>
    <w:rsid w:val="008D54E0"/>
    <w:rsid w:val="008F4220"/>
    <w:rsid w:val="00902252"/>
    <w:rsid w:val="0091325D"/>
    <w:rsid w:val="00916C3A"/>
    <w:rsid w:val="00927FE2"/>
    <w:rsid w:val="00930D89"/>
    <w:rsid w:val="0094070D"/>
    <w:rsid w:val="00945FF7"/>
    <w:rsid w:val="00946AF4"/>
    <w:rsid w:val="00954170"/>
    <w:rsid w:val="009543CB"/>
    <w:rsid w:val="00964535"/>
    <w:rsid w:val="009700A1"/>
    <w:rsid w:val="009705BD"/>
    <w:rsid w:val="00972921"/>
    <w:rsid w:val="00973C5F"/>
    <w:rsid w:val="00976C3C"/>
    <w:rsid w:val="00976FFF"/>
    <w:rsid w:val="00981BC4"/>
    <w:rsid w:val="0098328D"/>
    <w:rsid w:val="00987609"/>
    <w:rsid w:val="009A7048"/>
    <w:rsid w:val="009A7F69"/>
    <w:rsid w:val="009B106C"/>
    <w:rsid w:val="009C754B"/>
    <w:rsid w:val="009C7FC6"/>
    <w:rsid w:val="009F043C"/>
    <w:rsid w:val="00A00712"/>
    <w:rsid w:val="00A01087"/>
    <w:rsid w:val="00A01345"/>
    <w:rsid w:val="00A04146"/>
    <w:rsid w:val="00A32AB2"/>
    <w:rsid w:val="00A37A0C"/>
    <w:rsid w:val="00A40639"/>
    <w:rsid w:val="00A414A5"/>
    <w:rsid w:val="00A51747"/>
    <w:rsid w:val="00A6312A"/>
    <w:rsid w:val="00A67F3D"/>
    <w:rsid w:val="00A73B20"/>
    <w:rsid w:val="00A86209"/>
    <w:rsid w:val="00A87DAF"/>
    <w:rsid w:val="00A9479A"/>
    <w:rsid w:val="00A9512D"/>
    <w:rsid w:val="00AA5A51"/>
    <w:rsid w:val="00AA787B"/>
    <w:rsid w:val="00AC1FF2"/>
    <w:rsid w:val="00AC4875"/>
    <w:rsid w:val="00AC68FC"/>
    <w:rsid w:val="00AD0428"/>
    <w:rsid w:val="00AE1B6D"/>
    <w:rsid w:val="00AE381D"/>
    <w:rsid w:val="00AF5C48"/>
    <w:rsid w:val="00B06659"/>
    <w:rsid w:val="00B07DE4"/>
    <w:rsid w:val="00B12204"/>
    <w:rsid w:val="00B22227"/>
    <w:rsid w:val="00B23468"/>
    <w:rsid w:val="00B26212"/>
    <w:rsid w:val="00B26F37"/>
    <w:rsid w:val="00B3082A"/>
    <w:rsid w:val="00B37F29"/>
    <w:rsid w:val="00B40405"/>
    <w:rsid w:val="00B45392"/>
    <w:rsid w:val="00B555C8"/>
    <w:rsid w:val="00B5617C"/>
    <w:rsid w:val="00B6525D"/>
    <w:rsid w:val="00B77997"/>
    <w:rsid w:val="00B77F5A"/>
    <w:rsid w:val="00B879E1"/>
    <w:rsid w:val="00B92097"/>
    <w:rsid w:val="00B929D7"/>
    <w:rsid w:val="00B933FF"/>
    <w:rsid w:val="00B951DF"/>
    <w:rsid w:val="00BA3BED"/>
    <w:rsid w:val="00BB092B"/>
    <w:rsid w:val="00BB6FB4"/>
    <w:rsid w:val="00BB7E24"/>
    <w:rsid w:val="00BC2BB0"/>
    <w:rsid w:val="00BC7B9E"/>
    <w:rsid w:val="00BD31E0"/>
    <w:rsid w:val="00BD3F8B"/>
    <w:rsid w:val="00BD7D74"/>
    <w:rsid w:val="00BF0974"/>
    <w:rsid w:val="00C01127"/>
    <w:rsid w:val="00C012A5"/>
    <w:rsid w:val="00C04686"/>
    <w:rsid w:val="00C073E9"/>
    <w:rsid w:val="00C1515E"/>
    <w:rsid w:val="00C1585A"/>
    <w:rsid w:val="00C17152"/>
    <w:rsid w:val="00C25F3D"/>
    <w:rsid w:val="00C367EE"/>
    <w:rsid w:val="00C46DEA"/>
    <w:rsid w:val="00C46E34"/>
    <w:rsid w:val="00C56181"/>
    <w:rsid w:val="00C70A8E"/>
    <w:rsid w:val="00C71B1D"/>
    <w:rsid w:val="00C76BAA"/>
    <w:rsid w:val="00C82529"/>
    <w:rsid w:val="00C955D6"/>
    <w:rsid w:val="00C9627B"/>
    <w:rsid w:val="00CA7866"/>
    <w:rsid w:val="00CB07C6"/>
    <w:rsid w:val="00CB0F67"/>
    <w:rsid w:val="00CB5805"/>
    <w:rsid w:val="00CC708E"/>
    <w:rsid w:val="00CC75E8"/>
    <w:rsid w:val="00CE0737"/>
    <w:rsid w:val="00CE7A0A"/>
    <w:rsid w:val="00CF635C"/>
    <w:rsid w:val="00D11100"/>
    <w:rsid w:val="00D133FF"/>
    <w:rsid w:val="00D1441C"/>
    <w:rsid w:val="00D2754F"/>
    <w:rsid w:val="00D27E48"/>
    <w:rsid w:val="00D3445B"/>
    <w:rsid w:val="00D35148"/>
    <w:rsid w:val="00D3725F"/>
    <w:rsid w:val="00D510F1"/>
    <w:rsid w:val="00D569F6"/>
    <w:rsid w:val="00D57B90"/>
    <w:rsid w:val="00D6016A"/>
    <w:rsid w:val="00D661CC"/>
    <w:rsid w:val="00D806DD"/>
    <w:rsid w:val="00D94BC9"/>
    <w:rsid w:val="00DA074B"/>
    <w:rsid w:val="00DB3F2B"/>
    <w:rsid w:val="00DB630B"/>
    <w:rsid w:val="00DC135A"/>
    <w:rsid w:val="00DC256D"/>
    <w:rsid w:val="00DD38A9"/>
    <w:rsid w:val="00DD4CE4"/>
    <w:rsid w:val="00DD59DD"/>
    <w:rsid w:val="00DD7EC8"/>
    <w:rsid w:val="00DE1268"/>
    <w:rsid w:val="00DF0807"/>
    <w:rsid w:val="00DF5AE3"/>
    <w:rsid w:val="00E01D28"/>
    <w:rsid w:val="00E04929"/>
    <w:rsid w:val="00E05DCE"/>
    <w:rsid w:val="00E063CF"/>
    <w:rsid w:val="00E142CC"/>
    <w:rsid w:val="00E2199A"/>
    <w:rsid w:val="00E24047"/>
    <w:rsid w:val="00E31D99"/>
    <w:rsid w:val="00E33051"/>
    <w:rsid w:val="00E368F5"/>
    <w:rsid w:val="00E3706D"/>
    <w:rsid w:val="00E45AE6"/>
    <w:rsid w:val="00E52F14"/>
    <w:rsid w:val="00E63249"/>
    <w:rsid w:val="00E64489"/>
    <w:rsid w:val="00E661A4"/>
    <w:rsid w:val="00E705DD"/>
    <w:rsid w:val="00E77259"/>
    <w:rsid w:val="00E77D30"/>
    <w:rsid w:val="00E80658"/>
    <w:rsid w:val="00E95E04"/>
    <w:rsid w:val="00E9655A"/>
    <w:rsid w:val="00E96F85"/>
    <w:rsid w:val="00EA13D2"/>
    <w:rsid w:val="00EA3F23"/>
    <w:rsid w:val="00EA6C95"/>
    <w:rsid w:val="00EB3C91"/>
    <w:rsid w:val="00EC1624"/>
    <w:rsid w:val="00EC7C0D"/>
    <w:rsid w:val="00ED026D"/>
    <w:rsid w:val="00ED7A86"/>
    <w:rsid w:val="00EE36C7"/>
    <w:rsid w:val="00EE704A"/>
    <w:rsid w:val="00EF53D1"/>
    <w:rsid w:val="00F07173"/>
    <w:rsid w:val="00F11ED2"/>
    <w:rsid w:val="00F21EA5"/>
    <w:rsid w:val="00F244DF"/>
    <w:rsid w:val="00F257AD"/>
    <w:rsid w:val="00F4399F"/>
    <w:rsid w:val="00F53AFC"/>
    <w:rsid w:val="00F56D95"/>
    <w:rsid w:val="00F5796C"/>
    <w:rsid w:val="00F63727"/>
    <w:rsid w:val="00F63EC8"/>
    <w:rsid w:val="00F7137A"/>
    <w:rsid w:val="00F73F19"/>
    <w:rsid w:val="00F77988"/>
    <w:rsid w:val="00F81CB4"/>
    <w:rsid w:val="00F85746"/>
    <w:rsid w:val="00F9266F"/>
    <w:rsid w:val="00F93124"/>
    <w:rsid w:val="00FA00F8"/>
    <w:rsid w:val="00FA7D69"/>
    <w:rsid w:val="00FB01B1"/>
    <w:rsid w:val="00FB25B3"/>
    <w:rsid w:val="00FB5416"/>
    <w:rsid w:val="00FC4BB6"/>
    <w:rsid w:val="00FC58FC"/>
    <w:rsid w:val="00FC7524"/>
    <w:rsid w:val="00FD03E7"/>
    <w:rsid w:val="00FD47A9"/>
    <w:rsid w:val="00FD6F84"/>
    <w:rsid w:val="00FE0E64"/>
    <w:rsid w:val="00FE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9CCD"/>
  <w15:chartTrackingRefBased/>
  <w15:docId w15:val="{02A3F6F0-62AC-47B7-89A0-0F2C6133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64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911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44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489"/>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E64489"/>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E64489"/>
    <w:pPr>
      <w:outlineLvl w:val="9"/>
    </w:pPr>
    <w:rPr>
      <w:lang w:val="en-US"/>
    </w:rPr>
  </w:style>
  <w:style w:type="character" w:styleId="CommentReference">
    <w:name w:val="annotation reference"/>
    <w:basedOn w:val="DefaultParagraphFont"/>
    <w:unhideWhenUsed/>
    <w:rsid w:val="00E64489"/>
    <w:rPr>
      <w:sz w:val="16"/>
      <w:szCs w:val="16"/>
    </w:rPr>
  </w:style>
  <w:style w:type="paragraph" w:styleId="CommentText">
    <w:name w:val="annotation text"/>
    <w:basedOn w:val="Normal"/>
    <w:link w:val="CommentTextChar"/>
    <w:unhideWhenUsed/>
    <w:rsid w:val="00E64489"/>
    <w:pPr>
      <w:spacing w:line="240" w:lineRule="auto"/>
    </w:pPr>
    <w:rPr>
      <w:sz w:val="20"/>
      <w:szCs w:val="20"/>
      <w:lang w:val="en-US"/>
    </w:rPr>
  </w:style>
  <w:style w:type="character" w:customStyle="1" w:styleId="CommentTextChar">
    <w:name w:val="Comment Text Char"/>
    <w:basedOn w:val="DefaultParagraphFont"/>
    <w:link w:val="CommentText"/>
    <w:rsid w:val="00E64489"/>
    <w:rPr>
      <w:sz w:val="20"/>
      <w:szCs w:val="20"/>
    </w:rPr>
  </w:style>
  <w:style w:type="paragraph" w:styleId="Header">
    <w:name w:val="header"/>
    <w:basedOn w:val="Normal"/>
    <w:link w:val="HeaderChar"/>
    <w:uiPriority w:val="99"/>
    <w:unhideWhenUsed/>
    <w:rsid w:val="007E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96"/>
    <w:rPr>
      <w:lang w:val="en-GB"/>
    </w:rPr>
  </w:style>
  <w:style w:type="paragraph" w:styleId="Footer">
    <w:name w:val="footer"/>
    <w:basedOn w:val="Normal"/>
    <w:link w:val="FooterChar"/>
    <w:uiPriority w:val="99"/>
    <w:unhideWhenUsed/>
    <w:rsid w:val="007E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96"/>
    <w:rPr>
      <w:lang w:val="en-GB"/>
    </w:rPr>
  </w:style>
  <w:style w:type="character" w:customStyle="1" w:styleId="Heading2Char">
    <w:name w:val="Heading 2 Char"/>
    <w:basedOn w:val="DefaultParagraphFont"/>
    <w:link w:val="Heading2"/>
    <w:uiPriority w:val="9"/>
    <w:rsid w:val="007E0A96"/>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qFormat/>
    <w:rsid w:val="007E0A96"/>
    <w:rPr>
      <w:color w:val="0563C1" w:themeColor="hyperlink"/>
      <w:u w:val="single"/>
    </w:rPr>
  </w:style>
  <w:style w:type="paragraph" w:styleId="FootnoteText">
    <w:name w:val="footnote text"/>
    <w:aliases w:val="Footnote Text Char Char Char,Footnote Text Char Char,Fußnote,single space,footnote text,FOOTNOTES,fn,Fußnotentext Char,ADB,Footnote text,ft,Footnote,Footnote Text Char1 Char,Footnote Text Char1 Char Char Char,Voetnoottekst Char,Footnote ak"/>
    <w:basedOn w:val="Normal"/>
    <w:link w:val="FootnoteTextChar"/>
    <w:uiPriority w:val="99"/>
    <w:unhideWhenUsed/>
    <w:qFormat/>
    <w:rsid w:val="007E0A96"/>
    <w:pPr>
      <w:spacing w:after="0" w:line="240" w:lineRule="auto"/>
    </w:pPr>
    <w:rPr>
      <w:sz w:val="20"/>
      <w:szCs w:val="20"/>
      <w:lang w:val="en-US"/>
    </w:rPr>
  </w:style>
  <w:style w:type="character" w:customStyle="1" w:styleId="FootnoteTextChar">
    <w:name w:val="Footnote Text Char"/>
    <w:aliases w:val="Footnote Text Char Char Char Char,Footnote Text Char Char Char1,Fußnote Char,single space Char,footnote text Char,FOOTNOTES Char,fn Char,Fußnotentext Char Char,ADB Char,Footnote text Char,ft Char,Footnote Char,Voetnoottekst Char Char"/>
    <w:basedOn w:val="DefaultParagraphFont"/>
    <w:link w:val="FootnoteText"/>
    <w:uiPriority w:val="99"/>
    <w:qFormat/>
    <w:rsid w:val="007E0A96"/>
    <w:rPr>
      <w:sz w:val="20"/>
      <w:szCs w:val="20"/>
    </w:rPr>
  </w:style>
  <w:style w:type="character" w:styleId="FootnoteReference">
    <w:name w:val="footnote reference"/>
    <w:aliases w:val="BVI fnr,ftref,Footnote symbol,Footnote reference number,note TESI,Ref,de nota al pie,Footnote Reference 2,16 Point,Superscript 6 Point,Footnote Reference Number,Знак сноски-FN,Footnote Reference_LVL6,Footnote Reference_LVL61,fr,4_G"/>
    <w:basedOn w:val="DefaultParagraphFont"/>
    <w:link w:val="BVIfnrCharChar"/>
    <w:uiPriority w:val="99"/>
    <w:unhideWhenUsed/>
    <w:qFormat/>
    <w:rsid w:val="007E0A96"/>
    <w:rPr>
      <w:vertAlign w:val="superscript"/>
    </w:rPr>
  </w:style>
  <w:style w:type="paragraph" w:customStyle="1" w:styleId="BVIfnrCharChar">
    <w:name w:val="BVI fnr Char Char"/>
    <w:aliases w:val="BVI fnr Car Car Char Char,BVI fnr Car Char Char,BVI fnr Car Car Car Car Char Char,BVI fnr Car Car Car Car Char Char Char1"/>
    <w:basedOn w:val="Normal"/>
    <w:link w:val="FootnoteReference"/>
    <w:uiPriority w:val="99"/>
    <w:qFormat/>
    <w:rsid w:val="007E0A96"/>
    <w:pPr>
      <w:spacing w:after="60" w:line="240" w:lineRule="auto"/>
      <w:jc w:val="both"/>
    </w:pPr>
    <w:rPr>
      <w:vertAlign w:val="superscript"/>
      <w:lang w:val="en-US"/>
    </w:rPr>
  </w:style>
  <w:style w:type="paragraph" w:styleId="TOC1">
    <w:name w:val="toc 1"/>
    <w:basedOn w:val="Normal"/>
    <w:next w:val="Normal"/>
    <w:autoRedefine/>
    <w:uiPriority w:val="39"/>
    <w:unhideWhenUsed/>
    <w:rsid w:val="007E0A96"/>
    <w:pPr>
      <w:spacing w:after="100"/>
    </w:pPr>
  </w:style>
  <w:style w:type="paragraph" w:styleId="TOC2">
    <w:name w:val="toc 2"/>
    <w:basedOn w:val="Normal"/>
    <w:next w:val="Normal"/>
    <w:autoRedefine/>
    <w:uiPriority w:val="39"/>
    <w:unhideWhenUsed/>
    <w:rsid w:val="007E0A96"/>
    <w:pPr>
      <w:spacing w:after="100"/>
      <w:ind w:left="220"/>
    </w:pPr>
  </w:style>
  <w:style w:type="paragraph" w:styleId="CommentSubject">
    <w:name w:val="annotation subject"/>
    <w:basedOn w:val="CommentText"/>
    <w:next w:val="CommentText"/>
    <w:link w:val="CommentSubjectChar"/>
    <w:uiPriority w:val="99"/>
    <w:semiHidden/>
    <w:unhideWhenUsed/>
    <w:rsid w:val="00DE1268"/>
    <w:rPr>
      <w:b/>
      <w:bCs/>
      <w:lang w:val="en-GB"/>
    </w:rPr>
  </w:style>
  <w:style w:type="character" w:customStyle="1" w:styleId="CommentSubjectChar">
    <w:name w:val="Comment Subject Char"/>
    <w:basedOn w:val="CommentTextChar"/>
    <w:link w:val="CommentSubject"/>
    <w:uiPriority w:val="99"/>
    <w:semiHidden/>
    <w:rsid w:val="00DE1268"/>
    <w:rPr>
      <w:b/>
      <w:bCs/>
      <w:sz w:val="20"/>
      <w:szCs w:val="20"/>
      <w:lang w:val="en-GB"/>
    </w:rPr>
  </w:style>
  <w:style w:type="paragraph" w:customStyle="1" w:styleId="Default">
    <w:name w:val="Default"/>
    <w:qFormat/>
    <w:rsid w:val="00DE1268"/>
    <w:pPr>
      <w:autoSpaceDE w:val="0"/>
      <w:autoSpaceDN w:val="0"/>
      <w:adjustRightInd w:val="0"/>
      <w:spacing w:after="0" w:line="240" w:lineRule="auto"/>
    </w:pPr>
    <w:rPr>
      <w:rFonts w:ascii="Arial" w:hAnsi="Arial" w:cs="Arial"/>
      <w:color w:val="000000"/>
      <w:sz w:val="24"/>
      <w:szCs w:val="24"/>
    </w:rPr>
  </w:style>
  <w:style w:type="paragraph" w:customStyle="1" w:styleId="Para">
    <w:name w:val="Para"/>
    <w:link w:val="ParaChar"/>
    <w:uiPriority w:val="4"/>
    <w:qFormat/>
    <w:rsid w:val="00F5796C"/>
    <w:pPr>
      <w:spacing w:before="120" w:after="120" w:line="260" w:lineRule="atLeast"/>
      <w:jc w:val="both"/>
    </w:pPr>
    <w:rPr>
      <w:rFonts w:ascii="Arial" w:hAnsi="Arial"/>
      <w:sz w:val="20"/>
      <w:lang w:val="en-GB"/>
    </w:rPr>
  </w:style>
  <w:style w:type="character" w:customStyle="1" w:styleId="ParaChar">
    <w:name w:val="Para Char"/>
    <w:basedOn w:val="DefaultParagraphFont"/>
    <w:link w:val="Para"/>
    <w:uiPriority w:val="4"/>
    <w:rsid w:val="00F5796C"/>
    <w:rPr>
      <w:rFonts w:ascii="Arial" w:hAnsi="Arial"/>
      <w:sz w:val="20"/>
      <w:lang w:val="en-GB"/>
    </w:rPr>
  </w:style>
  <w:style w:type="paragraph" w:styleId="NormalWeb">
    <w:name w:val="Normal (Web)"/>
    <w:basedOn w:val="Normal"/>
    <w:uiPriority w:val="99"/>
    <w:unhideWhenUsed/>
    <w:rsid w:val="00F5796C"/>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ListParagraph">
    <w:name w:val="List Paragraph"/>
    <w:aliases w:val="Bullet OFM,List Paragraph (numbered (a)),WB Para,List Paragraph2"/>
    <w:basedOn w:val="Normal"/>
    <w:link w:val="ListParagraphChar"/>
    <w:uiPriority w:val="34"/>
    <w:qFormat/>
    <w:rsid w:val="00F5796C"/>
    <w:pPr>
      <w:ind w:left="720"/>
      <w:contextualSpacing/>
    </w:pPr>
    <w:rPr>
      <w:lang w:val="en-US"/>
    </w:rPr>
  </w:style>
  <w:style w:type="character" w:customStyle="1" w:styleId="ListParagraphChar">
    <w:name w:val="List Paragraph Char"/>
    <w:aliases w:val="Bullet OFM Char,List Paragraph (numbered (a)) Char,WB Para Char,List Paragraph2 Char"/>
    <w:link w:val="ListParagraph"/>
    <w:uiPriority w:val="34"/>
    <w:locked/>
    <w:rsid w:val="00F5796C"/>
  </w:style>
  <w:style w:type="character" w:customStyle="1" w:styleId="cf01">
    <w:name w:val="cf01"/>
    <w:rsid w:val="00F5796C"/>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4911AF"/>
    <w:rPr>
      <w:rFonts w:asciiTheme="majorHAnsi" w:eastAsiaTheme="majorEastAsia" w:hAnsiTheme="majorHAnsi" w:cstheme="majorBidi"/>
      <w:i/>
      <w:iCs/>
      <w:color w:val="2F5496" w:themeColor="accent1" w:themeShade="BF"/>
      <w:lang w:val="en-GB"/>
    </w:rPr>
  </w:style>
  <w:style w:type="paragraph" w:styleId="BalloonText">
    <w:name w:val="Balloon Text"/>
    <w:basedOn w:val="Normal"/>
    <w:link w:val="BalloonTextChar"/>
    <w:uiPriority w:val="99"/>
    <w:semiHidden/>
    <w:unhideWhenUsed/>
    <w:rsid w:val="0006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6B"/>
    <w:rPr>
      <w:rFonts w:ascii="Segoe UI" w:hAnsi="Segoe UI" w:cs="Segoe UI"/>
      <w:sz w:val="18"/>
      <w:szCs w:val="18"/>
      <w:lang w:val="en-GB"/>
    </w:rPr>
  </w:style>
  <w:style w:type="character" w:styleId="Strong">
    <w:name w:val="Strong"/>
    <w:basedOn w:val="DefaultParagraphFont"/>
    <w:uiPriority w:val="22"/>
    <w:qFormat/>
    <w:rsid w:val="00C76BAA"/>
    <w:rPr>
      <w:b/>
      <w:bCs/>
    </w:rPr>
  </w:style>
  <w:style w:type="paragraph" w:customStyle="1" w:styleId="UNWomenFootnote">
    <w:name w:val="UN Women Footnote"/>
    <w:basedOn w:val="Normal"/>
    <w:qFormat/>
    <w:rsid w:val="00C76BAA"/>
    <w:pPr>
      <w:spacing w:after="0" w:line="240" w:lineRule="auto"/>
      <w:jc w:val="both"/>
    </w:pPr>
    <w:rPr>
      <w:rFonts w:ascii="Arial" w:eastAsia="Times New Roman" w:hAnsi="Arial" w:cs="Arial"/>
      <w:sz w:val="18"/>
      <w:lang w:eastAsia="en-GB"/>
    </w:rPr>
  </w:style>
  <w:style w:type="paragraph" w:styleId="Revision">
    <w:name w:val="Revision"/>
    <w:hidden/>
    <w:uiPriority w:val="99"/>
    <w:semiHidden/>
    <w:rsid w:val="00B929D7"/>
    <w:pPr>
      <w:spacing w:after="0" w:line="240" w:lineRule="auto"/>
    </w:pPr>
    <w:rPr>
      <w:lang w:val="en-GB"/>
    </w:rPr>
  </w:style>
  <w:style w:type="paragraph" w:styleId="NoSpacing">
    <w:name w:val="No Spacing"/>
    <w:link w:val="NoSpacingChar"/>
    <w:uiPriority w:val="1"/>
    <w:qFormat/>
    <w:rsid w:val="00227E82"/>
    <w:pPr>
      <w:spacing w:after="0" w:line="240" w:lineRule="auto"/>
    </w:pPr>
    <w:rPr>
      <w:rFonts w:eastAsiaTheme="minorEastAsia"/>
    </w:rPr>
  </w:style>
  <w:style w:type="character" w:customStyle="1" w:styleId="NoSpacingChar">
    <w:name w:val="No Spacing Char"/>
    <w:basedOn w:val="DefaultParagraphFont"/>
    <w:link w:val="NoSpacing"/>
    <w:uiPriority w:val="1"/>
    <w:rsid w:val="00227E82"/>
    <w:rPr>
      <w:rFonts w:eastAsiaTheme="minorEastAsia"/>
    </w:rPr>
  </w:style>
  <w:style w:type="character" w:customStyle="1" w:styleId="UnresolvedMention1">
    <w:name w:val="Unresolved Mention1"/>
    <w:basedOn w:val="DefaultParagraphFont"/>
    <w:uiPriority w:val="99"/>
    <w:semiHidden/>
    <w:unhideWhenUsed/>
    <w:rsid w:val="000A08F4"/>
    <w:rPr>
      <w:color w:val="605E5C"/>
      <w:shd w:val="clear" w:color="auto" w:fill="E1DFDD"/>
    </w:rPr>
  </w:style>
  <w:style w:type="table" w:styleId="TableGrid">
    <w:name w:val="Table Grid"/>
    <w:basedOn w:val="TableNormal"/>
    <w:uiPriority w:val="39"/>
    <w:rsid w:val="00656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2A0990"/>
    <w:pPr>
      <w:spacing w:after="200" w:line="273" w:lineRule="auto"/>
    </w:pPr>
    <w:rPr>
      <w:rFonts w:ascii="Calibri" w:eastAsia="Arial Unicode MS" w:hAnsi="Calibri" w:cs="Calibri"/>
      <w:lang w:val="en-US"/>
    </w:rPr>
  </w:style>
  <w:style w:type="character" w:customStyle="1" w:styleId="CommentSubjectChar1">
    <w:name w:val="Comment Subject Char1"/>
    <w:basedOn w:val="CommentTextChar"/>
    <w:uiPriority w:val="99"/>
    <w:semiHidden/>
    <w:rsid w:val="002A0990"/>
    <w:rPr>
      <w:b/>
      <w:bCs/>
      <w:sz w:val="20"/>
      <w:szCs w:val="20"/>
      <w:lang w:val="en-GB"/>
    </w:rPr>
  </w:style>
  <w:style w:type="character" w:styleId="FollowedHyperlink">
    <w:name w:val="FollowedHyperlink"/>
    <w:basedOn w:val="DefaultParagraphFont"/>
    <w:uiPriority w:val="99"/>
    <w:semiHidden/>
    <w:unhideWhenUsed/>
    <w:rsid w:val="00D11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072">
      <w:bodyDiv w:val="1"/>
      <w:marLeft w:val="0"/>
      <w:marRight w:val="0"/>
      <w:marTop w:val="0"/>
      <w:marBottom w:val="0"/>
      <w:divBdr>
        <w:top w:val="none" w:sz="0" w:space="0" w:color="auto"/>
        <w:left w:val="none" w:sz="0" w:space="0" w:color="auto"/>
        <w:bottom w:val="none" w:sz="0" w:space="0" w:color="auto"/>
        <w:right w:val="none" w:sz="0" w:space="0" w:color="auto"/>
      </w:divBdr>
    </w:div>
    <w:div w:id="203834585">
      <w:bodyDiv w:val="1"/>
      <w:marLeft w:val="0"/>
      <w:marRight w:val="0"/>
      <w:marTop w:val="0"/>
      <w:marBottom w:val="0"/>
      <w:divBdr>
        <w:top w:val="none" w:sz="0" w:space="0" w:color="auto"/>
        <w:left w:val="none" w:sz="0" w:space="0" w:color="auto"/>
        <w:bottom w:val="none" w:sz="0" w:space="0" w:color="auto"/>
        <w:right w:val="none" w:sz="0" w:space="0" w:color="auto"/>
      </w:divBdr>
    </w:div>
    <w:div w:id="448552465">
      <w:bodyDiv w:val="1"/>
      <w:marLeft w:val="0"/>
      <w:marRight w:val="0"/>
      <w:marTop w:val="0"/>
      <w:marBottom w:val="0"/>
      <w:divBdr>
        <w:top w:val="none" w:sz="0" w:space="0" w:color="auto"/>
        <w:left w:val="none" w:sz="0" w:space="0" w:color="auto"/>
        <w:bottom w:val="none" w:sz="0" w:space="0" w:color="auto"/>
        <w:right w:val="none" w:sz="0" w:space="0" w:color="auto"/>
      </w:divBdr>
    </w:div>
    <w:div w:id="928196323">
      <w:bodyDiv w:val="1"/>
      <w:marLeft w:val="0"/>
      <w:marRight w:val="0"/>
      <w:marTop w:val="0"/>
      <w:marBottom w:val="0"/>
      <w:divBdr>
        <w:top w:val="none" w:sz="0" w:space="0" w:color="auto"/>
        <w:left w:val="none" w:sz="0" w:space="0" w:color="auto"/>
        <w:bottom w:val="none" w:sz="0" w:space="0" w:color="auto"/>
        <w:right w:val="none" w:sz="0" w:space="0" w:color="auto"/>
      </w:divBdr>
    </w:div>
    <w:div w:id="1142650042">
      <w:bodyDiv w:val="1"/>
      <w:marLeft w:val="0"/>
      <w:marRight w:val="0"/>
      <w:marTop w:val="0"/>
      <w:marBottom w:val="0"/>
      <w:divBdr>
        <w:top w:val="none" w:sz="0" w:space="0" w:color="auto"/>
        <w:left w:val="none" w:sz="0" w:space="0" w:color="auto"/>
        <w:bottom w:val="none" w:sz="0" w:space="0" w:color="auto"/>
        <w:right w:val="none" w:sz="0" w:space="0" w:color="auto"/>
      </w:divBdr>
    </w:div>
    <w:div w:id="134166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svg"/><Relationship Id="rId26" Type="http://schemas.openxmlformats.org/officeDocument/2006/relationships/hyperlink" Target="https://aspi.mk/wp-content/uploads/2022/04/%D0%9C%D0%B5%D1%82%D0%BE%D0%B4%D0%BE%D0%BB%D0%BE%D0%B3%D0%B8%D1%98%D0%B0-%D0%B7%D0%B0-%D1%81%D0%BF%D1%80%D0%BE%D0%B2%D0%B5%D0%B4%D1%83%D0%B2%D0%B0%D1%9A%D0%B5-%D0%BD%D0%B0-%D0%BC%D0%BE%D0%BD%D0%B8%D1%82%D0%BE%D1%80%D0%B8%D0%BD%D0%B3.pdf" TargetMode="External"/><Relationship Id="rId39" Type="http://schemas.openxmlformats.org/officeDocument/2006/relationships/image" Target="media/image90.png"/><Relationship Id="rId21" Type="http://schemas.openxmlformats.org/officeDocument/2006/relationships/diagramLayout" Target="diagrams/layout1.xm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1.xml"/><Relationship Id="rId29" Type="http://schemas.openxmlformats.org/officeDocument/2006/relationships/hyperlink" Target="https://aspi.mk/wp-content/uploads/2022/10/%D0%90%D0%BD%D0%B0%D0%BB%D0%B8%D0%B7%D0%B0-%D0%BD%D0%B0-%D0%BF%D1%80%D0%B8%D0%BC%D0%B5%D0%BD%D0%B0%D1%82%D0%B0-%D0%BD%D0%B0-%D0%97%D0%A1%D0%9F%D0%98%D0%88%D0%9A-%D1%81%D0%BE-%D0%BF%D1%80%D0%B5%D0%BF%D0%BE%D1%80%D0%B0%D0%BA%D0%B8-%D0%B7%D0%B0-%D1%83%D0%BD%D0%B0%D0%BF%D1%80%D0%B5%D0%B4%D1%83%D0%B2%D0%B0%D1%9A%D0%B5-%D0%BD%D0%B0-%D1%81%D0%B8%D1%81%D1%82%D0%B5%D0%BC%D0%BE%D1%82-%D0%B7%D0%B0-%D1%81%D0%BB%D0%BE%D0%B1%D0%BE%D0%B4%D0%B5%D0%BD-%D0%BF%D1%80%D0%B8%D1%81%D1%82%D0%B0%D0%BF-%D0%B4%D0%BE-%D0%B8%D0%BD%D1%84%D0%BE%D1%80%D0%BC%D0%B0%D1%86%D0%B8%D0%B8%D1%82%D0%B5.pdf" TargetMode="External"/><Relationship Id="rId41" Type="http://schemas.openxmlformats.org/officeDocument/2006/relationships/image" Target="media/image110.png"/><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diagramDrawing" Target="diagrams/drawing1.xm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image" Target="media/image100.pn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diagramColors" Target="diagrams/colors1.xml"/><Relationship Id="rId28" Type="http://schemas.openxmlformats.org/officeDocument/2006/relationships/image" Target="media/image5.png"/><Relationship Id="rId36" Type="http://schemas.openxmlformats.org/officeDocument/2006/relationships/image" Target="media/image9.png"/><Relationship Id="rId19" Type="http://schemas.openxmlformats.org/officeDocument/2006/relationships/chart" Target="charts/chart1.xml"/><Relationship Id="rId31"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chart" Target="charts/chart3.xml"/><Relationship Id="rId30" Type="http://schemas.openxmlformats.org/officeDocument/2006/relationships/hyperlink" Target="http://www.data.gov.mk" TargetMode="External"/><Relationship Id="rId35" Type="http://schemas.openxmlformats.org/officeDocument/2006/relationships/image" Target="media/image80.png"/><Relationship Id="rId43" Type="http://schemas.openxmlformats.org/officeDocument/2006/relationships/theme" Target="theme/theme1.xml"/><Relationship Id="rId48"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footer" Target="footer1.xml"/><Relationship Id="rId38"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s://mioa.gov.mk/?q=mk/node/2103" TargetMode="External"/><Relationship Id="rId13" Type="http://schemas.openxmlformats.org/officeDocument/2006/relationships/hyperlink" Target="https://www.sobranie.mk/content/izvestai/IZVESTAJ%202020%20SAJT.pdf" TargetMode="External"/><Relationship Id="rId18" Type="http://schemas.openxmlformats.org/officeDocument/2006/relationships/hyperlink" Target="https://www.ccc.org.mk/images/stories/akt22.pdf" TargetMode="External"/><Relationship Id="rId3" Type="http://schemas.openxmlformats.org/officeDocument/2006/relationships/hyperlink" Target="https://ovp.gov.mk/nap/%d0%bd%d0%b0%d1%86%d0%b8%d0%be%d0%bd%d0%b0%d0%bb%d0%b5%d0%bd-%d0%b0%d0%ba%d1%86%d0%b8%d1%81%d0%ba%d0%b8-%d0%bf%d0%bb%d0%b0%d0%bd-%d0%b7%d0%b0-%d0%be%d1%82%d0%b2%d0%be%d1%80%d0%b5%d0%bd%d0%be-%d0%b2/" TargetMode="External"/><Relationship Id="rId21" Type="http://schemas.openxmlformats.org/officeDocument/2006/relationships/hyperlink" Target="https://aspi.mk/wp-content/uploads/2022/10/%D0%90%D0%BD%D0%B0%D0%BB%D0%B8%D0%B7%D0%B0-%D0%BD%D0%B0-%D0%BF%D1%80%D0%B8%D0%BC%D0%B5%D0%BD%D0%B0%D1%82%D0%B0-%D0%BD%D0%B0-%D0%97%D0%A1%D0%9F%D0%98%D0%88%D0%9A-%D1%81%D0%BE-%D0%BF%D1%80%D0%B5%D0%BF%D0%BE%D1%80%D0%B0%D0%BA%D0%B8-%D0%B7%D0%B0-%D1%83%D0%BD%D0%B0%D0%BF%D1%80%D0%B5%D0%B4%D1%83%D0%B2%D0%B0%D1%9A%D0%B5-%D0%BD%D0%B0-%D1%81%D0%B8%D1%81%D1%82%D0%B5%D0%BC%D0%BE%D1%82-%D0%B7%D0%B0-%D1%81%D0%BB%D0%BE%D0%B1%D0%BE%D0%B4%D0%B5%D0%BD-%D0%BF%D1%80%D0%B8%D1%81%D1%82%D0%B0%D0%BF-%D0%B4%D0%BE-%D0%B8%D0%BD%D1%84%D0%BE%D1%80%D0%BC%D0%B0%D1%86%D0%B8%D0%B8%D1%82%D0%B5.pdf" TargetMode="External"/><Relationship Id="rId7" Type="http://schemas.openxmlformats.org/officeDocument/2006/relationships/hyperlink" Target="https://op.europa.eu/en/publication-detail/-/publication/27a0545e-03bf-425f-8b09-7cef6f0870af" TargetMode="External"/><Relationship Id="rId12" Type="http://schemas.openxmlformats.org/officeDocument/2006/relationships/hyperlink" Target="https://eur-lex.europa.eu/legal-content/EN/TXT/PDF/?uri=CELEX:32006L0054&amp;from=EN" TargetMode="External"/><Relationship Id="rId17" Type="http://schemas.openxmlformats.org/officeDocument/2006/relationships/hyperlink" Target="https://aspi.mk/wp-content/uploads/2022/04/%D0%9C%D0%B5%D1%82%D0%BE%D0%B4%D0%BE%D0%BB%D0%BE%D0%B3%D0%B8%D1%98%D0%B0-%D0%B7%D0%B0-%D1%81%D0%BF%D1%80%D0%BE%D0%B2%D0%B5%D0%B4%D1%83%D0%B2%D0%B0%D1%9A%D0%B5-%D0%BD%D0%B0-%D0%BC%D0%BE%D0%BD%D0%B8%D1%82%D0%BE%D1%80%D0%B8%D0%BD%D0%B3.pdf" TargetMode="External"/><Relationship Id="rId2" Type="http://schemas.openxmlformats.org/officeDocument/2006/relationships/hyperlink" Target="https://dksk.mk" TargetMode="External"/><Relationship Id="rId16" Type="http://schemas.openxmlformats.org/officeDocument/2006/relationships/hyperlink" Target="https://www.sigmaweb.org/publications/Monitoring-Report-2021-Republic-of-North-Macedonia.pdf%20.p" TargetMode="External"/><Relationship Id="rId20" Type="http://schemas.openxmlformats.org/officeDocument/2006/relationships/hyperlink" Target="https://metamorphosis.org.mk/wp-content/uploads/2022/09/mk-executive-2192022.pdf" TargetMode="External"/><Relationship Id="rId1" Type="http://schemas.openxmlformats.org/officeDocument/2006/relationships/hyperlink" Target="https://www.sep.gov.mk/post/?id=8814" TargetMode="External"/><Relationship Id="rId6" Type="http://schemas.openxmlformats.org/officeDocument/2006/relationships/hyperlink" Target="https://finance.gov.mk/wp-content/uploads/2021/12/%D0%A0%D0%B5%D0%B2%D0%B8%D0%B4%D0%B8%D1%80%D0%B0%D0%BD%D0%B0-%D0%A4%D0%B8%D1%81%D0%BA%D0%B0%D0%BB%D0%BD%D0%B0-%D1%81%D1%82%D1%80%D0%B0%D1%82%D0%B5%D0%B3%D0%B8%D1%98%D0%B0-%D0%BD%D0%B0-%D0%A0%D0%A1%D0%9C-%D0%B7%D0%B0-2022-2024-%D1%81%D0%BE-%D0%B8%D0%B7%D0%B3%D0%BB%D0%B5%D0%B4%D0%B8-%D0%B4%D0%BE-2026-1-1.pdf" TargetMode="External"/><Relationship Id="rId11" Type="http://schemas.openxmlformats.org/officeDocument/2006/relationships/hyperlink" Target="https://neighbourhood-enlargement.ec.europa.eu/north-macedonia-report-2022_en" TargetMode="External"/><Relationship Id="rId5" Type="http://schemas.openxmlformats.org/officeDocument/2006/relationships/hyperlink" Target="https://finance.gov.mk/wp-content/uploads/2021/01/Strategija_za_reforma_na_danocniot_sistem_2021-2025_usvoena_od_VLADA.pdf" TargetMode="External"/><Relationship Id="rId15" Type="http://schemas.openxmlformats.org/officeDocument/2006/relationships/hyperlink" Target="https://neighbourhood-enlargement.ec.europa.eu/north-macedonia-report-2022_en" TargetMode="External"/><Relationship Id="rId10" Type="http://schemas.openxmlformats.org/officeDocument/2006/relationships/hyperlink" Target="https://mioa.gov.mk/sites/default/files/pbl_files/documents/rja/2_inrform.pdf" TargetMode="External"/><Relationship Id="rId19" Type="http://schemas.openxmlformats.org/officeDocument/2006/relationships/hyperlink" Target="https://meta.mk/cgk-aktivnata-transparentnost-na-instituciite-godinava-e-podobrena/" TargetMode="External"/><Relationship Id="rId4" Type="http://schemas.openxmlformats.org/officeDocument/2006/relationships/hyperlink" Target="https://www.sep.gov.mk/post/?id=13" TargetMode="External"/><Relationship Id="rId9" Type="http://schemas.openxmlformats.org/officeDocument/2006/relationships/hyperlink" Target="https://mioa.gov.mk/sites/default/files/pbl_files/documents/rja/povik.pdf" TargetMode="External"/><Relationship Id="rId14" Type="http://schemas.openxmlformats.org/officeDocument/2006/relationships/hyperlink" Target="https://www.sobranie.mk/content/izvestai/IZVESTAJ%202021.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spPr>
            <a:solidFill>
              <a:schemeClr val="accent1">
                <a:alpha val="74000"/>
              </a:schemeClr>
            </a:solidFill>
            <a:ln>
              <a:noFill/>
            </a:ln>
            <a:effectLst>
              <a:innerShdw blurRad="114300">
                <a:schemeClr val="accent1">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Sheet1!$A$1:$A$5</c:f>
              <c:numCache>
                <c:formatCode>General</c:formatCode>
                <c:ptCount val="5"/>
                <c:pt idx="0">
                  <c:v>2018</c:v>
                </c:pt>
                <c:pt idx="1">
                  <c:v>2019</c:v>
                </c:pt>
                <c:pt idx="2">
                  <c:v>2020</c:v>
                </c:pt>
                <c:pt idx="3">
                  <c:v>2021</c:v>
                </c:pt>
                <c:pt idx="4">
                  <c:v>2022</c:v>
                </c:pt>
              </c:numCache>
            </c:numRef>
          </c:cat>
          <c:val>
            <c:numRef>
              <c:f>Sheet1!$B$1:$B$5</c:f>
              <c:numCache>
                <c:formatCode>0%</c:formatCode>
                <c:ptCount val="5"/>
                <c:pt idx="0">
                  <c:v>0.65</c:v>
                </c:pt>
                <c:pt idx="1">
                  <c:v>0.97</c:v>
                </c:pt>
                <c:pt idx="2">
                  <c:v>0.39</c:v>
                </c:pt>
                <c:pt idx="3">
                  <c:v>0.47</c:v>
                </c:pt>
                <c:pt idx="4">
                  <c:v>0.48</c:v>
                </c:pt>
              </c:numCache>
            </c:numRef>
          </c:val>
          <c:extLst>
            <c:ext xmlns:c16="http://schemas.microsoft.com/office/drawing/2014/chart" uri="{C3380CC4-5D6E-409C-BE32-E72D297353CC}">
              <c16:uniqueId val="{00000000-3400-4373-915C-8D8DFEA7017B}"/>
            </c:ext>
          </c:extLst>
        </c:ser>
        <c:dLbls>
          <c:showLegendKey val="0"/>
          <c:showVal val="1"/>
          <c:showCatName val="0"/>
          <c:showSerName val="0"/>
          <c:showPercent val="0"/>
          <c:showBubbleSize val="0"/>
        </c:dLbls>
        <c:axId val="461559512"/>
        <c:axId val="461561672"/>
      </c:areaChart>
      <c:catAx>
        <c:axId val="46155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20" normalizeH="0" baseline="0">
                <a:solidFill>
                  <a:schemeClr val="tx1">
                    <a:lumMod val="65000"/>
                    <a:lumOff val="35000"/>
                  </a:schemeClr>
                </a:solidFill>
                <a:latin typeface="+mn-lt"/>
                <a:ea typeface="+mn-ea"/>
                <a:cs typeface="+mn-cs"/>
              </a:defRPr>
            </a:pPr>
            <a:endParaRPr lang="en-US"/>
          </a:p>
        </c:txPr>
        <c:crossAx val="461561672"/>
        <c:crosses val="autoZero"/>
        <c:auto val="1"/>
        <c:lblAlgn val="ctr"/>
        <c:lblOffset val="100"/>
        <c:noMultiLvlLbl val="0"/>
      </c:catAx>
      <c:valAx>
        <c:axId val="46156167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61559512"/>
        <c:crosses val="autoZero"/>
        <c:crossBetween val="midCat"/>
      </c:valAx>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Примена на скратена постапка за донесување на закони на предлог на Владата (%)</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0%</c:formatCode>
                <c:ptCount val="5"/>
                <c:pt idx="0">
                  <c:v>0.7</c:v>
                </c:pt>
                <c:pt idx="1">
                  <c:v>0.67</c:v>
                </c:pt>
                <c:pt idx="2">
                  <c:v>0.36</c:v>
                </c:pt>
                <c:pt idx="3">
                  <c:v>0.53</c:v>
                </c:pt>
                <c:pt idx="4">
                  <c:v>0.6</c:v>
                </c:pt>
              </c:numCache>
            </c:numRef>
          </c:val>
          <c:extLst>
            <c:ext xmlns:c16="http://schemas.microsoft.com/office/drawing/2014/chart" uri="{C3380CC4-5D6E-409C-BE32-E72D297353CC}">
              <c16:uniqueId val="{00000000-BCF0-44CB-A6F4-7DC90A9E7CEE}"/>
            </c:ext>
          </c:extLst>
        </c:ser>
        <c:ser>
          <c:idx val="1"/>
          <c:order val="1"/>
          <c:tx>
            <c:strRef>
              <c:f>Sheet1!$C$1</c:f>
              <c:strCache>
                <c:ptCount val="1"/>
                <c:pt idx="0">
                  <c:v>Процент на закои изменети во рок од 1 година од донесувањето</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0%</c:formatCode>
                <c:ptCount val="5"/>
                <c:pt idx="0">
                  <c:v>0.46</c:v>
                </c:pt>
                <c:pt idx="1">
                  <c:v>0.28999999999999998</c:v>
                </c:pt>
                <c:pt idx="2">
                  <c:v>0</c:v>
                </c:pt>
                <c:pt idx="3">
                  <c:v>0.15</c:v>
                </c:pt>
                <c:pt idx="4">
                  <c:v>0.25</c:v>
                </c:pt>
              </c:numCache>
            </c:numRef>
          </c:val>
          <c:extLst>
            <c:ext xmlns:c16="http://schemas.microsoft.com/office/drawing/2014/chart" uri="{C3380CC4-5D6E-409C-BE32-E72D297353CC}">
              <c16:uniqueId val="{00000001-BCF0-44CB-A6F4-7DC90A9E7CEE}"/>
            </c:ext>
          </c:extLst>
        </c:ser>
        <c:dLbls>
          <c:showLegendKey val="0"/>
          <c:showVal val="0"/>
          <c:showCatName val="0"/>
          <c:showSerName val="0"/>
          <c:showPercent val="0"/>
          <c:showBubbleSize val="0"/>
        </c:dLbls>
        <c:gapWidth val="219"/>
        <c:overlap val="-27"/>
        <c:axId val="1640187728"/>
        <c:axId val="1640208400"/>
      </c:barChart>
      <c:catAx>
        <c:axId val="164018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208400"/>
        <c:crosses val="autoZero"/>
        <c:auto val="1"/>
        <c:lblAlgn val="ctr"/>
        <c:lblOffset val="100"/>
        <c:noMultiLvlLbl val="0"/>
      </c:catAx>
      <c:valAx>
        <c:axId val="1640208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18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643" b="0" i="0" u="none" strike="noStrike" kern="1200" spc="0" baseline="0">
                <a:solidFill>
                  <a:schemeClr val="tx1">
                    <a:lumMod val="65000"/>
                    <a:lumOff val="35000"/>
                  </a:schemeClr>
                </a:solidFill>
                <a:latin typeface="+mn-lt"/>
                <a:ea typeface="+mn-ea"/>
                <a:cs typeface="+mn-cs"/>
              </a:defRPr>
            </a:pPr>
            <a:r>
              <a:rPr lang="mk-MK" sz="671" b="1"/>
              <a:t>Мониторинг</a:t>
            </a:r>
            <a:r>
              <a:rPr lang="mk-MK" sz="671" b="1" baseline="0"/>
              <a:t> на државни институции спроведен од АЗПСПИЈК 2022 </a:t>
            </a:r>
            <a:endParaRPr lang="en-US" sz="700" b="1" baseline="0"/>
          </a:p>
          <a:p>
            <a:pPr>
              <a:defRPr sz="643" b="0" i="0" u="none" strike="noStrike" kern="1200" spc="0" baseline="0">
                <a:solidFill>
                  <a:schemeClr val="tx1">
                    <a:lumMod val="65000"/>
                    <a:lumOff val="35000"/>
                  </a:schemeClr>
                </a:solidFill>
                <a:latin typeface="+mn-lt"/>
                <a:ea typeface="+mn-ea"/>
                <a:cs typeface="+mn-cs"/>
              </a:defRPr>
            </a:pPr>
            <a:r>
              <a:rPr lang="mk-MK" sz="671" b="1" baseline="0"/>
              <a:t>(вкупно 120 институции)</a:t>
            </a:r>
            <a:endParaRPr lang="en-US" sz="700" b="1"/>
          </a:p>
        </c:rich>
      </c:tx>
      <c:layout>
        <c:manualLayout>
          <c:xMode val="edge"/>
          <c:yMode val="edge"/>
          <c:x val="0.24214603479604838"/>
          <c:y val="7.1551968503937011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Sheet1!$A$3:$A$6</c:f>
              <c:strCache>
                <c:ptCount val="4"/>
                <c:pt idx="0">
                  <c:v>Вкупен број на институции со ВИСОКО НИВО НА ТРАНСПАРЕНТНОСТ</c:v>
                </c:pt>
                <c:pt idx="1">
                  <c:v>Вкупен број на институции со СРЕДНО НИВО НА ТРАНСПАРЕНТНОСТ</c:v>
                </c:pt>
                <c:pt idx="2">
                  <c:v>Вкупен број на институции со НИСКО НИВО НА ТРАНСПАРЕНТНОСТ</c:v>
                </c:pt>
                <c:pt idx="3">
                  <c:v>Вкупен број на институции со МНОГУ НИСКО НИВО НА ТРАНСПАРЕНТНОСТ</c:v>
                </c:pt>
              </c:strCache>
            </c:strRef>
          </c:cat>
          <c:val>
            <c:numRef>
              <c:f>Sheet1!$B$3:$B$6</c:f>
              <c:numCache>
                <c:formatCode>General</c:formatCode>
                <c:ptCount val="4"/>
                <c:pt idx="0">
                  <c:v>25</c:v>
                </c:pt>
                <c:pt idx="1">
                  <c:v>54</c:v>
                </c:pt>
                <c:pt idx="2">
                  <c:v>30</c:v>
                </c:pt>
                <c:pt idx="3">
                  <c:v>11</c:v>
                </c:pt>
              </c:numCache>
            </c:numRef>
          </c:val>
          <c:extLst>
            <c:ext xmlns:c16="http://schemas.microsoft.com/office/drawing/2014/chart" uri="{C3380CC4-5D6E-409C-BE32-E72D297353CC}">
              <c16:uniqueId val="{00000000-4DD3-435B-A14F-32FAB1A2E429}"/>
            </c:ext>
          </c:extLst>
        </c:ser>
        <c:dLbls>
          <c:showLegendKey val="0"/>
          <c:showVal val="0"/>
          <c:showCatName val="0"/>
          <c:showSerName val="0"/>
          <c:showPercent val="0"/>
          <c:showBubbleSize val="0"/>
        </c:dLbls>
        <c:gapWidth val="182"/>
        <c:axId val="1418405344"/>
        <c:axId val="1"/>
      </c:barChart>
      <c:catAx>
        <c:axId val="1418405344"/>
        <c:scaling>
          <c:orientation val="minMax"/>
        </c:scaling>
        <c:delete val="0"/>
        <c:axPos val="b"/>
        <c:numFmt formatCode="General" sourceLinked="1"/>
        <c:majorTickMark val="none"/>
        <c:minorTickMark val="none"/>
        <c:tickLblPos val="nextTo"/>
        <c:spPr>
          <a:noFill/>
          <a:ln w="9126" cap="flat" cmpd="sng" algn="ctr">
            <a:solidFill>
              <a:schemeClr val="tx1">
                <a:lumMod val="15000"/>
                <a:lumOff val="85000"/>
              </a:schemeClr>
            </a:solidFill>
            <a:round/>
          </a:ln>
          <a:effectLst/>
        </c:spPr>
        <c:txPr>
          <a:bodyPr rot="-60000000" spcFirstLastPara="1" vertOverflow="ellipsis" vert="horz" wrap="square" anchor="ctr" anchorCtr="1"/>
          <a:lstStyle/>
          <a:p>
            <a:pPr>
              <a:defRPr sz="575"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12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75" b="0" i="0" u="none" strike="noStrike" kern="1200" baseline="0">
                <a:solidFill>
                  <a:schemeClr val="tx1">
                    <a:lumMod val="65000"/>
                    <a:lumOff val="35000"/>
                  </a:schemeClr>
                </a:solidFill>
                <a:latin typeface="+mn-lt"/>
                <a:ea typeface="+mn-ea"/>
                <a:cs typeface="+mn-cs"/>
              </a:defRPr>
            </a:pPr>
            <a:endParaRPr lang="en-US"/>
          </a:p>
        </c:txPr>
        <c:crossAx val="1418405344"/>
        <c:crosses val="autoZero"/>
        <c:crossBetween val="between"/>
      </c:valAx>
      <c:spPr>
        <a:noFill/>
        <a:ln w="24335">
          <a:noFill/>
        </a:ln>
      </c:spPr>
    </c:plotArea>
    <c:plotVisOnly val="1"/>
    <c:dispBlanksAs val="gap"/>
    <c:showDLblsOverMax val="0"/>
  </c:chart>
  <c:spPr>
    <a:solidFill>
      <a:schemeClr val="bg1"/>
    </a:solidFill>
    <a:ln w="91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4">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a:lumMod val="50000"/>
      </cs:styleClr>
    </cs:fontRef>
    <cs:defRPr sz="10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
  <cs:dataPoint3D>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80803-D1A5-499B-BC28-4B6EA5D844DA}" type="doc">
      <dgm:prSet loTypeId="urn:microsoft.com/office/officeart/2005/8/layout/hList6" loCatId="list" qsTypeId="urn:microsoft.com/office/officeart/2005/8/quickstyle/3d2" qsCatId="3D" csTypeId="urn:microsoft.com/office/officeart/2005/8/colors/accent1_3" csCatId="accent1" phldr="1"/>
      <dgm:spPr/>
      <dgm:t>
        <a:bodyPr/>
        <a:lstStyle/>
        <a:p>
          <a:endParaRPr lang="en-US"/>
        </a:p>
      </dgm:t>
    </dgm:pt>
    <dgm:pt modelId="{6D8F4C09-81CB-43D9-A423-6AE8716E8CBC}">
      <dgm:prSet phldrT="[Text]" custT="1"/>
      <dgm:spPr/>
      <dgm:t>
        <a:bodyPr/>
        <a:lstStyle/>
        <a:p>
          <a:r>
            <a:rPr lang="mk-MK" sz="1400" b="1">
              <a:solidFill>
                <a:sysClr val="windowText" lastClr="000000"/>
              </a:solidFill>
            </a:rPr>
            <a:t>Стратегија за РЈА (2023-2030)</a:t>
          </a:r>
          <a:endParaRPr lang="en-US" sz="1400" b="1">
            <a:solidFill>
              <a:sysClr val="windowText" lastClr="000000"/>
            </a:solidFill>
          </a:endParaRPr>
        </a:p>
      </dgm:t>
    </dgm:pt>
    <dgm:pt modelId="{5C52C005-3352-4152-A4DE-C8960D21CDCE}" type="parTrans" cxnId="{E7A36C96-44B2-4ECE-9E8D-7B4E72D765F5}">
      <dgm:prSet/>
      <dgm:spPr/>
      <dgm:t>
        <a:bodyPr/>
        <a:lstStyle/>
        <a:p>
          <a:endParaRPr lang="en-US"/>
        </a:p>
      </dgm:t>
    </dgm:pt>
    <dgm:pt modelId="{B14C3640-E8BC-42A5-97B8-476485FAD20E}" type="sibTrans" cxnId="{E7A36C96-44B2-4ECE-9E8D-7B4E72D765F5}">
      <dgm:prSet/>
      <dgm:spPr/>
      <dgm:t>
        <a:bodyPr/>
        <a:lstStyle/>
        <a:p>
          <a:endParaRPr lang="en-US"/>
        </a:p>
      </dgm:t>
    </dgm:pt>
    <dgm:pt modelId="{4560D601-BB4E-45AF-91F1-5BEDF20A5536}">
      <dgm:prSet phldrT="[Text]" custT="1"/>
      <dgm:spPr/>
      <dgm:t>
        <a:bodyPr/>
        <a:lstStyle/>
        <a:p>
          <a:r>
            <a:rPr lang="mk-MK" sz="1200">
              <a:solidFill>
                <a:sysClr val="windowText" lastClr="000000"/>
              </a:solidFill>
            </a:rPr>
            <a:t>Поврзување на долгорочното, среднорочното и годишното планирање</a:t>
          </a:r>
          <a:endParaRPr lang="en-US" sz="1200">
            <a:solidFill>
              <a:sysClr val="windowText" lastClr="000000"/>
            </a:solidFill>
          </a:endParaRPr>
        </a:p>
      </dgm:t>
    </dgm:pt>
    <dgm:pt modelId="{669669CA-FC28-40C3-9729-D46A25F3A4C7}" type="parTrans" cxnId="{A60EF006-9681-4271-B5EB-AAFC183BC72C}">
      <dgm:prSet/>
      <dgm:spPr/>
      <dgm:t>
        <a:bodyPr/>
        <a:lstStyle/>
        <a:p>
          <a:endParaRPr lang="en-US"/>
        </a:p>
      </dgm:t>
    </dgm:pt>
    <dgm:pt modelId="{8F1F676E-F86D-4E85-BBC8-1188FA3289EE}" type="sibTrans" cxnId="{A60EF006-9681-4271-B5EB-AAFC183BC72C}">
      <dgm:prSet/>
      <dgm:spPr/>
      <dgm:t>
        <a:bodyPr/>
        <a:lstStyle/>
        <a:p>
          <a:endParaRPr lang="en-US"/>
        </a:p>
      </dgm:t>
    </dgm:pt>
    <dgm:pt modelId="{B503EFDC-A89D-4381-B5C9-1FF178E52765}">
      <dgm:prSet phldrT="[Text]" custT="1"/>
      <dgm:spPr/>
      <dgm:t>
        <a:bodyPr/>
        <a:lstStyle/>
        <a:p>
          <a:r>
            <a:rPr lang="mk-MK" sz="1200">
              <a:solidFill>
                <a:sysClr val="windowText" lastClr="000000"/>
              </a:solidFill>
            </a:rPr>
            <a:t>Јакнење на капацитетите за спроведување на правната рамка за подготвување, спроведување и следење на секторските стратегии </a:t>
          </a:r>
          <a:endParaRPr lang="en-US" sz="1200">
            <a:solidFill>
              <a:sysClr val="windowText" lastClr="000000"/>
            </a:solidFill>
          </a:endParaRPr>
        </a:p>
      </dgm:t>
    </dgm:pt>
    <dgm:pt modelId="{68C4CF2D-0F87-487A-A1DB-25A69F844EF4}" type="parTrans" cxnId="{7CD37305-F59E-42C1-8D11-E1FDB7D17BA9}">
      <dgm:prSet/>
      <dgm:spPr/>
      <dgm:t>
        <a:bodyPr/>
        <a:lstStyle/>
        <a:p>
          <a:endParaRPr lang="en-US"/>
        </a:p>
      </dgm:t>
    </dgm:pt>
    <dgm:pt modelId="{A1285368-3CE6-4551-83CD-707FE80D20EC}" type="sibTrans" cxnId="{7CD37305-F59E-42C1-8D11-E1FDB7D17BA9}">
      <dgm:prSet/>
      <dgm:spPr/>
      <dgm:t>
        <a:bodyPr/>
        <a:lstStyle/>
        <a:p>
          <a:endParaRPr lang="en-US"/>
        </a:p>
      </dgm:t>
    </dgm:pt>
    <dgm:pt modelId="{F1966DAB-FCAC-43A1-8851-E6290D9AE6FA}">
      <dgm:prSet phldrT="[Text]" custT="1"/>
      <dgm:spPr/>
      <dgm:t>
        <a:bodyPr/>
        <a:lstStyle/>
        <a:p>
          <a:r>
            <a:rPr lang="mk-MK" sz="1400" b="1">
              <a:solidFill>
                <a:sysClr val="windowText" lastClr="000000"/>
              </a:solidFill>
            </a:rPr>
            <a:t>Програма за реформа на УЈФ (2022-2025)</a:t>
          </a:r>
          <a:endParaRPr lang="en-US" sz="1400" b="1">
            <a:solidFill>
              <a:sysClr val="windowText" lastClr="000000"/>
            </a:solidFill>
          </a:endParaRPr>
        </a:p>
      </dgm:t>
    </dgm:pt>
    <dgm:pt modelId="{B1B857CF-D7EE-4D49-B34F-9C40D7B86B07}" type="parTrans" cxnId="{44990AED-869E-4343-ACB4-A562B54B7E4D}">
      <dgm:prSet/>
      <dgm:spPr/>
      <dgm:t>
        <a:bodyPr/>
        <a:lstStyle/>
        <a:p>
          <a:endParaRPr lang="en-US"/>
        </a:p>
      </dgm:t>
    </dgm:pt>
    <dgm:pt modelId="{9A6232E3-C08B-429D-9714-1B850A9A3053}" type="sibTrans" cxnId="{44990AED-869E-4343-ACB4-A562B54B7E4D}">
      <dgm:prSet/>
      <dgm:spPr/>
      <dgm:t>
        <a:bodyPr/>
        <a:lstStyle/>
        <a:p>
          <a:endParaRPr lang="en-US"/>
        </a:p>
      </dgm:t>
    </dgm:pt>
    <dgm:pt modelId="{46CB791A-C785-4860-A341-873C95721735}">
      <dgm:prSet phldrT="[Text]" custT="1"/>
      <dgm:spPr/>
      <dgm:t>
        <a:bodyPr/>
        <a:lstStyle/>
        <a:p>
          <a:r>
            <a:rPr lang="mk-MK" sz="1200">
              <a:solidFill>
                <a:sysClr val="windowText" lastClr="000000"/>
              </a:solidFill>
            </a:rPr>
            <a:t>Унапредување на среднорочното буџетско планирање </a:t>
          </a:r>
          <a:endParaRPr lang="en-US" sz="1200">
            <a:solidFill>
              <a:sysClr val="windowText" lastClr="000000"/>
            </a:solidFill>
          </a:endParaRPr>
        </a:p>
      </dgm:t>
    </dgm:pt>
    <dgm:pt modelId="{B01BD9F3-1FD7-4782-9318-B99406FFB720}" type="parTrans" cxnId="{689BD3AD-C27B-4EB9-A5EF-07D03DF29C7B}">
      <dgm:prSet/>
      <dgm:spPr/>
      <dgm:t>
        <a:bodyPr/>
        <a:lstStyle/>
        <a:p>
          <a:endParaRPr lang="en-US"/>
        </a:p>
      </dgm:t>
    </dgm:pt>
    <dgm:pt modelId="{3B877016-35F2-4EB9-AAB3-51680768B12C}" type="sibTrans" cxnId="{689BD3AD-C27B-4EB9-A5EF-07D03DF29C7B}">
      <dgm:prSet/>
      <dgm:spPr/>
      <dgm:t>
        <a:bodyPr/>
        <a:lstStyle/>
        <a:p>
          <a:endParaRPr lang="en-US"/>
        </a:p>
      </dgm:t>
    </dgm:pt>
    <dgm:pt modelId="{DE32802B-BF83-4836-8BE7-C24CC2D1FE31}">
      <dgm:prSet phldrT="[Text]" custT="1"/>
      <dgm:spPr/>
      <dgm:t>
        <a:bodyPr/>
        <a:lstStyle/>
        <a:p>
          <a:r>
            <a:rPr lang="mk-MK" sz="1200">
              <a:solidFill>
                <a:sysClr val="windowText" lastClr="000000"/>
              </a:solidFill>
            </a:rPr>
            <a:t>Подобрено буџетско планирање и развој на мерливи индикатори на успешност</a:t>
          </a:r>
          <a:endParaRPr lang="en-US" sz="1200">
            <a:solidFill>
              <a:sysClr val="windowText" lastClr="000000"/>
            </a:solidFill>
          </a:endParaRPr>
        </a:p>
      </dgm:t>
    </dgm:pt>
    <dgm:pt modelId="{D59F3433-526A-403C-A86D-7E416CD68AAD}" type="parTrans" cxnId="{80AEB5EF-FEFF-4A0F-A897-C170D72B9EC4}">
      <dgm:prSet/>
      <dgm:spPr/>
      <dgm:t>
        <a:bodyPr/>
        <a:lstStyle/>
        <a:p>
          <a:endParaRPr lang="en-US"/>
        </a:p>
      </dgm:t>
    </dgm:pt>
    <dgm:pt modelId="{EDD766F0-4AE8-425E-8BB4-DD6341F13C72}" type="sibTrans" cxnId="{80AEB5EF-FEFF-4A0F-A897-C170D72B9EC4}">
      <dgm:prSet/>
      <dgm:spPr/>
      <dgm:t>
        <a:bodyPr/>
        <a:lstStyle/>
        <a:p>
          <a:endParaRPr lang="en-US"/>
        </a:p>
      </dgm:t>
    </dgm:pt>
    <dgm:pt modelId="{F523420A-A08A-419E-B682-20C20C47F250}">
      <dgm:prSet phldrT="[Text]" custT="1"/>
      <dgm:spPr/>
      <dgm:t>
        <a:bodyPr/>
        <a:lstStyle/>
        <a:p>
          <a:r>
            <a:rPr lang="mk-MK" sz="1200">
              <a:solidFill>
                <a:sysClr val="windowText" lastClr="000000"/>
              </a:solidFill>
            </a:rPr>
            <a:t>Поврзување на секторското планирање со среднорочно буџетското планирање</a:t>
          </a:r>
          <a:endParaRPr lang="en-US" sz="1200">
            <a:solidFill>
              <a:sysClr val="windowText" lastClr="000000"/>
            </a:solidFill>
          </a:endParaRPr>
        </a:p>
      </dgm:t>
    </dgm:pt>
    <dgm:pt modelId="{75CAEB77-C380-4959-BE5F-FED08C344ACF}" type="parTrans" cxnId="{319F9699-D875-4D5E-8C11-7539A52B11D3}">
      <dgm:prSet/>
      <dgm:spPr/>
      <dgm:t>
        <a:bodyPr/>
        <a:lstStyle/>
        <a:p>
          <a:endParaRPr lang="en-US"/>
        </a:p>
      </dgm:t>
    </dgm:pt>
    <dgm:pt modelId="{74BE2D81-F09D-43DC-B1B2-1514D489F37F}" type="sibTrans" cxnId="{319F9699-D875-4D5E-8C11-7539A52B11D3}">
      <dgm:prSet/>
      <dgm:spPr/>
      <dgm:t>
        <a:bodyPr/>
        <a:lstStyle/>
        <a:p>
          <a:endParaRPr lang="en-US"/>
        </a:p>
      </dgm:t>
    </dgm:pt>
    <dgm:pt modelId="{E0C6431A-5741-4884-AF9A-29A67AFD58D5}">
      <dgm:prSet phldrT="[Text]" custT="1"/>
      <dgm:spPr/>
      <dgm:t>
        <a:bodyPr/>
        <a:lstStyle/>
        <a:p>
          <a:r>
            <a:rPr lang="mk-MK" sz="1200">
              <a:solidFill>
                <a:sysClr val="windowText" lastClr="000000"/>
              </a:solidFill>
            </a:rPr>
            <a:t>Буџетирање базирано на резултати</a:t>
          </a:r>
          <a:endParaRPr lang="en-US" sz="1200">
            <a:solidFill>
              <a:sysClr val="windowText" lastClr="000000"/>
            </a:solidFill>
          </a:endParaRPr>
        </a:p>
      </dgm:t>
    </dgm:pt>
    <dgm:pt modelId="{453A3183-D942-4772-8346-4EED70DF5FE4}" type="parTrans" cxnId="{5B94D377-C94C-4B0B-9BD9-CC03A61D1AEC}">
      <dgm:prSet/>
      <dgm:spPr/>
      <dgm:t>
        <a:bodyPr/>
        <a:lstStyle/>
        <a:p>
          <a:endParaRPr lang="en-US"/>
        </a:p>
      </dgm:t>
    </dgm:pt>
    <dgm:pt modelId="{57ECB52D-54D6-45C9-BD98-7ADEC5E17DC7}" type="sibTrans" cxnId="{5B94D377-C94C-4B0B-9BD9-CC03A61D1AEC}">
      <dgm:prSet/>
      <dgm:spPr/>
      <dgm:t>
        <a:bodyPr/>
        <a:lstStyle/>
        <a:p>
          <a:endParaRPr lang="en-US"/>
        </a:p>
      </dgm:t>
    </dgm:pt>
    <dgm:pt modelId="{ACD9640D-7EFC-42D3-BDFF-46D6561231AD}">
      <dgm:prSet phldrT="[Text]" custT="1"/>
      <dgm:spPr/>
      <dgm:t>
        <a:bodyPr/>
        <a:lstStyle/>
        <a:p>
          <a:r>
            <a:rPr lang="mk-MK" sz="1200">
              <a:solidFill>
                <a:sysClr val="windowText" lastClr="000000"/>
              </a:solidFill>
            </a:rPr>
            <a:t>Зајакнување на капацитети во МФ и буџетските корисници </a:t>
          </a:r>
          <a:endParaRPr lang="en-US" sz="1200">
            <a:solidFill>
              <a:sysClr val="windowText" lastClr="000000"/>
            </a:solidFill>
          </a:endParaRPr>
        </a:p>
      </dgm:t>
    </dgm:pt>
    <dgm:pt modelId="{63988EF6-5926-4838-B706-63F91A21EF11}" type="parTrans" cxnId="{F7473710-4002-4375-AF97-1AE778AA8B6C}">
      <dgm:prSet/>
      <dgm:spPr/>
      <dgm:t>
        <a:bodyPr/>
        <a:lstStyle/>
        <a:p>
          <a:endParaRPr lang="en-US"/>
        </a:p>
      </dgm:t>
    </dgm:pt>
    <dgm:pt modelId="{E599DFA4-C789-4CB3-8EFA-CC01CFF42CEA}" type="sibTrans" cxnId="{F7473710-4002-4375-AF97-1AE778AA8B6C}">
      <dgm:prSet/>
      <dgm:spPr/>
      <dgm:t>
        <a:bodyPr/>
        <a:lstStyle/>
        <a:p>
          <a:endParaRPr lang="en-US"/>
        </a:p>
      </dgm:t>
    </dgm:pt>
    <dgm:pt modelId="{1C64E62C-E95A-4FE8-8439-E0FF05B77FFA}" type="pres">
      <dgm:prSet presAssocID="{31480803-D1A5-499B-BC28-4B6EA5D844DA}" presName="Name0" presStyleCnt="0">
        <dgm:presLayoutVars>
          <dgm:dir/>
          <dgm:resizeHandles val="exact"/>
        </dgm:presLayoutVars>
      </dgm:prSet>
      <dgm:spPr/>
      <dgm:t>
        <a:bodyPr/>
        <a:lstStyle/>
        <a:p>
          <a:endParaRPr lang="en-US"/>
        </a:p>
      </dgm:t>
    </dgm:pt>
    <dgm:pt modelId="{E41D7389-960C-4A2B-8A78-424517F2DE5D}" type="pres">
      <dgm:prSet presAssocID="{6D8F4C09-81CB-43D9-A423-6AE8716E8CBC}" presName="node" presStyleLbl="node1" presStyleIdx="0" presStyleCnt="2">
        <dgm:presLayoutVars>
          <dgm:bulletEnabled val="1"/>
        </dgm:presLayoutVars>
      </dgm:prSet>
      <dgm:spPr/>
      <dgm:t>
        <a:bodyPr/>
        <a:lstStyle/>
        <a:p>
          <a:endParaRPr lang="en-US"/>
        </a:p>
      </dgm:t>
    </dgm:pt>
    <dgm:pt modelId="{C7B63A03-886E-44BC-B403-D08FBAD7428E}" type="pres">
      <dgm:prSet presAssocID="{B14C3640-E8BC-42A5-97B8-476485FAD20E}" presName="sibTrans" presStyleCnt="0"/>
      <dgm:spPr/>
    </dgm:pt>
    <dgm:pt modelId="{6B60B1AF-5781-4196-A97F-6D2E2FE3C82B}" type="pres">
      <dgm:prSet presAssocID="{F1966DAB-FCAC-43A1-8851-E6290D9AE6FA}" presName="node" presStyleLbl="node1" presStyleIdx="1" presStyleCnt="2">
        <dgm:presLayoutVars>
          <dgm:bulletEnabled val="1"/>
        </dgm:presLayoutVars>
      </dgm:prSet>
      <dgm:spPr/>
      <dgm:t>
        <a:bodyPr/>
        <a:lstStyle/>
        <a:p>
          <a:endParaRPr lang="en-US"/>
        </a:p>
      </dgm:t>
    </dgm:pt>
  </dgm:ptLst>
  <dgm:cxnLst>
    <dgm:cxn modelId="{6904C644-EE1D-4072-AE44-2420ECC7D370}" type="presOf" srcId="{4560D601-BB4E-45AF-91F1-5BEDF20A5536}" destId="{E41D7389-960C-4A2B-8A78-424517F2DE5D}" srcOrd="0" destOrd="1" presId="urn:microsoft.com/office/officeart/2005/8/layout/hList6"/>
    <dgm:cxn modelId="{F60838FC-A7EE-408C-A179-8398EEE9B416}" type="presOf" srcId="{31480803-D1A5-499B-BC28-4B6EA5D844DA}" destId="{1C64E62C-E95A-4FE8-8439-E0FF05B77FFA}" srcOrd="0" destOrd="0" presId="urn:microsoft.com/office/officeart/2005/8/layout/hList6"/>
    <dgm:cxn modelId="{4F6CEAF8-90CB-46D4-A651-8496F4AC29F9}" type="presOf" srcId="{6D8F4C09-81CB-43D9-A423-6AE8716E8CBC}" destId="{E41D7389-960C-4A2B-8A78-424517F2DE5D}" srcOrd="0" destOrd="0" presId="urn:microsoft.com/office/officeart/2005/8/layout/hList6"/>
    <dgm:cxn modelId="{319F9699-D875-4D5E-8C11-7539A52B11D3}" srcId="{6D8F4C09-81CB-43D9-A423-6AE8716E8CBC}" destId="{F523420A-A08A-419E-B682-20C20C47F250}" srcOrd="1" destOrd="0" parTransId="{75CAEB77-C380-4959-BE5F-FED08C344ACF}" sibTransId="{74BE2D81-F09D-43DC-B1B2-1514D489F37F}"/>
    <dgm:cxn modelId="{689BD3AD-C27B-4EB9-A5EF-07D03DF29C7B}" srcId="{F1966DAB-FCAC-43A1-8851-E6290D9AE6FA}" destId="{46CB791A-C785-4860-A341-873C95721735}" srcOrd="0" destOrd="0" parTransId="{B01BD9F3-1FD7-4782-9318-B99406FFB720}" sibTransId="{3B877016-35F2-4EB9-AAB3-51680768B12C}"/>
    <dgm:cxn modelId="{7CD37305-F59E-42C1-8D11-E1FDB7D17BA9}" srcId="{6D8F4C09-81CB-43D9-A423-6AE8716E8CBC}" destId="{B503EFDC-A89D-4381-B5C9-1FF178E52765}" srcOrd="2" destOrd="0" parTransId="{68C4CF2D-0F87-487A-A1DB-25A69F844EF4}" sibTransId="{A1285368-3CE6-4551-83CD-707FE80D20EC}"/>
    <dgm:cxn modelId="{173C65CC-94FE-4206-921C-E4C0B8938995}" type="presOf" srcId="{ACD9640D-7EFC-42D3-BDFF-46D6561231AD}" destId="{6B60B1AF-5781-4196-A97F-6D2E2FE3C82B}" srcOrd="0" destOrd="4" presId="urn:microsoft.com/office/officeart/2005/8/layout/hList6"/>
    <dgm:cxn modelId="{A60EF006-9681-4271-B5EB-AAFC183BC72C}" srcId="{6D8F4C09-81CB-43D9-A423-6AE8716E8CBC}" destId="{4560D601-BB4E-45AF-91F1-5BEDF20A5536}" srcOrd="0" destOrd="0" parTransId="{669669CA-FC28-40C3-9729-D46A25F3A4C7}" sibTransId="{8F1F676E-F86D-4E85-BBC8-1188FA3289EE}"/>
    <dgm:cxn modelId="{F7473710-4002-4375-AF97-1AE778AA8B6C}" srcId="{F1966DAB-FCAC-43A1-8851-E6290D9AE6FA}" destId="{ACD9640D-7EFC-42D3-BDFF-46D6561231AD}" srcOrd="3" destOrd="0" parTransId="{63988EF6-5926-4838-B706-63F91A21EF11}" sibTransId="{E599DFA4-C789-4CB3-8EFA-CC01CFF42CEA}"/>
    <dgm:cxn modelId="{EB600C4F-1BA0-4CA2-B1DB-1FE140D95B50}" type="presOf" srcId="{F1966DAB-FCAC-43A1-8851-E6290D9AE6FA}" destId="{6B60B1AF-5781-4196-A97F-6D2E2FE3C82B}" srcOrd="0" destOrd="0" presId="urn:microsoft.com/office/officeart/2005/8/layout/hList6"/>
    <dgm:cxn modelId="{80AEB5EF-FEFF-4A0F-A897-C170D72B9EC4}" srcId="{F1966DAB-FCAC-43A1-8851-E6290D9AE6FA}" destId="{DE32802B-BF83-4836-8BE7-C24CC2D1FE31}" srcOrd="1" destOrd="0" parTransId="{D59F3433-526A-403C-A86D-7E416CD68AAD}" sibTransId="{EDD766F0-4AE8-425E-8BB4-DD6341F13C72}"/>
    <dgm:cxn modelId="{44990AED-869E-4343-ACB4-A562B54B7E4D}" srcId="{31480803-D1A5-499B-BC28-4B6EA5D844DA}" destId="{F1966DAB-FCAC-43A1-8851-E6290D9AE6FA}" srcOrd="1" destOrd="0" parTransId="{B1B857CF-D7EE-4D49-B34F-9C40D7B86B07}" sibTransId="{9A6232E3-C08B-429D-9714-1B850A9A3053}"/>
    <dgm:cxn modelId="{E7A36C96-44B2-4ECE-9E8D-7B4E72D765F5}" srcId="{31480803-D1A5-499B-BC28-4B6EA5D844DA}" destId="{6D8F4C09-81CB-43D9-A423-6AE8716E8CBC}" srcOrd="0" destOrd="0" parTransId="{5C52C005-3352-4152-A4DE-C8960D21CDCE}" sibTransId="{B14C3640-E8BC-42A5-97B8-476485FAD20E}"/>
    <dgm:cxn modelId="{5B94D377-C94C-4B0B-9BD9-CC03A61D1AEC}" srcId="{F1966DAB-FCAC-43A1-8851-E6290D9AE6FA}" destId="{E0C6431A-5741-4884-AF9A-29A67AFD58D5}" srcOrd="2" destOrd="0" parTransId="{453A3183-D942-4772-8346-4EED70DF5FE4}" sibTransId="{57ECB52D-54D6-45C9-BD98-7ADEC5E17DC7}"/>
    <dgm:cxn modelId="{9CC9BE00-7C6C-493E-A575-135DEE5AF8B5}" type="presOf" srcId="{F523420A-A08A-419E-B682-20C20C47F250}" destId="{E41D7389-960C-4A2B-8A78-424517F2DE5D}" srcOrd="0" destOrd="2" presId="urn:microsoft.com/office/officeart/2005/8/layout/hList6"/>
    <dgm:cxn modelId="{069522F4-9E0E-4C9D-9967-FF8BF7B8FF39}" type="presOf" srcId="{DE32802B-BF83-4836-8BE7-C24CC2D1FE31}" destId="{6B60B1AF-5781-4196-A97F-6D2E2FE3C82B}" srcOrd="0" destOrd="2" presId="urn:microsoft.com/office/officeart/2005/8/layout/hList6"/>
    <dgm:cxn modelId="{3A292771-5EF0-4654-A8F6-60076AE48521}" type="presOf" srcId="{46CB791A-C785-4860-A341-873C95721735}" destId="{6B60B1AF-5781-4196-A97F-6D2E2FE3C82B}" srcOrd="0" destOrd="1" presId="urn:microsoft.com/office/officeart/2005/8/layout/hList6"/>
    <dgm:cxn modelId="{0AC038EA-8DF4-455D-89BD-FDDF4D1E3E06}" type="presOf" srcId="{E0C6431A-5741-4884-AF9A-29A67AFD58D5}" destId="{6B60B1AF-5781-4196-A97F-6D2E2FE3C82B}" srcOrd="0" destOrd="3" presId="urn:microsoft.com/office/officeart/2005/8/layout/hList6"/>
    <dgm:cxn modelId="{A78F113E-87D6-4E5A-8FF8-7F0D49EB750F}" type="presOf" srcId="{B503EFDC-A89D-4381-B5C9-1FF178E52765}" destId="{E41D7389-960C-4A2B-8A78-424517F2DE5D}" srcOrd="0" destOrd="3" presId="urn:microsoft.com/office/officeart/2005/8/layout/hList6"/>
    <dgm:cxn modelId="{EF6BD64F-FB34-4E10-88EF-45C015203A36}" type="presParOf" srcId="{1C64E62C-E95A-4FE8-8439-E0FF05B77FFA}" destId="{E41D7389-960C-4A2B-8A78-424517F2DE5D}" srcOrd="0" destOrd="0" presId="urn:microsoft.com/office/officeart/2005/8/layout/hList6"/>
    <dgm:cxn modelId="{AFA2F269-7430-4127-92AD-DCEDF97E320B}" type="presParOf" srcId="{1C64E62C-E95A-4FE8-8439-E0FF05B77FFA}" destId="{C7B63A03-886E-44BC-B403-D08FBAD7428E}" srcOrd="1" destOrd="0" presId="urn:microsoft.com/office/officeart/2005/8/layout/hList6"/>
    <dgm:cxn modelId="{940DB507-216E-4B75-BFD5-06A0F144022E}" type="presParOf" srcId="{1C64E62C-E95A-4FE8-8439-E0FF05B77FFA}" destId="{6B60B1AF-5781-4196-A97F-6D2E2FE3C82B}" srcOrd="2" destOrd="0" presId="urn:microsoft.com/office/officeart/2005/8/layout/hList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1D7389-960C-4A2B-8A78-424517F2DE5D}">
      <dsp:nvSpPr>
        <dsp:cNvPr id="0" name=""/>
        <dsp:cNvSpPr/>
      </dsp:nvSpPr>
      <dsp:spPr>
        <a:xfrm rot="16200000">
          <a:off x="-276753" y="279499"/>
          <a:ext cx="3200400" cy="2641401"/>
        </a:xfrm>
        <a:prstGeom prst="flowChartManualOperation">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mk-MK" sz="1400" b="1" kern="1200">
              <a:solidFill>
                <a:sysClr val="windowText" lastClr="000000"/>
              </a:solidFill>
            </a:rPr>
            <a:t>Стратегија за РЈА (2023-2030)</a:t>
          </a:r>
          <a:endParaRPr lang="en-US" sz="1400" b="1"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Поврзување на долгорочното, среднорочното и годишното планирање</a:t>
          </a:r>
          <a:endParaRPr lang="en-US" sz="1200"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Поврзување на секторското планирање со среднорочно буџетското планирање</a:t>
          </a:r>
          <a:endParaRPr lang="en-US" sz="1200"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Јакнење на капацитетите за спроведување на правната рамка за подготвување, спроведување и следење на секторските стратегии </a:t>
          </a:r>
          <a:endParaRPr lang="en-US" sz="1200" kern="1200">
            <a:solidFill>
              <a:sysClr val="windowText" lastClr="000000"/>
            </a:solidFill>
          </a:endParaRPr>
        </a:p>
      </dsp:txBody>
      <dsp:txXfrm rot="5400000">
        <a:off x="2747" y="640079"/>
        <a:ext cx="2641401" cy="1920240"/>
      </dsp:txXfrm>
    </dsp:sp>
    <dsp:sp modelId="{6B60B1AF-5781-4196-A97F-6D2E2FE3C82B}">
      <dsp:nvSpPr>
        <dsp:cNvPr id="0" name=""/>
        <dsp:cNvSpPr/>
      </dsp:nvSpPr>
      <dsp:spPr>
        <a:xfrm rot="16200000">
          <a:off x="2562753" y="279499"/>
          <a:ext cx="3200400" cy="2641401"/>
        </a:xfrm>
        <a:prstGeom prst="flowChartManualOperation">
          <a:avLst/>
        </a:prstGeom>
        <a:gradFill rotWithShape="0">
          <a:gsLst>
            <a:gs pos="0">
              <a:schemeClr val="accent1">
                <a:shade val="80000"/>
                <a:hueOff val="349283"/>
                <a:satOff val="-6256"/>
                <a:lumOff val="26585"/>
                <a:alphaOff val="0"/>
                <a:satMod val="103000"/>
                <a:lumMod val="102000"/>
                <a:tint val="94000"/>
              </a:schemeClr>
            </a:gs>
            <a:gs pos="50000">
              <a:schemeClr val="accent1">
                <a:shade val="80000"/>
                <a:hueOff val="349283"/>
                <a:satOff val="-6256"/>
                <a:lumOff val="26585"/>
                <a:alphaOff val="0"/>
                <a:satMod val="110000"/>
                <a:lumMod val="100000"/>
                <a:shade val="100000"/>
              </a:schemeClr>
            </a:gs>
            <a:gs pos="100000">
              <a:schemeClr val="accent1">
                <a:shade val="80000"/>
                <a:hueOff val="349283"/>
                <a:satOff val="-6256"/>
                <a:lumOff val="2658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mk-MK" sz="1400" b="1" kern="1200">
              <a:solidFill>
                <a:sysClr val="windowText" lastClr="000000"/>
              </a:solidFill>
            </a:rPr>
            <a:t>Програма за реформа на УЈФ (2022-2025)</a:t>
          </a:r>
          <a:endParaRPr lang="en-US" sz="1400" b="1"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Унапредување на среднорочното буџетско планирање </a:t>
          </a:r>
          <a:endParaRPr lang="en-US" sz="1200"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Подобрено буџетско планирање и развој на мерливи индикатори на успешност</a:t>
          </a:r>
          <a:endParaRPr lang="en-US" sz="1200"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Буџетирање базирано на резултати</a:t>
          </a:r>
          <a:endParaRPr lang="en-US" sz="1200" kern="1200">
            <a:solidFill>
              <a:sysClr val="windowText" lastClr="000000"/>
            </a:solidFill>
          </a:endParaRPr>
        </a:p>
        <a:p>
          <a:pPr marL="114300" lvl="1" indent="-114300" algn="l" defTabSz="533400">
            <a:lnSpc>
              <a:spcPct val="90000"/>
            </a:lnSpc>
            <a:spcBef>
              <a:spcPct val="0"/>
            </a:spcBef>
            <a:spcAft>
              <a:spcPct val="15000"/>
            </a:spcAft>
            <a:buChar char="••"/>
          </a:pPr>
          <a:r>
            <a:rPr lang="mk-MK" sz="1200" kern="1200">
              <a:solidFill>
                <a:sysClr val="windowText" lastClr="000000"/>
              </a:solidFill>
            </a:rPr>
            <a:t>Зајакнување на капацитети во МФ и буџетските корисници </a:t>
          </a:r>
          <a:endParaRPr lang="en-US" sz="1200" kern="1200">
            <a:solidFill>
              <a:sysClr val="windowText" lastClr="000000"/>
            </a:solidFill>
          </a:endParaRPr>
        </a:p>
      </dsp:txBody>
      <dsp:txXfrm rot="5400000">
        <a:off x="2842253" y="640079"/>
        <a:ext cx="2641401" cy="192024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C14E-8D4F-415B-8F4C-EE4FB552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85</Pages>
  <Words>31009</Words>
  <Characters>176755</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Shaldeva</dc:creator>
  <cp:keywords/>
  <dc:description/>
  <cp:lastModifiedBy>Esma Adilovic</cp:lastModifiedBy>
  <cp:revision>6</cp:revision>
  <dcterms:created xsi:type="dcterms:W3CDTF">2023-07-03T06:00:00Z</dcterms:created>
  <dcterms:modified xsi:type="dcterms:W3CDTF">2023-07-04T09:36:00Z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1cfe9c04801ef23067bb4c55938cf7b759a0cae7cbe4c3be4227944627b9e166</vt:lpwstr>
  </property>
</Properties>
</file>