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0421" w14:textId="05EBDA05" w:rsidR="00195F49" w:rsidRPr="00195F49" w:rsidRDefault="00195F49" w:rsidP="001D5CD0">
      <w:pPr>
        <w:jc w:val="both"/>
        <w:rPr>
          <w:rFonts w:ascii="Times New Roman" w:eastAsia="Calibri" w:hAnsi="Times New Roman" w:cs="Times New Roman"/>
        </w:rPr>
      </w:pP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rPr>
        <w:t>ПРЕДЛОГ</w:t>
      </w:r>
    </w:p>
    <w:p w14:paraId="48AEC0B8" w14:textId="312B64EF" w:rsidR="00FC6074" w:rsidRDefault="00FC6074" w:rsidP="001D5CD0">
      <w:pPr>
        <w:jc w:val="both"/>
        <w:rPr>
          <w:rFonts w:ascii="Times New Roman" w:eastAsia="Calibri" w:hAnsi="Times New Roman" w:cs="Times New Roman"/>
        </w:rPr>
      </w:pPr>
      <w:r w:rsidRPr="00457265">
        <w:rPr>
          <w:rFonts w:ascii="Times New Roman" w:eastAsia="Calibri" w:hAnsi="Times New Roman" w:cs="Times New Roman"/>
        </w:rPr>
        <w:t>Врз основа на член 6 став (3) од Законот за енергетика(*) Службен весник на Р</w:t>
      </w:r>
      <w:r w:rsidR="0015695B">
        <w:rPr>
          <w:rFonts w:ascii="Times New Roman" w:eastAsia="Calibri" w:hAnsi="Times New Roman" w:cs="Times New Roman"/>
        </w:rPr>
        <w:t xml:space="preserve">епублика </w:t>
      </w:r>
      <w:r w:rsidRPr="00457265">
        <w:rPr>
          <w:rFonts w:ascii="Times New Roman" w:eastAsia="Calibri" w:hAnsi="Times New Roman" w:cs="Times New Roman"/>
        </w:rPr>
        <w:t>С</w:t>
      </w:r>
      <w:r w:rsidR="0015695B">
        <w:rPr>
          <w:rFonts w:ascii="Times New Roman" w:eastAsia="Calibri" w:hAnsi="Times New Roman" w:cs="Times New Roman"/>
        </w:rPr>
        <w:t xml:space="preserve">еверна </w:t>
      </w:r>
      <w:r w:rsidRPr="00457265">
        <w:rPr>
          <w:rFonts w:ascii="Times New Roman" w:eastAsia="Calibri" w:hAnsi="Times New Roman" w:cs="Times New Roman"/>
        </w:rPr>
        <w:t>М</w:t>
      </w:r>
      <w:r w:rsidR="0015695B">
        <w:rPr>
          <w:rFonts w:ascii="Times New Roman" w:eastAsia="Calibri" w:hAnsi="Times New Roman" w:cs="Times New Roman"/>
        </w:rPr>
        <w:t>акедонија</w:t>
      </w:r>
      <w:r w:rsidR="006833A8">
        <w:rPr>
          <w:rFonts w:ascii="Times New Roman" w:eastAsia="Calibri" w:hAnsi="Times New Roman" w:cs="Times New Roman"/>
        </w:rPr>
        <w:t xml:space="preserve"> .../25</w:t>
      </w:r>
      <w:r w:rsidRPr="00457265">
        <w:rPr>
          <w:rFonts w:ascii="Times New Roman" w:eastAsia="Calibri" w:hAnsi="Times New Roman" w:cs="Times New Roman"/>
        </w:rPr>
        <w:t xml:space="preserve"> Министерот за енергетика, рударство и минерални суровини во соработка со Министерот за социјална политика, демографија и млади донесе</w:t>
      </w:r>
    </w:p>
    <w:p w14:paraId="43BAD52E" w14:textId="77777777" w:rsidR="005D6F90" w:rsidRPr="00457265" w:rsidRDefault="005D6F90" w:rsidP="005D6F90">
      <w:pPr>
        <w:ind w:firstLine="720"/>
        <w:jc w:val="center"/>
        <w:rPr>
          <w:rFonts w:ascii="Times New Roman" w:eastAsia="Calibri" w:hAnsi="Times New Roman" w:cs="Times New Roman"/>
        </w:rPr>
      </w:pPr>
    </w:p>
    <w:p w14:paraId="7EEA6643" w14:textId="49627651" w:rsidR="00DF5B89" w:rsidRPr="00DF5B89" w:rsidRDefault="00DF5B89" w:rsidP="00DF5B89">
      <w:pPr>
        <w:jc w:val="center"/>
        <w:rPr>
          <w:rFonts w:ascii="Times New Roman" w:eastAsia="Calibri" w:hAnsi="Times New Roman" w:cs="Times New Roman"/>
          <w:b/>
          <w:bCs/>
          <w:lang w:val="en-US"/>
        </w:rPr>
      </w:pPr>
      <w:r w:rsidRPr="00DF5B89">
        <w:rPr>
          <w:rFonts w:ascii="Times New Roman" w:eastAsia="Calibri" w:hAnsi="Times New Roman" w:cs="Times New Roman"/>
          <w:b/>
          <w:bCs/>
          <w:lang w:val="en-US"/>
        </w:rPr>
        <w:t>МЕТОДОЛОГИЈА ЗА МЕРЕЊЕ НА НИВОТО НА ЕНЕРГЕТСКА СИРОМАШТИЈА ВО РЕПУБЛИКА СЕВЕРНА МАКЕДОНИЈА</w:t>
      </w:r>
    </w:p>
    <w:p w14:paraId="719118A7" w14:textId="77777777" w:rsidR="005D6F90" w:rsidRPr="0084173B" w:rsidRDefault="005D6F90" w:rsidP="00386659">
      <w:pPr>
        <w:ind w:firstLine="720"/>
        <w:jc w:val="center"/>
        <w:rPr>
          <w:rFonts w:ascii="Times New Roman" w:eastAsia="Calibri" w:hAnsi="Times New Roman" w:cs="Times New Roman"/>
          <w:b/>
          <w:bCs/>
        </w:rPr>
      </w:pPr>
    </w:p>
    <w:p w14:paraId="375B08DE" w14:textId="4B0F2EAC" w:rsidR="00386659" w:rsidRPr="0084173B" w:rsidRDefault="00386659" w:rsidP="00386659">
      <w:pPr>
        <w:jc w:val="center"/>
        <w:rPr>
          <w:rFonts w:ascii="Times New Roman" w:eastAsia="Calibri" w:hAnsi="Times New Roman" w:cs="Times New Roman"/>
          <w:b/>
          <w:bCs/>
        </w:rPr>
      </w:pPr>
      <w:r w:rsidRPr="0084173B">
        <w:rPr>
          <w:rFonts w:ascii="Times New Roman" w:eastAsia="Calibri" w:hAnsi="Times New Roman" w:cs="Times New Roman"/>
          <w:b/>
          <w:bCs/>
        </w:rPr>
        <w:t>Член 1</w:t>
      </w:r>
    </w:p>
    <w:p w14:paraId="0B3C199D" w14:textId="48DB5783" w:rsidR="00FC6074" w:rsidRDefault="00386659" w:rsidP="00386659">
      <w:pPr>
        <w:jc w:val="both"/>
        <w:rPr>
          <w:rFonts w:ascii="Times New Roman" w:eastAsia="Calibri" w:hAnsi="Times New Roman" w:cs="Times New Roman"/>
        </w:rPr>
      </w:pPr>
      <w:r w:rsidRPr="0084173B">
        <w:rPr>
          <w:rFonts w:ascii="Times New Roman" w:eastAsia="Calibri" w:hAnsi="Times New Roman" w:cs="Times New Roman"/>
        </w:rPr>
        <w:t xml:space="preserve">Со оваа методологија се </w:t>
      </w:r>
      <w:r w:rsidR="00A03E4C">
        <w:rPr>
          <w:rFonts w:ascii="Times New Roman" w:eastAsia="Calibri" w:hAnsi="Times New Roman" w:cs="Times New Roman"/>
        </w:rPr>
        <w:t>дефинира</w:t>
      </w:r>
      <w:r w:rsidR="009B0CF1">
        <w:rPr>
          <w:rFonts w:ascii="Times New Roman" w:eastAsia="Calibri" w:hAnsi="Times New Roman" w:cs="Times New Roman"/>
        </w:rPr>
        <w:t xml:space="preserve"> начинот </w:t>
      </w:r>
      <w:r w:rsidR="009B0CF1" w:rsidRPr="0084173B">
        <w:rPr>
          <w:rFonts w:ascii="Times New Roman" w:eastAsia="Calibri" w:hAnsi="Times New Roman" w:cs="Times New Roman"/>
        </w:rPr>
        <w:t xml:space="preserve">за </w:t>
      </w:r>
      <w:r w:rsidR="00DF5B89">
        <w:rPr>
          <w:rFonts w:ascii="Times New Roman" w:eastAsia="Calibri" w:hAnsi="Times New Roman" w:cs="Times New Roman"/>
        </w:rPr>
        <w:t>мерење</w:t>
      </w:r>
      <w:r w:rsidR="009B0CF1">
        <w:rPr>
          <w:rFonts w:ascii="Times New Roman" w:eastAsia="Calibri" w:hAnsi="Times New Roman" w:cs="Times New Roman"/>
        </w:rPr>
        <w:t xml:space="preserve"> на ниво</w:t>
      </w:r>
      <w:r w:rsidR="00DF5B89">
        <w:rPr>
          <w:rFonts w:ascii="Times New Roman" w:eastAsia="Calibri" w:hAnsi="Times New Roman" w:cs="Times New Roman"/>
        </w:rPr>
        <w:t>то</w:t>
      </w:r>
      <w:r w:rsidR="009B0CF1">
        <w:rPr>
          <w:rFonts w:ascii="Times New Roman" w:eastAsia="Calibri" w:hAnsi="Times New Roman" w:cs="Times New Roman"/>
        </w:rPr>
        <w:t xml:space="preserve"> на </w:t>
      </w:r>
      <w:r w:rsidR="009B0CF1" w:rsidRPr="0084173B">
        <w:rPr>
          <w:rFonts w:ascii="Times New Roman" w:eastAsia="Calibri" w:hAnsi="Times New Roman" w:cs="Times New Roman"/>
        </w:rPr>
        <w:t>енергетска сиромаштија</w:t>
      </w:r>
      <w:r w:rsidR="009B0CF1">
        <w:rPr>
          <w:rFonts w:ascii="Times New Roman" w:eastAsia="Calibri" w:hAnsi="Times New Roman" w:cs="Times New Roman"/>
        </w:rPr>
        <w:t xml:space="preserve"> во Република Северна Македонија како и </w:t>
      </w:r>
      <w:r w:rsidR="00A03E4C">
        <w:rPr>
          <w:rFonts w:ascii="Times New Roman" w:eastAsia="Calibri" w:hAnsi="Times New Roman" w:cs="Times New Roman"/>
        </w:rPr>
        <w:t xml:space="preserve">начинот </w:t>
      </w:r>
      <w:r w:rsidRPr="0084173B">
        <w:rPr>
          <w:rFonts w:ascii="Times New Roman" w:eastAsia="Calibri" w:hAnsi="Times New Roman" w:cs="Times New Roman"/>
        </w:rPr>
        <w:t xml:space="preserve">за определување на статус на домаќинство </w:t>
      </w:r>
      <w:r w:rsidR="00A03E4C">
        <w:rPr>
          <w:rFonts w:ascii="Times New Roman" w:eastAsia="Calibri" w:hAnsi="Times New Roman" w:cs="Times New Roman"/>
        </w:rPr>
        <w:t xml:space="preserve">во состојба на </w:t>
      </w:r>
      <w:r w:rsidR="00A03E4C" w:rsidRPr="0084173B">
        <w:rPr>
          <w:rFonts w:ascii="Times New Roman" w:eastAsia="Calibri" w:hAnsi="Times New Roman" w:cs="Times New Roman"/>
        </w:rPr>
        <w:t>енергетска сиромаштија</w:t>
      </w:r>
      <w:r w:rsidRPr="0084173B">
        <w:rPr>
          <w:rFonts w:ascii="Times New Roman" w:eastAsia="Calibri" w:hAnsi="Times New Roman" w:cs="Times New Roman"/>
        </w:rPr>
        <w:t>.</w:t>
      </w:r>
    </w:p>
    <w:p w14:paraId="3847983C" w14:textId="77777777" w:rsidR="00291094" w:rsidRPr="0084173B" w:rsidRDefault="00291094" w:rsidP="00386659">
      <w:pPr>
        <w:jc w:val="both"/>
        <w:rPr>
          <w:rFonts w:ascii="Times New Roman" w:eastAsia="Calibri" w:hAnsi="Times New Roman" w:cs="Times New Roman"/>
        </w:rPr>
      </w:pPr>
    </w:p>
    <w:p w14:paraId="0AE9F014" w14:textId="3251BFDC" w:rsidR="0019222D" w:rsidRPr="0084173B" w:rsidRDefault="0019222D" w:rsidP="0019222D">
      <w:pPr>
        <w:jc w:val="center"/>
        <w:rPr>
          <w:rFonts w:ascii="Times New Roman" w:eastAsia="Calibri" w:hAnsi="Times New Roman" w:cs="Times New Roman"/>
          <w:b/>
          <w:bCs/>
        </w:rPr>
      </w:pPr>
      <w:r w:rsidRPr="0084173B">
        <w:rPr>
          <w:rFonts w:ascii="Times New Roman" w:eastAsia="Calibri" w:hAnsi="Times New Roman" w:cs="Times New Roman"/>
          <w:b/>
          <w:bCs/>
        </w:rPr>
        <w:t>Член 2</w:t>
      </w:r>
    </w:p>
    <w:p w14:paraId="5FCE0B8C" w14:textId="18EB076D" w:rsidR="00A6605E" w:rsidRPr="00512695" w:rsidRDefault="00A03E4C" w:rsidP="00512695">
      <w:pPr>
        <w:pStyle w:val="ListParagraph"/>
        <w:numPr>
          <w:ilvl w:val="0"/>
          <w:numId w:val="38"/>
        </w:numPr>
        <w:jc w:val="both"/>
        <w:rPr>
          <w:rFonts w:ascii="Times New Roman" w:eastAsia="Calibri" w:hAnsi="Times New Roman" w:cs="Times New Roman"/>
        </w:rPr>
      </w:pPr>
      <w:r w:rsidRPr="00512695">
        <w:rPr>
          <w:rFonts w:ascii="Times New Roman" w:eastAsia="Calibri" w:hAnsi="Times New Roman" w:cs="Times New Roman"/>
        </w:rPr>
        <w:t xml:space="preserve">За целите на оваа методологија се </w:t>
      </w:r>
      <w:r w:rsidR="00F8594F" w:rsidRPr="00512695">
        <w:rPr>
          <w:rFonts w:ascii="Times New Roman" w:eastAsia="Calibri" w:hAnsi="Times New Roman" w:cs="Times New Roman"/>
        </w:rPr>
        <w:t>употребуваат</w:t>
      </w:r>
      <w:r w:rsidRPr="00512695">
        <w:rPr>
          <w:rFonts w:ascii="Times New Roman" w:eastAsia="Calibri" w:hAnsi="Times New Roman" w:cs="Times New Roman"/>
        </w:rPr>
        <w:t xml:space="preserve"> следните </w:t>
      </w:r>
      <w:r w:rsidR="00F8594F" w:rsidRPr="00512695">
        <w:rPr>
          <w:rFonts w:ascii="Times New Roman" w:eastAsia="Calibri" w:hAnsi="Times New Roman" w:cs="Times New Roman"/>
        </w:rPr>
        <w:t>поими и дефиниции</w:t>
      </w:r>
      <w:r w:rsidR="00A6605E" w:rsidRPr="00512695">
        <w:rPr>
          <w:rFonts w:ascii="Times New Roman" w:eastAsia="Calibri" w:hAnsi="Times New Roman" w:cs="Times New Roman"/>
        </w:rPr>
        <w:t>:</w:t>
      </w:r>
    </w:p>
    <w:p w14:paraId="6BEC25E6" w14:textId="1947F099" w:rsidR="00A6605E" w:rsidRPr="006B5138" w:rsidRDefault="004D7812" w:rsidP="00B04597">
      <w:pPr>
        <w:pStyle w:val="ListParagraph"/>
        <w:numPr>
          <w:ilvl w:val="0"/>
          <w:numId w:val="1"/>
        </w:numPr>
        <w:jc w:val="both"/>
        <w:rPr>
          <w:rFonts w:ascii="Times New Roman" w:eastAsia="Calibri" w:hAnsi="Times New Roman" w:cs="Times New Roman"/>
        </w:rPr>
      </w:pPr>
      <w:r w:rsidRPr="006B5138">
        <w:rPr>
          <w:rFonts w:ascii="Times New Roman" w:eastAsia="Calibri" w:hAnsi="Times New Roman" w:cs="Times New Roman"/>
          <w:b/>
          <w:bCs/>
        </w:rPr>
        <w:t>Т</w:t>
      </w:r>
      <w:r w:rsidR="00A6605E" w:rsidRPr="006B5138">
        <w:rPr>
          <w:rFonts w:ascii="Times New Roman" w:eastAsia="Calibri" w:hAnsi="Times New Roman" w:cs="Times New Roman"/>
          <w:b/>
          <w:bCs/>
        </w:rPr>
        <w:t>р</w:t>
      </w:r>
      <w:r w:rsidR="00A03E4C" w:rsidRPr="006B5138">
        <w:rPr>
          <w:rFonts w:ascii="Times New Roman" w:eastAsia="Calibri" w:hAnsi="Times New Roman" w:cs="Times New Roman"/>
          <w:b/>
          <w:bCs/>
        </w:rPr>
        <w:t>ошок за потрошувачка на енергија на домаќинството</w:t>
      </w:r>
      <w:r w:rsidRPr="006B5138">
        <w:rPr>
          <w:rFonts w:ascii="Times New Roman" w:eastAsia="Calibri" w:hAnsi="Times New Roman" w:cs="Times New Roman"/>
        </w:rPr>
        <w:t xml:space="preserve"> е трошок за електрична енергија, топлинска енергија и огревно дрво</w:t>
      </w:r>
      <w:r w:rsidR="00512695">
        <w:rPr>
          <w:rStyle w:val="FootnoteReference"/>
          <w:rFonts w:ascii="Times New Roman" w:eastAsia="Calibri" w:hAnsi="Times New Roman" w:cs="Times New Roman"/>
        </w:rPr>
        <w:footnoteReference w:id="1"/>
      </w:r>
      <w:r w:rsidR="00A6605E" w:rsidRPr="006B5138">
        <w:rPr>
          <w:rFonts w:ascii="Times New Roman" w:eastAsia="Calibri" w:hAnsi="Times New Roman" w:cs="Times New Roman"/>
        </w:rPr>
        <w:t>;</w:t>
      </w:r>
    </w:p>
    <w:p w14:paraId="58F13A7F" w14:textId="20BF3E5E" w:rsidR="009B0CF1" w:rsidRPr="009B0CF1" w:rsidRDefault="009B0CF1" w:rsidP="00386659">
      <w:pPr>
        <w:pStyle w:val="ListParagraph"/>
        <w:numPr>
          <w:ilvl w:val="0"/>
          <w:numId w:val="1"/>
        </w:numPr>
        <w:jc w:val="both"/>
        <w:rPr>
          <w:rFonts w:ascii="Times New Roman" w:eastAsia="Calibri" w:hAnsi="Times New Roman" w:cs="Times New Roman"/>
        </w:rPr>
      </w:pPr>
      <w:r w:rsidRPr="009B0CF1">
        <w:rPr>
          <w:rFonts w:ascii="Times New Roman" w:eastAsia="Calibri" w:hAnsi="Times New Roman" w:cs="Times New Roman"/>
          <w:b/>
          <w:bCs/>
        </w:rPr>
        <w:t>Вкупен расположлив приход по домаќинство</w:t>
      </w:r>
      <w:r>
        <w:rPr>
          <w:rFonts w:ascii="Times New Roman" w:eastAsia="Calibri" w:hAnsi="Times New Roman" w:cs="Times New Roman"/>
          <w:b/>
          <w:bCs/>
          <w:lang w:val="en-US"/>
        </w:rPr>
        <w:t xml:space="preserve"> </w:t>
      </w:r>
      <w:r w:rsidRPr="009B0CF1">
        <w:rPr>
          <w:rFonts w:ascii="Times New Roman" w:eastAsia="Calibri" w:hAnsi="Times New Roman" w:cs="Times New Roman"/>
        </w:rPr>
        <w:t>– Збир на сите нето приходи на членовите на домаќинството по основ на вработеност, надоместоци од самовработеност, приход од изнајмување на имот или земја, добиени регуларни приватни готовински трансфери помеѓу домаќинствата, камати, дивиденди, профит од капитални инвестиции од некорпоративни бизниси, приход на лицата на возраст под 16 години, како и сите надоместоци за невработените, старосни и семејни пензии, надоместоци за боледување и инвалидитет, надоместоци за образование, социјални додатоци и надоместоци на домаќинствата и децата, надоместоци за домување и надоместоци за социјална исклученост</w:t>
      </w:r>
      <w:r w:rsidR="001D5CD0">
        <w:rPr>
          <w:rFonts w:ascii="Times New Roman" w:eastAsia="Calibri" w:hAnsi="Times New Roman" w:cs="Times New Roman"/>
          <w:lang w:val="en-US"/>
        </w:rPr>
        <w:t>;</w:t>
      </w:r>
      <w:r w:rsidR="00645D02">
        <w:rPr>
          <w:rStyle w:val="FootnoteReference"/>
          <w:rFonts w:ascii="Times New Roman" w:eastAsia="Calibri" w:hAnsi="Times New Roman" w:cs="Times New Roman"/>
        </w:rPr>
        <w:footnoteReference w:id="2"/>
      </w:r>
    </w:p>
    <w:p w14:paraId="011C59ED" w14:textId="13DB8335" w:rsidR="009B0CF1" w:rsidRPr="009B0CF1" w:rsidRDefault="009B0CF1" w:rsidP="00386659">
      <w:pPr>
        <w:pStyle w:val="ListParagraph"/>
        <w:numPr>
          <w:ilvl w:val="0"/>
          <w:numId w:val="1"/>
        </w:numPr>
        <w:jc w:val="both"/>
        <w:rPr>
          <w:rFonts w:ascii="Times New Roman" w:eastAsia="Calibri" w:hAnsi="Times New Roman" w:cs="Times New Roman"/>
        </w:rPr>
      </w:pPr>
      <w:r w:rsidRPr="009B0CF1">
        <w:rPr>
          <w:rFonts w:ascii="Times New Roman" w:eastAsia="Calibri" w:hAnsi="Times New Roman" w:cs="Times New Roman"/>
          <w:b/>
          <w:bCs/>
        </w:rPr>
        <w:t>Домаќинство</w:t>
      </w:r>
      <w:r>
        <w:rPr>
          <w:rFonts w:ascii="Times New Roman" w:eastAsia="Calibri" w:hAnsi="Times New Roman" w:cs="Times New Roman"/>
          <w:b/>
          <w:bCs/>
          <w:lang w:val="en-US"/>
        </w:rPr>
        <w:t xml:space="preserve"> </w:t>
      </w:r>
      <w:r w:rsidRPr="009B0CF1">
        <w:rPr>
          <w:rFonts w:ascii="Times New Roman" w:eastAsia="Calibri" w:hAnsi="Times New Roman" w:cs="Times New Roman"/>
        </w:rPr>
        <w:t xml:space="preserve">– Под домаќинство се </w:t>
      </w:r>
      <w:r w:rsidR="00A705C8">
        <w:rPr>
          <w:rFonts w:ascii="Times New Roman" w:eastAsia="Calibri" w:hAnsi="Times New Roman" w:cs="Times New Roman"/>
        </w:rPr>
        <w:t>подразбира</w:t>
      </w:r>
      <w:r w:rsidRPr="009B0CF1">
        <w:rPr>
          <w:rFonts w:ascii="Times New Roman" w:eastAsia="Calibri" w:hAnsi="Times New Roman" w:cs="Times New Roman"/>
        </w:rPr>
        <w:t xml:space="preserve"> секоја семејна или друга заедница на лица кои ќе изјават дека живеат заедно и заеднички ги трошат своите приходи за подмирување на основните животни потреби (домување, исхрана и др.) без оглед на тоа дали сите членови постојано се наоѓаат во местото каде што е населено домаќинството или се привремено отсутни заради работа или школување</w:t>
      </w:r>
      <w:r w:rsidR="001D5CD0">
        <w:rPr>
          <w:rFonts w:ascii="Times New Roman" w:eastAsia="Calibri" w:hAnsi="Times New Roman" w:cs="Times New Roman"/>
          <w:lang w:val="en-US"/>
        </w:rPr>
        <w:t>;</w:t>
      </w:r>
      <w:r w:rsidR="00645D02">
        <w:rPr>
          <w:rStyle w:val="FootnoteReference"/>
          <w:rFonts w:ascii="Times New Roman" w:eastAsia="Calibri" w:hAnsi="Times New Roman" w:cs="Times New Roman"/>
        </w:rPr>
        <w:footnoteReference w:id="3"/>
      </w:r>
    </w:p>
    <w:p w14:paraId="44E77C59" w14:textId="161D79FD" w:rsidR="00BF4698" w:rsidRPr="00362D10" w:rsidRDefault="00A525EC" w:rsidP="00F8594F">
      <w:pPr>
        <w:pStyle w:val="ListParagraph"/>
        <w:numPr>
          <w:ilvl w:val="0"/>
          <w:numId w:val="1"/>
        </w:numPr>
        <w:jc w:val="both"/>
        <w:rPr>
          <w:rFonts w:ascii="Times New Roman" w:eastAsia="Calibri" w:hAnsi="Times New Roman" w:cs="Times New Roman"/>
        </w:rPr>
      </w:pPr>
      <w:r>
        <w:rPr>
          <w:rFonts w:ascii="Times New Roman" w:eastAsia="Calibri" w:hAnsi="Times New Roman" w:cs="Times New Roman"/>
          <w:b/>
          <w:bCs/>
        </w:rPr>
        <w:lastRenderedPageBreak/>
        <w:t>Официјален праг</w:t>
      </w:r>
      <w:r w:rsidR="00BF4698" w:rsidRPr="00BF4698">
        <w:rPr>
          <w:rFonts w:ascii="Times New Roman" w:eastAsia="Calibri" w:hAnsi="Times New Roman" w:cs="Times New Roman"/>
          <w:b/>
          <w:bCs/>
        </w:rPr>
        <w:t xml:space="preserve"> на сиромаштија</w:t>
      </w:r>
      <w:r w:rsidR="00BF4698" w:rsidRPr="00BF4698">
        <w:rPr>
          <w:rFonts w:ascii="Times New Roman" w:eastAsia="Calibri" w:hAnsi="Times New Roman" w:cs="Times New Roman"/>
        </w:rPr>
        <w:t xml:space="preserve"> е</w:t>
      </w:r>
      <w:r>
        <w:rPr>
          <w:rFonts w:ascii="Times New Roman" w:eastAsia="Calibri" w:hAnsi="Times New Roman" w:cs="Times New Roman"/>
        </w:rPr>
        <w:t xml:space="preserve"> </w:t>
      </w:r>
      <w:r w:rsidR="00BF4698" w:rsidRPr="00BF4698">
        <w:rPr>
          <w:rFonts w:ascii="Times New Roman" w:eastAsia="Calibri" w:hAnsi="Times New Roman" w:cs="Times New Roman"/>
        </w:rPr>
        <w:t>ниво на животен стандард, што треба да се достигне за едно лице/домаќинство да не биде класифицирано како сиромашно.</w:t>
      </w:r>
      <w:r w:rsidR="00BF4698">
        <w:rPr>
          <w:rStyle w:val="FootnoteReference"/>
          <w:rFonts w:ascii="Times New Roman" w:eastAsia="Calibri" w:hAnsi="Times New Roman" w:cs="Times New Roman"/>
        </w:rPr>
        <w:footnoteReference w:id="4"/>
      </w:r>
    </w:p>
    <w:p w14:paraId="604D4160" w14:textId="16A65EAC" w:rsidR="00362D10" w:rsidRDefault="00E20CFF" w:rsidP="00F8594F">
      <w:pPr>
        <w:pStyle w:val="ListParagraph"/>
        <w:numPr>
          <w:ilvl w:val="0"/>
          <w:numId w:val="1"/>
        </w:numPr>
        <w:jc w:val="both"/>
        <w:rPr>
          <w:rFonts w:ascii="Times New Roman" w:eastAsia="Calibri" w:hAnsi="Times New Roman" w:cs="Times New Roman"/>
        </w:rPr>
      </w:pPr>
      <w:r w:rsidRPr="00E20CFF">
        <w:rPr>
          <w:rFonts w:ascii="Times New Roman" w:eastAsia="Calibri" w:hAnsi="Times New Roman" w:cs="Times New Roman"/>
          <w:b/>
          <w:bCs/>
        </w:rPr>
        <w:t>Зграда</w:t>
      </w:r>
      <w:r w:rsidRPr="00E20CFF">
        <w:rPr>
          <w:rFonts w:ascii="Times New Roman" w:eastAsia="Calibri" w:hAnsi="Times New Roman" w:cs="Times New Roman"/>
        </w:rPr>
        <w:t xml:space="preserve"> е покриена градба што има ѕидови и во која се користи енергија за греење и климатизација на внатрешниот простор и може да се однесува на зграда како целина или на делови од зграда што се наменети или пренаменети за засебно користење</w:t>
      </w:r>
      <w:r>
        <w:rPr>
          <w:rStyle w:val="FootnoteReference"/>
          <w:rFonts w:ascii="Times New Roman" w:eastAsia="Calibri" w:hAnsi="Times New Roman" w:cs="Times New Roman"/>
        </w:rPr>
        <w:footnoteReference w:id="5"/>
      </w:r>
      <w:r w:rsidR="001D5CD0">
        <w:rPr>
          <w:rFonts w:ascii="Times New Roman" w:eastAsia="Calibri" w:hAnsi="Times New Roman" w:cs="Times New Roman"/>
          <w:lang w:val="en-US"/>
        </w:rPr>
        <w:t>.</w:t>
      </w:r>
    </w:p>
    <w:p w14:paraId="177B76A7" w14:textId="5871B53A" w:rsidR="00512695" w:rsidRPr="00512695" w:rsidRDefault="00512695" w:rsidP="00512695">
      <w:pPr>
        <w:pStyle w:val="ListParagraph"/>
        <w:numPr>
          <w:ilvl w:val="0"/>
          <w:numId w:val="38"/>
        </w:numPr>
        <w:jc w:val="both"/>
        <w:rPr>
          <w:rFonts w:ascii="Times New Roman" w:eastAsia="Calibri" w:hAnsi="Times New Roman" w:cs="Times New Roman"/>
        </w:rPr>
      </w:pPr>
      <w:r>
        <w:rPr>
          <w:rFonts w:ascii="Times New Roman" w:eastAsia="Calibri" w:hAnsi="Times New Roman" w:cs="Times New Roman"/>
        </w:rPr>
        <w:t>В</w:t>
      </w:r>
      <w:r w:rsidRPr="00512695">
        <w:rPr>
          <w:rFonts w:ascii="Times New Roman" w:eastAsia="Calibri" w:hAnsi="Times New Roman" w:cs="Times New Roman"/>
        </w:rPr>
        <w:t>купниот расположлив приход по домаќинство</w:t>
      </w:r>
      <w:r>
        <w:rPr>
          <w:rFonts w:ascii="Times New Roman" w:eastAsia="Calibri" w:hAnsi="Times New Roman" w:cs="Times New Roman"/>
        </w:rPr>
        <w:t xml:space="preserve">, официјалниот праг на сиромаштија и </w:t>
      </w:r>
      <w:r w:rsidRPr="00512695">
        <w:rPr>
          <w:rFonts w:ascii="Times New Roman" w:eastAsia="Calibri" w:hAnsi="Times New Roman" w:cs="Times New Roman"/>
        </w:rPr>
        <w:t>трошок</w:t>
      </w:r>
      <w:r>
        <w:rPr>
          <w:rFonts w:ascii="Times New Roman" w:eastAsia="Calibri" w:hAnsi="Times New Roman" w:cs="Times New Roman"/>
        </w:rPr>
        <w:t>от</w:t>
      </w:r>
      <w:r w:rsidRPr="00512695">
        <w:rPr>
          <w:rFonts w:ascii="Times New Roman" w:eastAsia="Calibri" w:hAnsi="Times New Roman" w:cs="Times New Roman"/>
        </w:rPr>
        <w:t xml:space="preserve"> за потрошувачка на енергија на домаќинството за целите на оваа методологија ги пресметува </w:t>
      </w:r>
      <w:r>
        <w:rPr>
          <w:rFonts w:ascii="Times New Roman" w:eastAsia="Calibri" w:hAnsi="Times New Roman" w:cs="Times New Roman"/>
        </w:rPr>
        <w:t xml:space="preserve">на годишно ниво </w:t>
      </w:r>
      <w:r w:rsidRPr="00512695">
        <w:rPr>
          <w:rFonts w:ascii="Times New Roman" w:eastAsia="Calibri" w:hAnsi="Times New Roman" w:cs="Times New Roman"/>
        </w:rPr>
        <w:t>Државниот заво</w:t>
      </w:r>
      <w:r>
        <w:rPr>
          <w:rFonts w:ascii="Times New Roman" w:eastAsia="Calibri" w:hAnsi="Times New Roman" w:cs="Times New Roman"/>
        </w:rPr>
        <w:t>д</w:t>
      </w:r>
      <w:r w:rsidRPr="00512695">
        <w:rPr>
          <w:rFonts w:ascii="Times New Roman" w:eastAsia="Calibri" w:hAnsi="Times New Roman" w:cs="Times New Roman"/>
        </w:rPr>
        <w:t xml:space="preserve"> за статистика</w:t>
      </w:r>
      <w:r>
        <w:rPr>
          <w:rFonts w:ascii="Times New Roman" w:eastAsia="Calibri" w:hAnsi="Times New Roman" w:cs="Times New Roman"/>
        </w:rPr>
        <w:t>.</w:t>
      </w:r>
    </w:p>
    <w:p w14:paraId="2045B100" w14:textId="77777777" w:rsidR="00255A12" w:rsidRPr="00F8594F" w:rsidRDefault="00255A12" w:rsidP="003D4844">
      <w:pPr>
        <w:jc w:val="both"/>
        <w:rPr>
          <w:rFonts w:ascii="Times New Roman" w:eastAsia="Calibri" w:hAnsi="Times New Roman" w:cs="Times New Roman"/>
          <w:highlight w:val="yellow"/>
        </w:rPr>
      </w:pPr>
    </w:p>
    <w:p w14:paraId="241D3134" w14:textId="01CB690E" w:rsidR="00386659" w:rsidRPr="0084173B" w:rsidRDefault="00386659" w:rsidP="00386659">
      <w:pPr>
        <w:jc w:val="center"/>
        <w:rPr>
          <w:rFonts w:ascii="Times New Roman" w:eastAsia="Calibri" w:hAnsi="Times New Roman" w:cs="Times New Roman"/>
          <w:b/>
          <w:bCs/>
        </w:rPr>
      </w:pPr>
      <w:r w:rsidRPr="0084173B">
        <w:rPr>
          <w:rFonts w:ascii="Times New Roman" w:eastAsia="Calibri" w:hAnsi="Times New Roman" w:cs="Times New Roman"/>
          <w:b/>
          <w:bCs/>
        </w:rPr>
        <w:t>Член 3</w:t>
      </w:r>
    </w:p>
    <w:p w14:paraId="1E0EBBBE" w14:textId="4C788497" w:rsidR="00BF4698" w:rsidRPr="00DF5B89" w:rsidRDefault="00796DD8" w:rsidP="00796DD8">
      <w:pPr>
        <w:jc w:val="both"/>
        <w:rPr>
          <w:rFonts w:ascii="Times New Roman" w:eastAsia="Calibri" w:hAnsi="Times New Roman" w:cs="Times New Roman"/>
        </w:rPr>
      </w:pPr>
      <w:r>
        <w:rPr>
          <w:rFonts w:ascii="Times New Roman" w:eastAsia="Calibri" w:hAnsi="Times New Roman" w:cs="Times New Roman"/>
        </w:rPr>
        <w:t xml:space="preserve">За потребите на оваа </w:t>
      </w:r>
      <w:r w:rsidR="00DF5B89">
        <w:rPr>
          <w:rFonts w:ascii="Times New Roman" w:eastAsia="Calibri" w:hAnsi="Times New Roman" w:cs="Times New Roman"/>
        </w:rPr>
        <w:t>м</w:t>
      </w:r>
      <w:r>
        <w:rPr>
          <w:rFonts w:ascii="Times New Roman" w:eastAsia="Calibri" w:hAnsi="Times New Roman" w:cs="Times New Roman"/>
        </w:rPr>
        <w:t xml:space="preserve">етодологија се употребуваат последните расположливи податоци од анкетата за приходи и услови за живеење која ја спроведува </w:t>
      </w:r>
      <w:r w:rsidR="00DF5B89">
        <w:rPr>
          <w:rFonts w:ascii="Times New Roman" w:eastAsia="Calibri" w:hAnsi="Times New Roman" w:cs="Times New Roman"/>
        </w:rPr>
        <w:t>Државниот</w:t>
      </w:r>
      <w:r w:rsidR="00BF4698">
        <w:rPr>
          <w:rFonts w:ascii="Times New Roman" w:eastAsia="Calibri" w:hAnsi="Times New Roman" w:cs="Times New Roman"/>
        </w:rPr>
        <w:t xml:space="preserve"> завод за статистика</w:t>
      </w:r>
      <w:r w:rsidR="00DF5B89">
        <w:rPr>
          <w:rFonts w:ascii="Times New Roman" w:eastAsia="Calibri" w:hAnsi="Times New Roman" w:cs="Times New Roman"/>
        </w:rPr>
        <w:t xml:space="preserve"> </w:t>
      </w:r>
      <w:r w:rsidR="00DF5B89" w:rsidRPr="00DF5B89">
        <w:rPr>
          <w:rFonts w:ascii="Times New Roman" w:eastAsia="Calibri" w:hAnsi="Times New Roman" w:cs="Times New Roman"/>
          <w:lang w:val="en-US"/>
        </w:rPr>
        <w:t>на</w:t>
      </w:r>
      <w:r w:rsidR="00DF5B89">
        <w:rPr>
          <w:rFonts w:ascii="Times New Roman" w:eastAsia="Calibri" w:hAnsi="Times New Roman" w:cs="Times New Roman"/>
        </w:rPr>
        <w:t xml:space="preserve"> </w:t>
      </w:r>
      <w:r w:rsidR="00DF5B89" w:rsidRPr="00DF5B89">
        <w:rPr>
          <w:rFonts w:ascii="Times New Roman" w:eastAsia="Calibri" w:hAnsi="Times New Roman" w:cs="Times New Roman"/>
          <w:lang w:val="en-US"/>
        </w:rPr>
        <w:t>Република Северна Македонија (во понатамошниот текст: Државен завод за статистика).</w:t>
      </w:r>
    </w:p>
    <w:p w14:paraId="60214EF0" w14:textId="77777777" w:rsidR="00BF4698" w:rsidRDefault="00BF4698" w:rsidP="00BF4698">
      <w:pPr>
        <w:jc w:val="center"/>
        <w:rPr>
          <w:rFonts w:ascii="Times New Roman" w:eastAsia="Calibri" w:hAnsi="Times New Roman" w:cs="Times New Roman"/>
        </w:rPr>
      </w:pPr>
    </w:p>
    <w:p w14:paraId="7F5514A6" w14:textId="7E06210F" w:rsidR="00BF4698" w:rsidRPr="00BF4698" w:rsidRDefault="00BF4698" w:rsidP="00BF4698">
      <w:pPr>
        <w:jc w:val="center"/>
        <w:rPr>
          <w:rFonts w:ascii="Times New Roman" w:eastAsia="Calibri" w:hAnsi="Times New Roman" w:cs="Times New Roman"/>
          <w:b/>
          <w:bCs/>
        </w:rPr>
      </w:pPr>
      <w:r w:rsidRPr="00BF4698">
        <w:rPr>
          <w:rFonts w:ascii="Times New Roman" w:eastAsia="Calibri" w:hAnsi="Times New Roman" w:cs="Times New Roman"/>
          <w:b/>
          <w:bCs/>
        </w:rPr>
        <w:t>Член 4</w:t>
      </w:r>
    </w:p>
    <w:p w14:paraId="66C0BD7D" w14:textId="77522699" w:rsidR="00BF4698" w:rsidRDefault="00BF4698" w:rsidP="00796DD8">
      <w:pPr>
        <w:jc w:val="both"/>
        <w:rPr>
          <w:rFonts w:ascii="Times New Roman" w:eastAsia="Calibri" w:hAnsi="Times New Roman" w:cs="Times New Roman"/>
        </w:rPr>
      </w:pPr>
      <w:r>
        <w:rPr>
          <w:rFonts w:ascii="Times New Roman" w:eastAsia="Calibri" w:hAnsi="Times New Roman" w:cs="Times New Roman"/>
        </w:rPr>
        <w:t>О</w:t>
      </w:r>
      <w:r w:rsidR="00F8594F">
        <w:rPr>
          <w:rFonts w:ascii="Times New Roman" w:eastAsia="Calibri" w:hAnsi="Times New Roman" w:cs="Times New Roman"/>
        </w:rPr>
        <w:t>пштото ниво на енергетската сиромаштија во Р</w:t>
      </w:r>
      <w:r>
        <w:rPr>
          <w:rFonts w:ascii="Times New Roman" w:eastAsia="Calibri" w:hAnsi="Times New Roman" w:cs="Times New Roman"/>
        </w:rPr>
        <w:t xml:space="preserve">епублика </w:t>
      </w:r>
      <w:r w:rsidR="00F8594F">
        <w:rPr>
          <w:rFonts w:ascii="Times New Roman" w:eastAsia="Calibri" w:hAnsi="Times New Roman" w:cs="Times New Roman"/>
        </w:rPr>
        <w:t>С</w:t>
      </w:r>
      <w:r>
        <w:rPr>
          <w:rFonts w:ascii="Times New Roman" w:eastAsia="Calibri" w:hAnsi="Times New Roman" w:cs="Times New Roman"/>
        </w:rPr>
        <w:t xml:space="preserve">еверна </w:t>
      </w:r>
      <w:r w:rsidR="00F8594F">
        <w:rPr>
          <w:rFonts w:ascii="Times New Roman" w:eastAsia="Calibri" w:hAnsi="Times New Roman" w:cs="Times New Roman"/>
        </w:rPr>
        <w:t>М</w:t>
      </w:r>
      <w:r>
        <w:rPr>
          <w:rFonts w:ascii="Times New Roman" w:eastAsia="Calibri" w:hAnsi="Times New Roman" w:cs="Times New Roman"/>
        </w:rPr>
        <w:t xml:space="preserve">акедонија се </w:t>
      </w:r>
      <w:r w:rsidR="00527B3E">
        <w:rPr>
          <w:rFonts w:ascii="Times New Roman" w:eastAsia="Calibri" w:hAnsi="Times New Roman" w:cs="Times New Roman"/>
        </w:rPr>
        <w:t>мери</w:t>
      </w:r>
      <w:r>
        <w:rPr>
          <w:rFonts w:ascii="Times New Roman" w:eastAsia="Calibri" w:hAnsi="Times New Roman" w:cs="Times New Roman"/>
        </w:rPr>
        <w:t xml:space="preserve"> на следниот начин</w:t>
      </w:r>
      <w:r w:rsidR="00527B3E">
        <w:rPr>
          <w:rFonts w:ascii="Times New Roman" w:eastAsia="Calibri" w:hAnsi="Times New Roman" w:cs="Times New Roman"/>
        </w:rPr>
        <w:t xml:space="preserve"> од страна на Државниот завод за статистика</w:t>
      </w:r>
      <w:r>
        <w:rPr>
          <w:rFonts w:ascii="Times New Roman" w:eastAsia="Calibri" w:hAnsi="Times New Roman" w:cs="Times New Roman"/>
        </w:rPr>
        <w:t>:</w:t>
      </w:r>
    </w:p>
    <w:p w14:paraId="504870B1" w14:textId="43F8AE87" w:rsidR="008C772F" w:rsidRPr="00A525EC" w:rsidRDefault="008C772F" w:rsidP="00BF4698">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Од вкупниот годишен расположлив приход на домаќинството, според</w:t>
      </w:r>
      <w:r w:rsidR="00835F33" w:rsidRPr="00A525EC">
        <w:rPr>
          <w:rFonts w:ascii="Times New Roman" w:eastAsia="Calibri" w:hAnsi="Times New Roman" w:cs="Times New Roman"/>
        </w:rPr>
        <w:t xml:space="preserve"> </w:t>
      </w:r>
      <w:r w:rsidRPr="00A525EC">
        <w:rPr>
          <w:rFonts w:ascii="Times New Roman" w:eastAsia="Calibri" w:hAnsi="Times New Roman" w:cs="Times New Roman"/>
        </w:rPr>
        <w:t xml:space="preserve">податоците на спроведената </w:t>
      </w:r>
      <w:r w:rsidR="00835F33" w:rsidRPr="00A525EC">
        <w:rPr>
          <w:rFonts w:ascii="Times New Roman" w:eastAsia="Calibri" w:hAnsi="Times New Roman" w:cs="Times New Roman"/>
        </w:rPr>
        <w:t>а</w:t>
      </w:r>
      <w:r w:rsidRPr="00A525EC">
        <w:rPr>
          <w:rFonts w:ascii="Times New Roman" w:eastAsia="Calibri" w:hAnsi="Times New Roman" w:cs="Times New Roman"/>
        </w:rPr>
        <w:t>нкета</w:t>
      </w:r>
      <w:r w:rsidR="00835F33" w:rsidRPr="00A525EC">
        <w:rPr>
          <w:rFonts w:ascii="Times New Roman" w:eastAsia="Calibri" w:hAnsi="Times New Roman" w:cs="Times New Roman"/>
        </w:rPr>
        <w:t xml:space="preserve"> за </w:t>
      </w:r>
      <w:r w:rsidRPr="00A525EC">
        <w:rPr>
          <w:rFonts w:ascii="Times New Roman" w:eastAsia="Calibri" w:hAnsi="Times New Roman" w:cs="Times New Roman"/>
        </w:rPr>
        <w:t>приходи и услови</w:t>
      </w:r>
      <w:r w:rsidR="00835F33" w:rsidRPr="00A525EC">
        <w:rPr>
          <w:rFonts w:ascii="Times New Roman" w:eastAsia="Calibri" w:hAnsi="Times New Roman" w:cs="Times New Roman"/>
        </w:rPr>
        <w:t xml:space="preserve"> за живеење од </w:t>
      </w:r>
      <w:r w:rsidR="00A525EC" w:rsidRPr="00A525EC">
        <w:rPr>
          <w:rFonts w:ascii="Times New Roman" w:eastAsia="Calibri" w:hAnsi="Times New Roman" w:cs="Times New Roman"/>
        </w:rPr>
        <w:t>Државен завод за статистика</w:t>
      </w:r>
      <w:r w:rsidR="00835F33" w:rsidRPr="00A525EC">
        <w:rPr>
          <w:rFonts w:ascii="Times New Roman" w:eastAsia="Calibri" w:hAnsi="Times New Roman" w:cs="Times New Roman"/>
        </w:rPr>
        <w:t xml:space="preserve">, </w:t>
      </w:r>
      <w:r w:rsidRPr="00A525EC">
        <w:rPr>
          <w:rFonts w:ascii="Times New Roman" w:eastAsia="Calibri" w:hAnsi="Times New Roman" w:cs="Times New Roman"/>
        </w:rPr>
        <w:t>се одзема</w:t>
      </w:r>
      <w:r w:rsidR="00835F33" w:rsidRPr="00A525EC">
        <w:rPr>
          <w:rFonts w:ascii="Times New Roman" w:eastAsia="Calibri" w:hAnsi="Times New Roman" w:cs="Times New Roman"/>
        </w:rPr>
        <w:t xml:space="preserve"> </w:t>
      </w:r>
      <w:r w:rsidRPr="00A525EC">
        <w:rPr>
          <w:rFonts w:ascii="Times New Roman" w:eastAsia="Calibri" w:hAnsi="Times New Roman" w:cs="Times New Roman"/>
        </w:rPr>
        <w:t xml:space="preserve">годишниот </w:t>
      </w:r>
      <w:r w:rsidR="00835F33" w:rsidRPr="00A525EC">
        <w:rPr>
          <w:rFonts w:ascii="Times New Roman" w:eastAsia="Calibri" w:hAnsi="Times New Roman" w:cs="Times New Roman"/>
        </w:rPr>
        <w:t>трошок за потрошувачка на енергија</w:t>
      </w:r>
      <w:r w:rsidRPr="00A525EC">
        <w:rPr>
          <w:rFonts w:ascii="Times New Roman" w:eastAsia="Calibri" w:hAnsi="Times New Roman" w:cs="Times New Roman"/>
          <w:lang w:val="en-US"/>
        </w:rPr>
        <w:t>;</w:t>
      </w:r>
    </w:p>
    <w:p w14:paraId="1CFAFD51" w14:textId="2D77CFA4" w:rsidR="00835F33" w:rsidRPr="00A525EC" w:rsidRDefault="008C772F" w:rsidP="00BF4698">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Добиениот резултат од точка 1</w:t>
      </w:r>
      <w:r w:rsidR="00A525EC" w:rsidRPr="00A525EC">
        <w:rPr>
          <w:rFonts w:ascii="Times New Roman" w:eastAsia="Calibri" w:hAnsi="Times New Roman" w:cs="Times New Roman"/>
        </w:rPr>
        <w:t xml:space="preserve"> на овој член</w:t>
      </w:r>
      <w:r w:rsidRPr="00A525EC">
        <w:rPr>
          <w:rFonts w:ascii="Times New Roman" w:eastAsia="Calibri" w:hAnsi="Times New Roman" w:cs="Times New Roman"/>
        </w:rPr>
        <w:t xml:space="preserve"> се споредува со официјалниот праг на сиромаштија</w:t>
      </w:r>
      <w:r w:rsidRPr="00A525EC">
        <w:rPr>
          <w:rFonts w:ascii="Times New Roman" w:eastAsia="Calibri" w:hAnsi="Times New Roman" w:cs="Times New Roman"/>
          <w:lang w:val="en-US"/>
        </w:rPr>
        <w:t>;</w:t>
      </w:r>
    </w:p>
    <w:p w14:paraId="20902602" w14:textId="77E68218" w:rsidR="008C772F" w:rsidRPr="00A525EC" w:rsidRDefault="00BF4698" w:rsidP="00A32A9B">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Д</w:t>
      </w:r>
      <w:r w:rsidR="00796DD8" w:rsidRPr="00A525EC">
        <w:rPr>
          <w:rFonts w:ascii="Times New Roman" w:eastAsia="Calibri" w:hAnsi="Times New Roman" w:cs="Times New Roman"/>
        </w:rPr>
        <w:t>омаќинства</w:t>
      </w:r>
      <w:r w:rsidR="00C14B7A" w:rsidRPr="00A525EC">
        <w:rPr>
          <w:rFonts w:ascii="Times New Roman" w:eastAsia="Calibri" w:hAnsi="Times New Roman" w:cs="Times New Roman"/>
        </w:rPr>
        <w:t>та</w:t>
      </w:r>
      <w:r w:rsidR="00796DD8" w:rsidRPr="00A525EC">
        <w:rPr>
          <w:rFonts w:ascii="Times New Roman" w:eastAsia="Calibri" w:hAnsi="Times New Roman" w:cs="Times New Roman"/>
        </w:rPr>
        <w:t xml:space="preserve"> чиј расположлив </w:t>
      </w:r>
      <w:r w:rsidR="00C14B7A" w:rsidRPr="00A525EC">
        <w:rPr>
          <w:rFonts w:ascii="Times New Roman" w:eastAsia="Calibri" w:hAnsi="Times New Roman" w:cs="Times New Roman"/>
        </w:rPr>
        <w:t xml:space="preserve">годишен приход </w:t>
      </w:r>
      <w:r w:rsidR="008C772F" w:rsidRPr="00A525EC">
        <w:rPr>
          <w:rFonts w:ascii="Times New Roman" w:eastAsia="Calibri" w:hAnsi="Times New Roman" w:cs="Times New Roman"/>
        </w:rPr>
        <w:t xml:space="preserve">намален за трошокот за потрошувачка на енергија </w:t>
      </w:r>
      <w:r w:rsidR="00796DD8" w:rsidRPr="00A525EC">
        <w:rPr>
          <w:rFonts w:ascii="Times New Roman" w:eastAsia="Calibri" w:hAnsi="Times New Roman" w:cs="Times New Roman"/>
        </w:rPr>
        <w:t xml:space="preserve">е </w:t>
      </w:r>
      <w:r w:rsidR="008C772F" w:rsidRPr="00A525EC">
        <w:rPr>
          <w:rFonts w:ascii="Times New Roman" w:eastAsia="Calibri" w:hAnsi="Times New Roman" w:cs="Times New Roman"/>
        </w:rPr>
        <w:t>под</w:t>
      </w:r>
      <w:r w:rsidR="00796DD8" w:rsidRPr="00A525EC">
        <w:rPr>
          <w:rFonts w:ascii="Times New Roman" w:eastAsia="Calibri" w:hAnsi="Times New Roman" w:cs="Times New Roman"/>
        </w:rPr>
        <w:t xml:space="preserve"> </w:t>
      </w:r>
      <w:r w:rsidR="008C772F" w:rsidRPr="00A525EC">
        <w:rPr>
          <w:rFonts w:ascii="Times New Roman" w:eastAsia="Calibri" w:hAnsi="Times New Roman" w:cs="Times New Roman"/>
        </w:rPr>
        <w:t>официјалниот праг</w:t>
      </w:r>
      <w:r w:rsidR="00C14B7A" w:rsidRPr="00A525EC">
        <w:rPr>
          <w:rFonts w:ascii="Times New Roman" w:eastAsia="Calibri" w:hAnsi="Times New Roman" w:cs="Times New Roman"/>
        </w:rPr>
        <w:t xml:space="preserve"> на сиромаштија</w:t>
      </w:r>
      <w:r w:rsidR="00796DD8" w:rsidRPr="00A525EC">
        <w:rPr>
          <w:rFonts w:ascii="Times New Roman" w:eastAsia="Calibri" w:hAnsi="Times New Roman" w:cs="Times New Roman"/>
        </w:rPr>
        <w:t>,</w:t>
      </w:r>
      <w:r w:rsidR="008C772F" w:rsidRPr="00A525EC">
        <w:rPr>
          <w:rFonts w:ascii="Times New Roman" w:eastAsia="Calibri" w:hAnsi="Times New Roman" w:cs="Times New Roman"/>
        </w:rPr>
        <w:t xml:space="preserve"> се смета за домаќинство кое што е во состојба на енергетска сиромаштија</w:t>
      </w:r>
      <w:r w:rsidR="008C772F" w:rsidRPr="00A525EC">
        <w:rPr>
          <w:rFonts w:ascii="Times New Roman" w:eastAsia="Calibri" w:hAnsi="Times New Roman" w:cs="Times New Roman"/>
          <w:lang w:val="en-US"/>
        </w:rPr>
        <w:t>;</w:t>
      </w:r>
    </w:p>
    <w:p w14:paraId="42A65EFF" w14:textId="54A1E0C7" w:rsidR="008C772F" w:rsidRDefault="008C772F" w:rsidP="00A32A9B">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 xml:space="preserve">Добиените податоци од точка 3 </w:t>
      </w:r>
      <w:r w:rsidR="00A525EC" w:rsidRPr="00A525EC">
        <w:rPr>
          <w:rFonts w:ascii="Times New Roman" w:eastAsia="Calibri" w:hAnsi="Times New Roman" w:cs="Times New Roman"/>
        </w:rPr>
        <w:t xml:space="preserve">на овој член </w:t>
      </w:r>
      <w:r w:rsidRPr="00A525EC">
        <w:rPr>
          <w:rFonts w:ascii="Times New Roman" w:eastAsia="Calibri" w:hAnsi="Times New Roman" w:cs="Times New Roman"/>
        </w:rPr>
        <w:t xml:space="preserve">се оценуваат на ниво на целата држава, со примена на стандарди кои </w:t>
      </w:r>
      <w:r w:rsidR="00A525EC" w:rsidRPr="00A525EC">
        <w:rPr>
          <w:rFonts w:ascii="Times New Roman" w:eastAsia="Calibri" w:hAnsi="Times New Roman" w:cs="Times New Roman"/>
        </w:rPr>
        <w:t xml:space="preserve">Државен завод за статистика </w:t>
      </w:r>
      <w:r w:rsidRPr="00A525EC">
        <w:rPr>
          <w:rFonts w:ascii="Times New Roman" w:eastAsia="Calibri" w:hAnsi="Times New Roman" w:cs="Times New Roman"/>
        </w:rPr>
        <w:t>ги има прифатено согласно меѓународни стандарди</w:t>
      </w:r>
      <w:r w:rsidRPr="00A525EC">
        <w:rPr>
          <w:rFonts w:ascii="Times New Roman" w:eastAsia="Calibri" w:hAnsi="Times New Roman" w:cs="Times New Roman"/>
          <w:lang w:val="en-US"/>
        </w:rPr>
        <w:t>.</w:t>
      </w:r>
    </w:p>
    <w:p w14:paraId="6F1E4F7E" w14:textId="77777777" w:rsidR="00E91998" w:rsidRDefault="00E91998" w:rsidP="00E91998">
      <w:pPr>
        <w:jc w:val="both"/>
        <w:rPr>
          <w:rFonts w:ascii="Times New Roman" w:eastAsia="Calibri" w:hAnsi="Times New Roman" w:cs="Times New Roman"/>
        </w:rPr>
      </w:pPr>
    </w:p>
    <w:p w14:paraId="5DA8AE75" w14:textId="65502932" w:rsidR="00E91998" w:rsidRPr="00E91998" w:rsidRDefault="00E91998" w:rsidP="00E91998">
      <w:pPr>
        <w:jc w:val="center"/>
        <w:rPr>
          <w:rFonts w:ascii="Times New Roman" w:eastAsia="Calibri" w:hAnsi="Times New Roman" w:cs="Times New Roman"/>
          <w:b/>
          <w:bCs/>
        </w:rPr>
      </w:pPr>
      <w:r w:rsidRPr="00E91998">
        <w:rPr>
          <w:rFonts w:ascii="Times New Roman" w:eastAsia="Calibri" w:hAnsi="Times New Roman" w:cs="Times New Roman"/>
          <w:b/>
          <w:bCs/>
        </w:rPr>
        <w:t>Член 5</w:t>
      </w:r>
    </w:p>
    <w:p w14:paraId="662804C8" w14:textId="074D9491" w:rsidR="00E91998" w:rsidRPr="002906BA" w:rsidRDefault="00E91998" w:rsidP="002906BA">
      <w:pPr>
        <w:pStyle w:val="ListParagraph"/>
        <w:numPr>
          <w:ilvl w:val="0"/>
          <w:numId w:val="40"/>
        </w:numPr>
        <w:jc w:val="both"/>
        <w:rPr>
          <w:rFonts w:ascii="Times New Roman" w:eastAsia="Calibri" w:hAnsi="Times New Roman" w:cs="Times New Roman"/>
        </w:rPr>
      </w:pPr>
      <w:r w:rsidRPr="002906BA">
        <w:rPr>
          <w:rFonts w:ascii="Times New Roman" w:eastAsia="Calibri" w:hAnsi="Times New Roman" w:cs="Times New Roman"/>
        </w:rPr>
        <w:t>Врз основа на член 4 од оваа Методологија, Државниот завод за статистика го пресметува општото ниво на енергетската сиромаштија во Република Северна Македонија и податоците ги доставува до Министерството за енергетика, рударство и минерални суровини.</w:t>
      </w:r>
    </w:p>
    <w:p w14:paraId="5D77C28E" w14:textId="45C5BBC8" w:rsidR="002906BA" w:rsidRPr="002906BA" w:rsidRDefault="002906BA" w:rsidP="002906BA">
      <w:pPr>
        <w:pStyle w:val="ListParagraph"/>
        <w:numPr>
          <w:ilvl w:val="0"/>
          <w:numId w:val="40"/>
        </w:numPr>
        <w:jc w:val="both"/>
        <w:rPr>
          <w:rFonts w:ascii="Times New Roman" w:eastAsia="Calibri" w:hAnsi="Times New Roman" w:cs="Times New Roman"/>
        </w:rPr>
      </w:pPr>
      <w:r w:rsidRPr="002906BA">
        <w:rPr>
          <w:rFonts w:ascii="Times New Roman" w:eastAsia="Calibri" w:hAnsi="Times New Roman" w:cs="Times New Roman"/>
        </w:rPr>
        <w:lastRenderedPageBreak/>
        <w:t>Министерството за енергетика, рударство и минерални суровини</w:t>
      </w:r>
      <w:r>
        <w:rPr>
          <w:rFonts w:ascii="Times New Roman" w:eastAsia="Calibri" w:hAnsi="Times New Roman" w:cs="Times New Roman"/>
          <w:lang w:val="en-US"/>
        </w:rPr>
        <w:t xml:space="preserve"> </w:t>
      </w:r>
      <w:r>
        <w:rPr>
          <w:rFonts w:ascii="Times New Roman" w:eastAsia="Calibri" w:hAnsi="Times New Roman" w:cs="Times New Roman"/>
        </w:rPr>
        <w:t>за целите на определување на домаќинство во состојба на енергетска сиромаштија постапува согласно член 6 и член 7 од оваа методологија.</w:t>
      </w:r>
    </w:p>
    <w:p w14:paraId="5F19F129" w14:textId="77777777" w:rsidR="00E91998" w:rsidRPr="00E91998" w:rsidRDefault="00E91998" w:rsidP="00362D10">
      <w:pPr>
        <w:pStyle w:val="ListParagraph"/>
        <w:jc w:val="both"/>
        <w:rPr>
          <w:rFonts w:ascii="Times New Roman" w:eastAsia="Calibri" w:hAnsi="Times New Roman" w:cs="Times New Roman"/>
        </w:rPr>
      </w:pPr>
    </w:p>
    <w:p w14:paraId="32ADBE6C" w14:textId="4407F07C" w:rsidR="00A525EC" w:rsidRPr="00E91998" w:rsidRDefault="00FA526A" w:rsidP="00E91998">
      <w:pPr>
        <w:jc w:val="center"/>
        <w:rPr>
          <w:rFonts w:ascii="Times New Roman" w:eastAsia="Calibri" w:hAnsi="Times New Roman" w:cs="Times New Roman"/>
          <w:b/>
          <w:bCs/>
        </w:rPr>
      </w:pPr>
      <w:r w:rsidRPr="00E91998">
        <w:rPr>
          <w:rFonts w:ascii="Times New Roman" w:eastAsia="Calibri" w:hAnsi="Times New Roman" w:cs="Times New Roman"/>
          <w:b/>
          <w:bCs/>
        </w:rPr>
        <w:t xml:space="preserve">Член </w:t>
      </w:r>
      <w:r w:rsidR="00E91998">
        <w:rPr>
          <w:rFonts w:ascii="Times New Roman" w:eastAsia="Calibri" w:hAnsi="Times New Roman" w:cs="Times New Roman"/>
          <w:b/>
          <w:bCs/>
        </w:rPr>
        <w:t>6</w:t>
      </w:r>
    </w:p>
    <w:p w14:paraId="414760A8" w14:textId="4658ED3E" w:rsidR="00FA526A" w:rsidRPr="00291094" w:rsidRDefault="00FA526A"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t>За целите на</w:t>
      </w:r>
      <w:r w:rsidR="001D4429" w:rsidRPr="00291094">
        <w:rPr>
          <w:rFonts w:ascii="Times New Roman" w:eastAsia="Calibri" w:hAnsi="Times New Roman" w:cs="Times New Roman"/>
        </w:rPr>
        <w:t xml:space="preserve"> </w:t>
      </w:r>
      <w:r w:rsidR="007A7DB0" w:rsidRPr="00291094">
        <w:rPr>
          <w:rFonts w:ascii="Times New Roman" w:eastAsia="Calibri" w:hAnsi="Times New Roman" w:cs="Times New Roman"/>
        </w:rPr>
        <w:t xml:space="preserve">определување </w:t>
      </w:r>
      <w:r w:rsidR="00B40116" w:rsidRPr="00291094">
        <w:rPr>
          <w:rFonts w:ascii="Times New Roman" w:eastAsia="Calibri" w:hAnsi="Times New Roman" w:cs="Times New Roman"/>
        </w:rPr>
        <w:t>на статус на домаќинство во состојба на енергетска сиромаштија</w:t>
      </w:r>
      <w:r w:rsidRPr="00291094">
        <w:rPr>
          <w:rFonts w:ascii="Times New Roman" w:eastAsia="Calibri" w:hAnsi="Times New Roman" w:cs="Times New Roman"/>
        </w:rPr>
        <w:t>,</w:t>
      </w:r>
      <w:r w:rsidR="001D4429" w:rsidRPr="00291094">
        <w:rPr>
          <w:rFonts w:ascii="Times New Roman" w:eastAsia="Calibri" w:hAnsi="Times New Roman" w:cs="Times New Roman"/>
        </w:rPr>
        <w:t xml:space="preserve"> </w:t>
      </w:r>
      <w:r w:rsidRPr="00291094">
        <w:rPr>
          <w:rFonts w:ascii="Times New Roman" w:eastAsia="Calibri" w:hAnsi="Times New Roman" w:cs="Times New Roman"/>
        </w:rPr>
        <w:t>згради</w:t>
      </w:r>
      <w:r w:rsidR="001D4429" w:rsidRPr="00291094">
        <w:rPr>
          <w:rFonts w:ascii="Times New Roman" w:eastAsia="Calibri" w:hAnsi="Times New Roman" w:cs="Times New Roman"/>
        </w:rPr>
        <w:t>те</w:t>
      </w:r>
      <w:r w:rsidRPr="00291094">
        <w:rPr>
          <w:rFonts w:ascii="Times New Roman" w:eastAsia="Calibri" w:hAnsi="Times New Roman" w:cs="Times New Roman"/>
        </w:rPr>
        <w:t xml:space="preserve"> во земјата се поделени на </w:t>
      </w:r>
      <w:r w:rsidR="00E5095A" w:rsidRPr="00291094">
        <w:rPr>
          <w:rFonts w:ascii="Times New Roman" w:eastAsia="Calibri" w:hAnsi="Times New Roman" w:cs="Times New Roman"/>
        </w:rPr>
        <w:t>осум</w:t>
      </w:r>
      <w:r w:rsidRPr="00291094">
        <w:rPr>
          <w:rFonts w:ascii="Times New Roman" w:eastAsia="Calibri" w:hAnsi="Times New Roman" w:cs="Times New Roman"/>
        </w:rPr>
        <w:t xml:space="preserve"> типа со специфичен годишен трошок на примарна енергија во согласност со </w:t>
      </w:r>
      <w:r w:rsidR="00FA7011" w:rsidRPr="00291094">
        <w:rPr>
          <w:rFonts w:ascii="Times New Roman" w:eastAsia="Calibri" w:hAnsi="Times New Roman" w:cs="Times New Roman"/>
        </w:rPr>
        <w:t>Правилникот за енергетски карактеристики на згради</w:t>
      </w:r>
      <w:r w:rsidR="00FA1F5A" w:rsidRPr="00291094">
        <w:rPr>
          <w:rFonts w:ascii="Times New Roman" w:eastAsia="Calibri" w:hAnsi="Times New Roman" w:cs="Times New Roman"/>
        </w:rPr>
        <w:t>, Прилог 6</w:t>
      </w:r>
      <w:r w:rsidRPr="00291094">
        <w:rPr>
          <w:rFonts w:ascii="Times New Roman" w:eastAsia="Calibri" w:hAnsi="Times New Roman" w:cs="Times New Roman"/>
        </w:rPr>
        <w:t>:</w:t>
      </w:r>
    </w:p>
    <w:p w14:paraId="2CC4AD9A" w14:textId="4F572E18" w:rsidR="00FA526A" w:rsidRPr="0084173B" w:rsidRDefault="00FA1F5A"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Класа  А+</w:t>
      </w:r>
      <w:r w:rsidR="00FA526A" w:rsidRPr="0084173B">
        <w:rPr>
          <w:rFonts w:ascii="Times New Roman" w:eastAsia="Calibri" w:hAnsi="Times New Roman" w:cs="Times New Roman"/>
        </w:rPr>
        <w:t xml:space="preserve"> - </w:t>
      </w:r>
      <w:r w:rsidR="009120A6" w:rsidRPr="0084173B">
        <w:rPr>
          <w:rFonts w:ascii="Times New Roman" w:eastAsia="Calibri" w:hAnsi="Times New Roman" w:cs="Times New Roman"/>
        </w:rPr>
        <w:t>н</w:t>
      </w:r>
      <w:r w:rsidRPr="0084173B">
        <w:rPr>
          <w:rFonts w:ascii="Times New Roman" w:eastAsia="Calibri" w:hAnsi="Times New Roman" w:cs="Times New Roman"/>
        </w:rPr>
        <w:t>ајвисока енергетска ефикасност, со најниска потрошувачка на енергија, помала или еднаква на 15</w:t>
      </w:r>
      <w:r w:rsidR="00F34F27" w:rsidRPr="0084173B">
        <w:rPr>
          <w:rFonts w:ascii="Times New Roman" w:eastAsia="Calibri" w:hAnsi="Times New Roman" w:cs="Times New Roman"/>
        </w:rPr>
        <w:t xml:space="preserve">  kWh/m2a</w:t>
      </w:r>
    </w:p>
    <w:p w14:paraId="1044C67D" w14:textId="5CBE389E"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Класа A</w:t>
      </w:r>
      <w:r w:rsidR="00FA526A" w:rsidRPr="0084173B">
        <w:rPr>
          <w:rFonts w:ascii="Times New Roman" w:eastAsia="Calibri" w:hAnsi="Times New Roman" w:cs="Times New Roman"/>
        </w:rPr>
        <w:t xml:space="preserve"> </w:t>
      </w:r>
      <w:r w:rsidRPr="0084173B">
        <w:rPr>
          <w:rFonts w:ascii="Times New Roman" w:eastAsia="Calibri" w:hAnsi="Times New Roman" w:cs="Times New Roman"/>
        </w:rPr>
        <w:t>–</w:t>
      </w:r>
      <w:r w:rsidR="00FA526A" w:rsidRPr="0084173B">
        <w:rPr>
          <w:rFonts w:ascii="Times New Roman" w:eastAsia="Calibri" w:hAnsi="Times New Roman" w:cs="Times New Roman"/>
        </w:rPr>
        <w:t xml:space="preserve"> </w:t>
      </w:r>
      <w:r w:rsidRPr="0084173B">
        <w:rPr>
          <w:rFonts w:ascii="Times New Roman" w:eastAsia="Calibri" w:hAnsi="Times New Roman" w:cs="Times New Roman"/>
        </w:rPr>
        <w:t>многу висока енергетска ефикасност, со ниска потрошувачка на енергија, помала или еднаква на 25</w:t>
      </w:r>
      <w:r w:rsidR="00F34F27" w:rsidRPr="0084173B">
        <w:rPr>
          <w:rFonts w:ascii="Times New Roman" w:eastAsia="Calibri" w:hAnsi="Times New Roman" w:cs="Times New Roman"/>
        </w:rPr>
        <w:t>kWh/m2a</w:t>
      </w:r>
    </w:p>
    <w:p w14:paraId="397F5F36" w14:textId="6F1F15E9"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Класа В – висока енергетска ефикасност, со ниска потрошувачка на енергија, помала или еднаква на 50</w:t>
      </w:r>
      <w:r w:rsidR="00F34F27" w:rsidRPr="0084173B">
        <w:rPr>
          <w:rFonts w:ascii="Times New Roman" w:eastAsia="Calibri" w:hAnsi="Times New Roman" w:cs="Times New Roman"/>
        </w:rPr>
        <w:t>kWh/m2a</w:t>
      </w:r>
    </w:p>
    <w:p w14:paraId="66745E20" w14:textId="7522D69C"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 xml:space="preserve">Класа С –  добра висока енергетска ефикасност, со ниска потрошувачка на енергија, помала или еднаква на 100 </w:t>
      </w:r>
      <w:r w:rsidR="00F34F27" w:rsidRPr="0084173B">
        <w:rPr>
          <w:rFonts w:ascii="Times New Roman" w:eastAsia="Calibri" w:hAnsi="Times New Roman" w:cs="Times New Roman"/>
        </w:rPr>
        <w:t>kWh/m2a</w:t>
      </w:r>
    </w:p>
    <w:p w14:paraId="194BE4B8" w14:textId="0A5FCDEA" w:rsidR="00FA526A"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 xml:space="preserve">Класа D – просечна висока енергетска ефикасност, со ниска потрошувачка на енергија, помала или еднаква на </w:t>
      </w:r>
      <w:r w:rsidR="00F34F27" w:rsidRPr="0084173B">
        <w:rPr>
          <w:rFonts w:ascii="Times New Roman" w:eastAsia="Calibri" w:hAnsi="Times New Roman" w:cs="Times New Roman"/>
        </w:rPr>
        <w:t>150</w:t>
      </w:r>
      <w:r w:rsidRPr="0084173B">
        <w:rPr>
          <w:rFonts w:ascii="Times New Roman" w:eastAsia="Calibri" w:hAnsi="Times New Roman" w:cs="Times New Roman"/>
        </w:rPr>
        <w:t xml:space="preserve"> </w:t>
      </w:r>
      <w:r w:rsidR="00F34F27" w:rsidRPr="0084173B">
        <w:rPr>
          <w:rFonts w:ascii="Times New Roman" w:eastAsia="Calibri" w:hAnsi="Times New Roman" w:cs="Times New Roman"/>
        </w:rPr>
        <w:t>kWh/m2a</w:t>
      </w:r>
    </w:p>
    <w:p w14:paraId="0020A4E4" w14:textId="15C25CCD" w:rsidR="009120A6"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 xml:space="preserve">Класа Е – под просечна висока енергетска ефикасност, со ниска потрошувачка на енергија, помала или еднаква на 200 </w:t>
      </w:r>
      <w:r w:rsidR="00F34F27" w:rsidRPr="0084173B">
        <w:rPr>
          <w:rFonts w:ascii="Times New Roman" w:eastAsia="Calibri" w:hAnsi="Times New Roman" w:cs="Times New Roman"/>
        </w:rPr>
        <w:t>kWh/m2a</w:t>
      </w:r>
    </w:p>
    <w:p w14:paraId="1C962031" w14:textId="50F278CF" w:rsidR="009120A6"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 xml:space="preserve">Класа F – ниска  висока енергетска ефикасност, со ниска потрошувачка на енергија, помала или еднаква на </w:t>
      </w:r>
      <w:r w:rsidR="00F34F27" w:rsidRPr="0084173B">
        <w:rPr>
          <w:rFonts w:ascii="Times New Roman" w:eastAsia="Calibri" w:hAnsi="Times New Roman" w:cs="Times New Roman"/>
        </w:rPr>
        <w:t>250</w:t>
      </w:r>
      <w:r w:rsidRPr="0084173B">
        <w:rPr>
          <w:rFonts w:ascii="Times New Roman" w:eastAsia="Calibri" w:hAnsi="Times New Roman" w:cs="Times New Roman"/>
        </w:rPr>
        <w:t xml:space="preserve"> </w:t>
      </w:r>
      <w:r w:rsidR="00F34F27" w:rsidRPr="0084173B">
        <w:rPr>
          <w:rFonts w:ascii="Times New Roman" w:eastAsia="Calibri" w:hAnsi="Times New Roman" w:cs="Times New Roman"/>
        </w:rPr>
        <w:t>kWh/m2a</w:t>
      </w:r>
    </w:p>
    <w:p w14:paraId="7EB90BC9" w14:textId="77777777" w:rsidR="00291094" w:rsidRDefault="009120A6" w:rsidP="00291094">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 xml:space="preserve">Класа G – најниска висока енергетска ефикасност, со ниска потрошувачка на енергија, </w:t>
      </w:r>
      <w:r w:rsidR="00F34F27" w:rsidRPr="0084173B">
        <w:rPr>
          <w:rFonts w:ascii="Times New Roman" w:eastAsia="Calibri" w:hAnsi="Times New Roman" w:cs="Times New Roman"/>
        </w:rPr>
        <w:t>поголемо од 250</w:t>
      </w:r>
      <w:r w:rsidRPr="0084173B">
        <w:rPr>
          <w:rFonts w:ascii="Times New Roman" w:eastAsia="Calibri" w:hAnsi="Times New Roman" w:cs="Times New Roman"/>
        </w:rPr>
        <w:t xml:space="preserve">  </w:t>
      </w:r>
      <w:r w:rsidR="00F34F27" w:rsidRPr="0084173B">
        <w:rPr>
          <w:rFonts w:ascii="Times New Roman" w:eastAsia="Calibri" w:hAnsi="Times New Roman" w:cs="Times New Roman"/>
        </w:rPr>
        <w:t>kWh/m2a</w:t>
      </w:r>
    </w:p>
    <w:p w14:paraId="11D2265C" w14:textId="10B651EC" w:rsidR="001E7BB1" w:rsidRPr="00291094" w:rsidRDefault="001E7BB1"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t>По исклучок од став 1 на овој член, зградите кои</w:t>
      </w:r>
      <w:r w:rsidR="007A7DB0" w:rsidRPr="00291094">
        <w:rPr>
          <w:rFonts w:ascii="Times New Roman" w:eastAsia="Calibri" w:hAnsi="Times New Roman" w:cs="Times New Roman"/>
        </w:rPr>
        <w:t xml:space="preserve"> не се реновирани и</w:t>
      </w:r>
      <w:r w:rsidRPr="00291094">
        <w:rPr>
          <w:rFonts w:ascii="Times New Roman" w:eastAsia="Calibri" w:hAnsi="Times New Roman" w:cs="Times New Roman"/>
        </w:rPr>
        <w:t xml:space="preserve"> не поседуваат сертификат за енергетски карактеристики на зграда, за потребите на </w:t>
      </w:r>
      <w:r w:rsidR="007A7DB0" w:rsidRPr="00291094">
        <w:rPr>
          <w:rFonts w:ascii="Times New Roman" w:eastAsia="Calibri" w:hAnsi="Times New Roman" w:cs="Times New Roman"/>
        </w:rPr>
        <w:t xml:space="preserve">определување на </w:t>
      </w:r>
      <w:r w:rsidR="00B40116" w:rsidRPr="00291094">
        <w:rPr>
          <w:rFonts w:ascii="Times New Roman" w:eastAsia="Calibri" w:hAnsi="Times New Roman" w:cs="Times New Roman"/>
        </w:rPr>
        <w:t>статус на домаќинство во состојба на енергетска сиромаштија</w:t>
      </w:r>
      <w:r w:rsidRPr="00291094">
        <w:rPr>
          <w:rFonts w:ascii="Times New Roman" w:eastAsia="Calibri" w:hAnsi="Times New Roman" w:cs="Times New Roman"/>
        </w:rPr>
        <w:t>:</w:t>
      </w:r>
    </w:p>
    <w:p w14:paraId="61F34923" w14:textId="778D3596"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Згради изградени пред 1965 година, се смета дека имаат потрошувачка еднаква 250  kWh/m2a</w:t>
      </w:r>
    </w:p>
    <w:p w14:paraId="4A534CD5" w14:textId="77777777"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Згради изградени 1965-1980 година, се смета дека имаат потрошувачка 175  kWh/m2a</w:t>
      </w:r>
    </w:p>
    <w:p w14:paraId="2354A532" w14:textId="77777777"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Згради изградени 1981-1990 година, се смета дека имаат потрошувачка 75 kWh/m2a</w:t>
      </w:r>
    </w:p>
    <w:p w14:paraId="2A60E072" w14:textId="739D8FC9" w:rsidR="001E7BB1" w:rsidRDefault="007A7DB0" w:rsidP="001E7BB1">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Згради по 1991 година, се смета дека имаат потрошувачка 50 kWh/m2a</w:t>
      </w:r>
    </w:p>
    <w:p w14:paraId="36F4F4CF" w14:textId="772C89CC" w:rsidR="00FA526A" w:rsidRPr="00291094" w:rsidRDefault="007A7DB0"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t xml:space="preserve">За целите на определување на </w:t>
      </w:r>
      <w:r w:rsidR="002D50DE" w:rsidRPr="00291094">
        <w:rPr>
          <w:rFonts w:ascii="Times New Roman" w:eastAsia="Calibri" w:hAnsi="Times New Roman" w:cs="Times New Roman"/>
        </w:rPr>
        <w:t xml:space="preserve">домаќинство во состојба на енергетска сиромаштија, </w:t>
      </w:r>
      <w:r w:rsidRPr="00291094">
        <w:rPr>
          <w:rFonts w:ascii="Times New Roman" w:eastAsia="Calibri" w:hAnsi="Times New Roman" w:cs="Times New Roman"/>
        </w:rPr>
        <w:t xml:space="preserve">се смета дека корисната подна површина </w:t>
      </w:r>
      <w:r w:rsidR="006215BC" w:rsidRPr="00291094">
        <w:rPr>
          <w:rFonts w:ascii="Times New Roman" w:eastAsia="Calibri" w:hAnsi="Times New Roman" w:cs="Times New Roman"/>
        </w:rPr>
        <w:t xml:space="preserve">која ја користи </w:t>
      </w:r>
      <w:r w:rsidR="00FA526A" w:rsidRPr="00291094">
        <w:rPr>
          <w:rFonts w:ascii="Times New Roman" w:eastAsia="Calibri" w:hAnsi="Times New Roman" w:cs="Times New Roman"/>
        </w:rPr>
        <w:t>домаќинство</w:t>
      </w:r>
      <w:r w:rsidR="006215BC" w:rsidRPr="00291094">
        <w:rPr>
          <w:rFonts w:ascii="Times New Roman" w:eastAsia="Calibri" w:hAnsi="Times New Roman" w:cs="Times New Roman"/>
        </w:rPr>
        <w:t>то</w:t>
      </w:r>
      <w:r w:rsidR="00FA526A" w:rsidRPr="00291094">
        <w:rPr>
          <w:rFonts w:ascii="Times New Roman" w:eastAsia="Calibri" w:hAnsi="Times New Roman" w:cs="Times New Roman"/>
        </w:rPr>
        <w:t xml:space="preserve"> според бројот на лица се определува </w:t>
      </w:r>
      <w:r w:rsidR="00BA7F8D" w:rsidRPr="00291094">
        <w:rPr>
          <w:rFonts w:ascii="Times New Roman" w:eastAsia="Calibri" w:hAnsi="Times New Roman" w:cs="Times New Roman"/>
        </w:rPr>
        <w:t>на следниов начин</w:t>
      </w:r>
      <w:r w:rsidR="00FA526A" w:rsidRPr="00291094">
        <w:rPr>
          <w:rFonts w:ascii="Times New Roman" w:eastAsia="Calibri" w:hAnsi="Times New Roman" w:cs="Times New Roman"/>
        </w:rPr>
        <w:t>:</w:t>
      </w:r>
    </w:p>
    <w:p w14:paraId="6E608A74" w14:textId="5ED42ED3"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едно лице - 40 м²;</w:t>
      </w:r>
    </w:p>
    <w:p w14:paraId="08AC7B81" w14:textId="4452C684"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две лица - 50 м²;</w:t>
      </w:r>
    </w:p>
    <w:p w14:paraId="5C0AC4F9" w14:textId="7784AC2A"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три лица - 60 м²;</w:t>
      </w:r>
    </w:p>
    <w:p w14:paraId="24337EBE" w14:textId="1BA00910"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четири лица - 70 м²;</w:t>
      </w:r>
    </w:p>
    <w:p w14:paraId="7A9F04EB" w14:textId="77777777"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пет лица - 80 м²;</w:t>
      </w:r>
    </w:p>
    <w:p w14:paraId="3931B12B" w14:textId="2D6AF7F4" w:rsidR="00275B06" w:rsidRPr="002D50DE" w:rsidRDefault="00FA526A" w:rsidP="002D50DE">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шест лица - 90 м².</w:t>
      </w:r>
    </w:p>
    <w:p w14:paraId="3AB4349D" w14:textId="73961BF3" w:rsidR="000F03D0" w:rsidRPr="0084173B" w:rsidRDefault="00FA526A" w:rsidP="00386659">
      <w:pPr>
        <w:jc w:val="center"/>
        <w:rPr>
          <w:rFonts w:ascii="Times New Roman" w:eastAsia="Calibri" w:hAnsi="Times New Roman" w:cs="Times New Roman"/>
          <w:b/>
          <w:bCs/>
        </w:rPr>
      </w:pPr>
      <w:r w:rsidRPr="0084173B">
        <w:rPr>
          <w:rFonts w:ascii="Times New Roman" w:eastAsia="Calibri" w:hAnsi="Times New Roman" w:cs="Times New Roman"/>
          <w:b/>
          <w:bCs/>
        </w:rPr>
        <w:lastRenderedPageBreak/>
        <w:t xml:space="preserve">Член </w:t>
      </w:r>
      <w:r w:rsidR="00E91998">
        <w:rPr>
          <w:rFonts w:ascii="Times New Roman" w:eastAsia="Calibri" w:hAnsi="Times New Roman" w:cs="Times New Roman"/>
          <w:b/>
          <w:bCs/>
        </w:rPr>
        <w:t>7</w:t>
      </w:r>
    </w:p>
    <w:p w14:paraId="14A1E5F9" w14:textId="6FA82B3F" w:rsidR="00FA526A" w:rsidRPr="00E20CFF" w:rsidRDefault="002D50DE" w:rsidP="004E20BF">
      <w:pPr>
        <w:pStyle w:val="ListParagraph"/>
        <w:numPr>
          <w:ilvl w:val="0"/>
          <w:numId w:val="28"/>
        </w:numPr>
        <w:jc w:val="both"/>
        <w:rPr>
          <w:rFonts w:ascii="Times New Roman" w:eastAsia="Calibri" w:hAnsi="Times New Roman" w:cs="Times New Roman"/>
        </w:rPr>
      </w:pPr>
      <w:r w:rsidRPr="00E20CFF">
        <w:rPr>
          <w:rFonts w:ascii="Times New Roman" w:eastAsia="Calibri" w:hAnsi="Times New Roman" w:cs="Times New Roman"/>
        </w:rPr>
        <w:t>В</w:t>
      </w:r>
      <w:r w:rsidR="0067464E" w:rsidRPr="00E20CFF">
        <w:rPr>
          <w:rFonts w:ascii="Times New Roman" w:eastAsia="Calibri" w:hAnsi="Times New Roman" w:cs="Times New Roman"/>
        </w:rPr>
        <w:t xml:space="preserve">рз основа на </w:t>
      </w:r>
      <w:r w:rsidR="00717B73" w:rsidRPr="00E20CFF">
        <w:rPr>
          <w:rFonts w:ascii="Times New Roman" w:eastAsia="Calibri" w:hAnsi="Times New Roman" w:cs="Times New Roman"/>
        </w:rPr>
        <w:t>просечните годишни податоци</w:t>
      </w:r>
      <w:r w:rsidR="0067464E" w:rsidRPr="00E20CFF">
        <w:rPr>
          <w:rFonts w:ascii="Times New Roman" w:eastAsia="Calibri" w:hAnsi="Times New Roman" w:cs="Times New Roman"/>
        </w:rPr>
        <w:t xml:space="preserve"> обезбедени од М</w:t>
      </w:r>
      <w:r w:rsidRPr="00E20CFF">
        <w:rPr>
          <w:rFonts w:ascii="Times New Roman" w:eastAsia="Calibri" w:hAnsi="Times New Roman" w:cs="Times New Roman"/>
        </w:rPr>
        <w:t>инистерство за социјална политика демографија и млади,</w:t>
      </w:r>
      <w:r w:rsidR="00717B73" w:rsidRPr="00E20CFF">
        <w:rPr>
          <w:rFonts w:ascii="Times New Roman" w:eastAsia="Calibri" w:hAnsi="Times New Roman" w:cs="Times New Roman"/>
        </w:rPr>
        <w:t xml:space="preserve"> лицата што живеат во домаќинство, а </w:t>
      </w:r>
      <w:r w:rsidRPr="00E20CFF">
        <w:rPr>
          <w:rFonts w:ascii="Times New Roman" w:eastAsia="Calibri" w:hAnsi="Times New Roman" w:cs="Times New Roman"/>
        </w:rPr>
        <w:t xml:space="preserve">се </w:t>
      </w:r>
      <w:r w:rsidR="0067464E" w:rsidRPr="00E20CFF">
        <w:rPr>
          <w:rFonts w:ascii="Times New Roman" w:eastAsia="Calibri" w:hAnsi="Times New Roman" w:cs="Times New Roman"/>
        </w:rPr>
        <w:t xml:space="preserve">корисници </w:t>
      </w:r>
      <w:r w:rsidR="004039A2" w:rsidRPr="00E20CFF">
        <w:rPr>
          <w:rFonts w:ascii="Times New Roman" w:eastAsia="Calibri" w:hAnsi="Times New Roman" w:cs="Times New Roman"/>
        </w:rPr>
        <w:t xml:space="preserve">на право </w:t>
      </w:r>
      <w:r w:rsidR="0067464E" w:rsidRPr="00E20CFF">
        <w:rPr>
          <w:rFonts w:ascii="Times New Roman" w:eastAsia="Calibri" w:hAnsi="Times New Roman" w:cs="Times New Roman"/>
        </w:rPr>
        <w:t>на г</w:t>
      </w:r>
      <w:r w:rsidRPr="00E20CFF">
        <w:rPr>
          <w:rFonts w:ascii="Times New Roman" w:eastAsia="Calibri" w:hAnsi="Times New Roman" w:cs="Times New Roman"/>
        </w:rPr>
        <w:t>арантирана минимална помош</w:t>
      </w:r>
      <w:r w:rsidR="004039A2" w:rsidRPr="00E20CFF">
        <w:rPr>
          <w:rFonts w:ascii="Times New Roman" w:eastAsia="Calibri" w:hAnsi="Times New Roman" w:cs="Times New Roman"/>
        </w:rPr>
        <w:t xml:space="preserve"> и</w:t>
      </w:r>
      <w:r w:rsidR="008F2FAE">
        <w:rPr>
          <w:rFonts w:ascii="Times New Roman" w:eastAsia="Calibri" w:hAnsi="Times New Roman" w:cs="Times New Roman"/>
        </w:rPr>
        <w:t>ли</w:t>
      </w:r>
      <w:r w:rsidR="004039A2" w:rsidRPr="00E20CFF">
        <w:rPr>
          <w:rFonts w:ascii="Times New Roman" w:eastAsia="Calibri" w:hAnsi="Times New Roman" w:cs="Times New Roman"/>
        </w:rPr>
        <w:t xml:space="preserve"> право на социјална сигурност за старите лица</w:t>
      </w:r>
      <w:r w:rsidRPr="00E20CFF">
        <w:rPr>
          <w:rFonts w:ascii="Times New Roman" w:eastAsia="Calibri" w:hAnsi="Times New Roman" w:cs="Times New Roman"/>
        </w:rPr>
        <w:t xml:space="preserve"> во претходната календарска година</w:t>
      </w:r>
      <w:r w:rsidR="0067464E" w:rsidRPr="00E20CFF">
        <w:rPr>
          <w:rFonts w:ascii="Times New Roman" w:eastAsia="Calibri" w:hAnsi="Times New Roman" w:cs="Times New Roman"/>
        </w:rPr>
        <w:t xml:space="preserve">, </w:t>
      </w:r>
      <w:r w:rsidR="00A26674" w:rsidRPr="00E20CFF">
        <w:rPr>
          <w:rFonts w:ascii="Times New Roman" w:eastAsia="Calibri" w:hAnsi="Times New Roman" w:cs="Times New Roman"/>
        </w:rPr>
        <w:t xml:space="preserve">и </w:t>
      </w:r>
      <w:r w:rsidR="004039A2" w:rsidRPr="00E20CFF">
        <w:rPr>
          <w:rFonts w:ascii="Times New Roman" w:eastAsia="Calibri" w:hAnsi="Times New Roman" w:cs="Times New Roman"/>
        </w:rPr>
        <w:t xml:space="preserve">кои во текот на зимските месеци (октомври до март) оствариле паричен додаток заради покривање на дел од трошоците за потрошувачка на енергенси во домаќинството </w:t>
      </w:r>
      <w:r w:rsidR="00A26674" w:rsidRPr="00E20CFF">
        <w:rPr>
          <w:rFonts w:ascii="Times New Roman" w:eastAsia="Calibri" w:hAnsi="Times New Roman" w:cs="Times New Roman"/>
        </w:rPr>
        <w:t>во согласност со член 42 од Законот за социјалната заштита и член 7 од Законот за социјална сигурност за старите лица</w:t>
      </w:r>
      <w:r w:rsidRPr="00E20CFF">
        <w:rPr>
          <w:rFonts w:ascii="Times New Roman" w:eastAsia="Calibri" w:hAnsi="Times New Roman" w:cs="Times New Roman"/>
        </w:rPr>
        <w:t xml:space="preserve">, се смета дека </w:t>
      </w:r>
      <w:r w:rsidR="00A26674" w:rsidRPr="00E20CFF">
        <w:rPr>
          <w:rFonts w:ascii="Times New Roman" w:eastAsia="Calibri" w:hAnsi="Times New Roman" w:cs="Times New Roman"/>
        </w:rPr>
        <w:t xml:space="preserve">живеат </w:t>
      </w:r>
      <w:r w:rsidRPr="00E20CFF">
        <w:rPr>
          <w:rFonts w:ascii="Times New Roman" w:eastAsia="Calibri" w:hAnsi="Times New Roman" w:cs="Times New Roman"/>
        </w:rPr>
        <w:t>во енергетска сиромаштија</w:t>
      </w:r>
      <w:r w:rsidR="0067464E" w:rsidRPr="00E20CFF">
        <w:rPr>
          <w:rFonts w:ascii="Times New Roman" w:eastAsia="Calibri" w:hAnsi="Times New Roman" w:cs="Times New Roman"/>
        </w:rPr>
        <w:t>.</w:t>
      </w:r>
    </w:p>
    <w:p w14:paraId="36A638D6" w14:textId="7BA3BDE7" w:rsidR="004E20BF" w:rsidRPr="002D50DE" w:rsidRDefault="002D50DE" w:rsidP="002D50DE">
      <w:pPr>
        <w:pStyle w:val="ListParagraph"/>
        <w:numPr>
          <w:ilvl w:val="0"/>
          <w:numId w:val="28"/>
        </w:numPr>
        <w:jc w:val="both"/>
        <w:rPr>
          <w:rFonts w:ascii="Times New Roman" w:eastAsia="Calibri" w:hAnsi="Times New Roman" w:cs="Times New Roman"/>
        </w:rPr>
      </w:pPr>
      <w:r>
        <w:rPr>
          <w:rFonts w:ascii="Times New Roman" w:eastAsia="Calibri" w:hAnsi="Times New Roman" w:cs="Times New Roman"/>
        </w:rPr>
        <w:t>В</w:t>
      </w:r>
      <w:r w:rsidRPr="004E20BF">
        <w:rPr>
          <w:rFonts w:ascii="Times New Roman" w:eastAsia="Calibri" w:hAnsi="Times New Roman" w:cs="Times New Roman"/>
        </w:rPr>
        <w:t>рз основа на податоците обезбедени</w:t>
      </w:r>
      <w:r>
        <w:rPr>
          <w:rFonts w:ascii="Times New Roman" w:eastAsia="Calibri" w:hAnsi="Times New Roman" w:cs="Times New Roman"/>
        </w:rPr>
        <w:t xml:space="preserve"> од Министерство за здравство, </w:t>
      </w:r>
      <w:r w:rsidR="00C76479">
        <w:rPr>
          <w:rFonts w:ascii="Times New Roman" w:eastAsia="Calibri" w:hAnsi="Times New Roman" w:cs="Times New Roman"/>
        </w:rPr>
        <w:t>лицата на кои им биле доделени помошни средства за независен живот и/или медицински уреди за одржување на живот чија функција зависи од извор на електрична енергија се сметаат дека имаат статус на домаќинство во енергетска сиромаштија.</w:t>
      </w:r>
    </w:p>
    <w:p w14:paraId="29DA4188" w14:textId="77777777" w:rsidR="001A3FE1" w:rsidRDefault="001A3FE1" w:rsidP="00341B41">
      <w:pPr>
        <w:jc w:val="center"/>
        <w:rPr>
          <w:rFonts w:ascii="Times New Roman" w:eastAsia="Calibri" w:hAnsi="Times New Roman" w:cs="Times New Roman"/>
          <w:b/>
        </w:rPr>
      </w:pPr>
    </w:p>
    <w:p w14:paraId="19A79166" w14:textId="407D8168" w:rsidR="0019222D" w:rsidRDefault="00341B41" w:rsidP="00341B41">
      <w:pPr>
        <w:jc w:val="center"/>
        <w:rPr>
          <w:rFonts w:ascii="Times New Roman" w:eastAsia="Calibri" w:hAnsi="Times New Roman" w:cs="Times New Roman"/>
          <w:b/>
        </w:rPr>
      </w:pPr>
      <w:r w:rsidRPr="00341B41">
        <w:rPr>
          <w:rFonts w:ascii="Times New Roman" w:eastAsia="Calibri" w:hAnsi="Times New Roman" w:cs="Times New Roman"/>
          <w:b/>
        </w:rPr>
        <w:t xml:space="preserve">Член </w:t>
      </w:r>
      <w:r w:rsidR="00E91998">
        <w:rPr>
          <w:rFonts w:ascii="Times New Roman" w:eastAsia="Calibri" w:hAnsi="Times New Roman" w:cs="Times New Roman"/>
          <w:b/>
        </w:rPr>
        <w:t>8</w:t>
      </w:r>
    </w:p>
    <w:p w14:paraId="3CDEFF3D" w14:textId="647DFEAE" w:rsidR="00A91837" w:rsidRPr="00E91998" w:rsidRDefault="00E91998" w:rsidP="0091404A">
      <w:pPr>
        <w:pStyle w:val="ListParagraph"/>
        <w:numPr>
          <w:ilvl w:val="0"/>
          <w:numId w:val="32"/>
        </w:numPr>
        <w:jc w:val="both"/>
        <w:rPr>
          <w:rFonts w:ascii="Times New Roman" w:eastAsia="Calibri" w:hAnsi="Times New Roman" w:cs="Times New Roman"/>
        </w:rPr>
      </w:pPr>
      <w:r w:rsidRPr="00E91998">
        <w:rPr>
          <w:rFonts w:ascii="Times New Roman" w:eastAsia="Calibri" w:hAnsi="Times New Roman" w:cs="Times New Roman"/>
        </w:rPr>
        <w:t>Првите резултати од</w:t>
      </w:r>
      <w:r w:rsidR="00A91837" w:rsidRPr="00E91998">
        <w:rPr>
          <w:rFonts w:ascii="Times New Roman" w:eastAsia="Calibri" w:hAnsi="Times New Roman" w:cs="Times New Roman"/>
        </w:rPr>
        <w:t xml:space="preserve"> </w:t>
      </w:r>
      <w:r w:rsidR="008F2FAE" w:rsidRPr="00E91998">
        <w:rPr>
          <w:rFonts w:ascii="Times New Roman" w:eastAsia="Calibri" w:hAnsi="Times New Roman" w:cs="Times New Roman"/>
        </w:rPr>
        <w:t>проценка</w:t>
      </w:r>
      <w:r w:rsidRPr="00E91998">
        <w:rPr>
          <w:rFonts w:ascii="Times New Roman" w:eastAsia="Calibri" w:hAnsi="Times New Roman" w:cs="Times New Roman"/>
        </w:rPr>
        <w:t>та</w:t>
      </w:r>
      <w:r w:rsidR="008F2FAE" w:rsidRPr="00E91998">
        <w:rPr>
          <w:rFonts w:ascii="Times New Roman" w:eastAsia="Calibri" w:hAnsi="Times New Roman" w:cs="Times New Roman"/>
        </w:rPr>
        <w:t xml:space="preserve"> на општото ниво на енергетската сиромаштија во Република Северна Македонија, </w:t>
      </w:r>
      <w:r w:rsidR="00A91837" w:rsidRPr="00E91998">
        <w:rPr>
          <w:rFonts w:ascii="Times New Roman" w:eastAsia="Calibri" w:hAnsi="Times New Roman" w:cs="Times New Roman"/>
        </w:rPr>
        <w:t xml:space="preserve">Министерството за енергетика, рударство и минерални суровини ќе </w:t>
      </w:r>
      <w:r w:rsidRPr="00E91998">
        <w:rPr>
          <w:rFonts w:ascii="Times New Roman" w:eastAsia="Calibri" w:hAnsi="Times New Roman" w:cs="Times New Roman"/>
        </w:rPr>
        <w:t>ги објави на својата веб страна</w:t>
      </w:r>
      <w:r w:rsidR="00A91837" w:rsidRPr="00E91998">
        <w:rPr>
          <w:rFonts w:ascii="Times New Roman" w:eastAsia="Calibri" w:hAnsi="Times New Roman" w:cs="Times New Roman"/>
        </w:rPr>
        <w:t xml:space="preserve"> </w:t>
      </w:r>
      <w:r w:rsidR="008F2FAE" w:rsidRPr="00E91998">
        <w:rPr>
          <w:rFonts w:ascii="Times New Roman" w:eastAsia="Calibri" w:hAnsi="Times New Roman" w:cs="Times New Roman"/>
        </w:rPr>
        <w:t xml:space="preserve">во текот на </w:t>
      </w:r>
      <w:r w:rsidR="00A91837" w:rsidRPr="00E91998">
        <w:rPr>
          <w:rFonts w:ascii="Times New Roman" w:eastAsia="Calibri" w:hAnsi="Times New Roman" w:cs="Times New Roman"/>
        </w:rPr>
        <w:t>2025 година</w:t>
      </w:r>
      <w:r>
        <w:rPr>
          <w:rFonts w:ascii="Times New Roman" w:eastAsia="Calibri" w:hAnsi="Times New Roman" w:cs="Times New Roman"/>
        </w:rPr>
        <w:t>.</w:t>
      </w:r>
    </w:p>
    <w:p w14:paraId="2696654A" w14:textId="75D54511" w:rsidR="00E91998" w:rsidRDefault="00E91998" w:rsidP="00E91998">
      <w:pPr>
        <w:pStyle w:val="ListParagraph"/>
        <w:numPr>
          <w:ilvl w:val="0"/>
          <w:numId w:val="32"/>
        </w:numPr>
        <w:jc w:val="both"/>
        <w:rPr>
          <w:rFonts w:ascii="Times New Roman" w:eastAsia="Calibri" w:hAnsi="Times New Roman" w:cs="Times New Roman"/>
        </w:rPr>
      </w:pPr>
      <w:r w:rsidRPr="00E91998">
        <w:rPr>
          <w:rFonts w:ascii="Times New Roman" w:eastAsia="Calibri" w:hAnsi="Times New Roman" w:cs="Times New Roman"/>
        </w:rPr>
        <w:t>Државниот завод за статистика</w:t>
      </w:r>
      <w:r>
        <w:rPr>
          <w:rFonts w:ascii="Times New Roman" w:eastAsia="Calibri" w:hAnsi="Times New Roman" w:cs="Times New Roman"/>
        </w:rPr>
        <w:t>,</w:t>
      </w:r>
      <w:r w:rsidRPr="00E91998">
        <w:rPr>
          <w:rFonts w:ascii="Times New Roman" w:eastAsia="Calibri" w:hAnsi="Times New Roman" w:cs="Times New Roman"/>
        </w:rPr>
        <w:t xml:space="preserve"> врз основа на последни расположливи податоци</w:t>
      </w:r>
      <w:r>
        <w:rPr>
          <w:rFonts w:ascii="Times New Roman" w:eastAsia="Calibri" w:hAnsi="Times New Roman" w:cs="Times New Roman"/>
        </w:rPr>
        <w:t>, ќе ја изврши првата пресметка на општото ниво на енергетска сиромаштија најдоцна до крајот на Октомври 2025 година</w:t>
      </w:r>
      <w:r w:rsidRPr="00E91998">
        <w:rPr>
          <w:rFonts w:ascii="Times New Roman" w:eastAsia="Calibri" w:hAnsi="Times New Roman" w:cs="Times New Roman"/>
        </w:rPr>
        <w:t>.</w:t>
      </w:r>
    </w:p>
    <w:p w14:paraId="5C116831" w14:textId="77777777" w:rsidR="001A3FE1" w:rsidRDefault="001A3FE1" w:rsidP="001A3FE1">
      <w:pPr>
        <w:jc w:val="both"/>
        <w:rPr>
          <w:rFonts w:ascii="Times New Roman" w:eastAsia="Calibri" w:hAnsi="Times New Roman" w:cs="Times New Roman"/>
        </w:rPr>
      </w:pPr>
    </w:p>
    <w:p w14:paraId="61B7E0E5" w14:textId="3F8D4258" w:rsidR="001A3FE1" w:rsidRDefault="001A3FE1" w:rsidP="001A3FE1">
      <w:pPr>
        <w:jc w:val="center"/>
        <w:rPr>
          <w:rFonts w:ascii="Times New Roman" w:eastAsia="Calibri" w:hAnsi="Times New Roman" w:cs="Times New Roman"/>
          <w:b/>
          <w:bCs/>
        </w:rPr>
      </w:pPr>
      <w:r w:rsidRPr="001A3FE1">
        <w:rPr>
          <w:rFonts w:ascii="Times New Roman" w:eastAsia="Calibri" w:hAnsi="Times New Roman" w:cs="Times New Roman"/>
          <w:b/>
          <w:bCs/>
        </w:rPr>
        <w:t>Член 9</w:t>
      </w:r>
    </w:p>
    <w:p w14:paraId="1FD0A131" w14:textId="77777777" w:rsidR="002906BA" w:rsidRPr="002906BA" w:rsidRDefault="00527B3E" w:rsidP="002906BA">
      <w:pPr>
        <w:pStyle w:val="ListParagraph"/>
        <w:numPr>
          <w:ilvl w:val="0"/>
          <w:numId w:val="39"/>
        </w:numPr>
        <w:jc w:val="both"/>
        <w:rPr>
          <w:rFonts w:ascii="Times New Roman" w:eastAsia="Calibri" w:hAnsi="Times New Roman" w:cs="Times New Roman"/>
        </w:rPr>
      </w:pPr>
      <w:r w:rsidRPr="002906BA">
        <w:rPr>
          <w:rFonts w:ascii="Times New Roman" w:eastAsia="Calibri" w:hAnsi="Times New Roman" w:cs="Times New Roman"/>
        </w:rPr>
        <w:t xml:space="preserve">Оваа методологија влегува во сила со денот на донесувањето. </w:t>
      </w:r>
    </w:p>
    <w:p w14:paraId="5108F615" w14:textId="77777777" w:rsidR="002A15F7" w:rsidRDefault="00527B3E" w:rsidP="002906BA">
      <w:pPr>
        <w:pStyle w:val="ListParagraph"/>
        <w:numPr>
          <w:ilvl w:val="0"/>
          <w:numId w:val="39"/>
        </w:numPr>
        <w:jc w:val="both"/>
        <w:rPr>
          <w:rFonts w:ascii="Times New Roman" w:eastAsia="Calibri" w:hAnsi="Times New Roman" w:cs="Times New Roman"/>
        </w:rPr>
      </w:pPr>
      <w:r w:rsidRPr="002906BA">
        <w:rPr>
          <w:rFonts w:ascii="Times New Roman" w:eastAsia="Calibri" w:hAnsi="Times New Roman" w:cs="Times New Roman"/>
        </w:rPr>
        <w:t xml:space="preserve">Донесената Методологија </w:t>
      </w:r>
      <w:r w:rsidRPr="002906BA">
        <w:rPr>
          <w:rFonts w:ascii="Times New Roman" w:eastAsia="Calibri" w:hAnsi="Times New Roman" w:cs="Times New Roman"/>
          <w:lang w:val="en-US"/>
        </w:rPr>
        <w:t xml:space="preserve">за мерење на нивото на енергетска сиромаштија во </w:t>
      </w:r>
      <w:r w:rsidR="002A15F7">
        <w:rPr>
          <w:rFonts w:ascii="Times New Roman" w:eastAsia="Calibri" w:hAnsi="Times New Roman" w:cs="Times New Roman"/>
        </w:rPr>
        <w:t>Р</w:t>
      </w:r>
      <w:r w:rsidRPr="002906BA">
        <w:rPr>
          <w:rFonts w:ascii="Times New Roman" w:eastAsia="Calibri" w:hAnsi="Times New Roman" w:cs="Times New Roman"/>
          <w:lang w:val="en-US"/>
        </w:rPr>
        <w:t xml:space="preserve">епублика </w:t>
      </w:r>
      <w:r w:rsidR="002A15F7">
        <w:rPr>
          <w:rFonts w:ascii="Times New Roman" w:eastAsia="Calibri" w:hAnsi="Times New Roman" w:cs="Times New Roman"/>
        </w:rPr>
        <w:t>С</w:t>
      </w:r>
      <w:r w:rsidRPr="002906BA">
        <w:rPr>
          <w:rFonts w:ascii="Times New Roman" w:eastAsia="Calibri" w:hAnsi="Times New Roman" w:cs="Times New Roman"/>
          <w:lang w:val="en-US"/>
        </w:rPr>
        <w:t xml:space="preserve">еверна </w:t>
      </w:r>
      <w:r w:rsidR="002A15F7">
        <w:rPr>
          <w:rFonts w:ascii="Times New Roman" w:eastAsia="Calibri" w:hAnsi="Times New Roman" w:cs="Times New Roman"/>
        </w:rPr>
        <w:t>М</w:t>
      </w:r>
      <w:r w:rsidRPr="002906BA">
        <w:rPr>
          <w:rFonts w:ascii="Times New Roman" w:eastAsia="Calibri" w:hAnsi="Times New Roman" w:cs="Times New Roman"/>
          <w:lang w:val="en-US"/>
        </w:rPr>
        <w:t>акедонија</w:t>
      </w:r>
      <w:r w:rsidRPr="002906BA">
        <w:rPr>
          <w:rFonts w:ascii="Times New Roman" w:eastAsia="Calibri" w:hAnsi="Times New Roman" w:cs="Times New Roman"/>
        </w:rPr>
        <w:t xml:space="preserve"> се објавува на веб страната на Министерството за енергетика, рударство и минерални суровини.</w:t>
      </w:r>
      <w:r w:rsidR="002A15F7">
        <w:rPr>
          <w:rFonts w:ascii="Times New Roman" w:eastAsia="Calibri" w:hAnsi="Times New Roman" w:cs="Times New Roman"/>
        </w:rPr>
        <w:t xml:space="preserve"> </w:t>
      </w:r>
    </w:p>
    <w:p w14:paraId="3BA03025" w14:textId="14D4F109" w:rsidR="001A3FE1" w:rsidRPr="002906BA" w:rsidRDefault="002A15F7" w:rsidP="002906BA">
      <w:pPr>
        <w:pStyle w:val="ListParagraph"/>
        <w:numPr>
          <w:ilvl w:val="0"/>
          <w:numId w:val="39"/>
        </w:numPr>
        <w:jc w:val="both"/>
        <w:rPr>
          <w:rFonts w:ascii="Times New Roman" w:eastAsia="Calibri" w:hAnsi="Times New Roman" w:cs="Times New Roman"/>
        </w:rPr>
      </w:pPr>
      <w:r>
        <w:rPr>
          <w:rFonts w:ascii="Times New Roman" w:eastAsia="Calibri" w:hAnsi="Times New Roman" w:cs="Times New Roman"/>
        </w:rPr>
        <w:t xml:space="preserve">Министерството </w:t>
      </w:r>
      <w:r w:rsidRPr="002906BA">
        <w:rPr>
          <w:rFonts w:ascii="Times New Roman" w:eastAsia="Calibri" w:hAnsi="Times New Roman" w:cs="Times New Roman"/>
        </w:rPr>
        <w:t>за енергетика, рударство и минерални суровини</w:t>
      </w:r>
      <w:r>
        <w:rPr>
          <w:rFonts w:ascii="Times New Roman" w:eastAsia="Calibri" w:hAnsi="Times New Roman" w:cs="Times New Roman"/>
        </w:rPr>
        <w:t xml:space="preserve"> во континуитет врши следење на општото ниво на енергетска сиромаштија  и секоја календарска година најдоцна до 30 мај објавува извештај за спроведените мерки за справување со енергетската сиромаштија во претходната календарска година.</w:t>
      </w:r>
    </w:p>
    <w:p w14:paraId="7555164C" w14:textId="0BA9D9AA" w:rsidR="0019222D" w:rsidRPr="0084173B" w:rsidRDefault="0019222D" w:rsidP="0019222D">
      <w:pPr>
        <w:ind w:left="720"/>
        <w:jc w:val="right"/>
        <w:rPr>
          <w:rFonts w:ascii="Times New Roman" w:eastAsia="Calibri"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9222D" w:rsidRPr="0084173B" w14:paraId="1396E9A9" w14:textId="77777777" w:rsidTr="0084173B">
        <w:trPr>
          <w:jc w:val="center"/>
        </w:trPr>
        <w:tc>
          <w:tcPr>
            <w:tcW w:w="4508" w:type="dxa"/>
          </w:tcPr>
          <w:p w14:paraId="3DB534D0" w14:textId="77777777"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 xml:space="preserve">Арх.бр: </w:t>
            </w:r>
          </w:p>
          <w:p w14:paraId="7CC28DA3" w14:textId="77777777"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 xml:space="preserve">Датум: </w:t>
            </w:r>
          </w:p>
          <w:p w14:paraId="2B27B291" w14:textId="6032FC7C"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Скопје</w:t>
            </w:r>
          </w:p>
        </w:tc>
        <w:tc>
          <w:tcPr>
            <w:tcW w:w="4508" w:type="dxa"/>
          </w:tcPr>
          <w:p w14:paraId="2927A16F" w14:textId="0E0FF43A" w:rsidR="0019222D" w:rsidRPr="0084173B" w:rsidRDefault="0019222D" w:rsidP="00A26674">
            <w:pPr>
              <w:ind w:left="720"/>
              <w:jc w:val="center"/>
              <w:rPr>
                <w:rFonts w:ascii="Times New Roman" w:eastAsia="Calibri" w:hAnsi="Times New Roman" w:cs="Times New Roman"/>
              </w:rPr>
            </w:pPr>
            <w:r w:rsidRPr="0084173B">
              <w:rPr>
                <w:rFonts w:ascii="Times New Roman" w:eastAsia="Calibri" w:hAnsi="Times New Roman" w:cs="Times New Roman"/>
              </w:rPr>
              <w:t>Министер за енергетика, рударсво и минерални суровини</w:t>
            </w:r>
          </w:p>
          <w:p w14:paraId="7068F74A" w14:textId="77777777" w:rsidR="0019222D" w:rsidRPr="0084173B" w:rsidRDefault="0019222D" w:rsidP="00A26674">
            <w:pPr>
              <w:ind w:left="720"/>
              <w:jc w:val="center"/>
              <w:rPr>
                <w:rFonts w:ascii="Times New Roman" w:eastAsia="Calibri" w:hAnsi="Times New Roman" w:cs="Times New Roman"/>
              </w:rPr>
            </w:pPr>
            <w:r w:rsidRPr="0084173B">
              <w:rPr>
                <w:rFonts w:ascii="Times New Roman" w:eastAsia="Calibri" w:hAnsi="Times New Roman" w:cs="Times New Roman"/>
              </w:rPr>
              <w:t>Сања Божиновска</w:t>
            </w:r>
          </w:p>
          <w:p w14:paraId="2CFA262A" w14:textId="77777777" w:rsidR="0019222D" w:rsidRPr="0084173B" w:rsidRDefault="0019222D" w:rsidP="0019222D">
            <w:pPr>
              <w:jc w:val="right"/>
              <w:rPr>
                <w:rFonts w:ascii="Times New Roman" w:eastAsia="Calibri" w:hAnsi="Times New Roman" w:cs="Times New Roman"/>
              </w:rPr>
            </w:pPr>
          </w:p>
        </w:tc>
      </w:tr>
    </w:tbl>
    <w:p w14:paraId="256A4678" w14:textId="77777777" w:rsidR="00EB7657" w:rsidRDefault="00EB7657" w:rsidP="001755BA">
      <w:pPr>
        <w:jc w:val="both"/>
        <w:rPr>
          <w:rFonts w:ascii="Times New Roman" w:eastAsia="Calibri" w:hAnsi="Times New Roman" w:cs="Times New Roman"/>
        </w:rPr>
      </w:pPr>
    </w:p>
    <w:p w14:paraId="16B7E5E6" w14:textId="77777777" w:rsidR="00EB7657" w:rsidRDefault="00EB7657" w:rsidP="001755BA">
      <w:pPr>
        <w:jc w:val="both"/>
        <w:rPr>
          <w:rFonts w:ascii="Times New Roman" w:eastAsia="Calibri" w:hAnsi="Times New Roman" w:cs="Times New Roman"/>
        </w:rPr>
      </w:pPr>
    </w:p>
    <w:p w14:paraId="72F4DA55" w14:textId="77777777" w:rsidR="00EB7657" w:rsidRDefault="00EB7657" w:rsidP="001755BA">
      <w:pPr>
        <w:jc w:val="both"/>
        <w:rPr>
          <w:rFonts w:ascii="Times New Roman" w:eastAsia="Calibri" w:hAnsi="Times New Roman" w:cs="Times New Roman"/>
        </w:rPr>
      </w:pPr>
    </w:p>
    <w:p w14:paraId="2B9B8FB6" w14:textId="00BA090E" w:rsidR="001755BA" w:rsidRDefault="00A00DED" w:rsidP="00EB7657">
      <w:pPr>
        <w:jc w:val="center"/>
        <w:rPr>
          <w:rFonts w:ascii="Times New Roman" w:eastAsia="Calibri" w:hAnsi="Times New Roman" w:cs="Times New Roman"/>
          <w:b/>
          <w:bCs/>
          <w:sz w:val="28"/>
          <w:szCs w:val="28"/>
        </w:rPr>
      </w:pPr>
      <w:r w:rsidRPr="0084173B">
        <w:rPr>
          <w:rFonts w:ascii="Times New Roman" w:eastAsia="Calibri" w:hAnsi="Times New Roman" w:cs="Times New Roman"/>
          <w:b/>
          <w:bCs/>
          <w:sz w:val="28"/>
          <w:szCs w:val="28"/>
        </w:rPr>
        <w:t>О</w:t>
      </w:r>
      <w:r w:rsidR="00DF2CD9" w:rsidRPr="0084173B">
        <w:rPr>
          <w:rFonts w:ascii="Times New Roman" w:eastAsia="Calibri" w:hAnsi="Times New Roman" w:cs="Times New Roman"/>
          <w:b/>
          <w:bCs/>
          <w:sz w:val="28"/>
          <w:szCs w:val="28"/>
        </w:rPr>
        <w:t>бр</w:t>
      </w:r>
      <w:r w:rsidRPr="0084173B">
        <w:rPr>
          <w:rFonts w:ascii="Times New Roman" w:eastAsia="Calibri" w:hAnsi="Times New Roman" w:cs="Times New Roman"/>
          <w:b/>
          <w:bCs/>
          <w:sz w:val="28"/>
          <w:szCs w:val="28"/>
        </w:rPr>
        <w:t>азложение</w:t>
      </w:r>
    </w:p>
    <w:p w14:paraId="43D6CF1B" w14:textId="77777777" w:rsidR="00EB7657" w:rsidRPr="00EB7657" w:rsidRDefault="00EB7657" w:rsidP="00EB7657">
      <w:pPr>
        <w:jc w:val="center"/>
        <w:rPr>
          <w:rFonts w:ascii="Times New Roman" w:eastAsia="Calibri" w:hAnsi="Times New Roman" w:cs="Times New Roman"/>
          <w:b/>
          <w:bCs/>
          <w:sz w:val="28"/>
          <w:szCs w:val="28"/>
        </w:rPr>
      </w:pPr>
    </w:p>
    <w:p w14:paraId="494426F5" w14:textId="0E5D6E08" w:rsidR="00EB7657" w:rsidRDefault="00EB7657" w:rsidP="00EB7657">
      <w:pPr>
        <w:jc w:val="both"/>
        <w:rPr>
          <w:rFonts w:ascii="Times New Roman" w:eastAsia="Calibri" w:hAnsi="Times New Roman" w:cs="Times New Roman"/>
        </w:rPr>
      </w:pPr>
      <w:r>
        <w:rPr>
          <w:rFonts w:ascii="Times New Roman" w:eastAsia="Calibri" w:hAnsi="Times New Roman" w:cs="Times New Roman"/>
        </w:rPr>
        <w:t xml:space="preserve">Согласно обврските од Реформската агенда 2024 - 2027 година, Министерството има обврска во подобласта 2.1.1 – пазарни реформи да го исполни чекорот: Спроведување мерки насочени кон заштита на ранливите потрошувачи со воспоставена Методологија за мерење на нивото на </w:t>
      </w:r>
      <w:r w:rsidRPr="00846AF1">
        <w:rPr>
          <w:rFonts w:ascii="Times New Roman" w:eastAsia="Calibri" w:hAnsi="Times New Roman" w:cs="Times New Roman"/>
        </w:rPr>
        <w:t>енергетската</w:t>
      </w:r>
      <w:r>
        <w:rPr>
          <w:rFonts w:ascii="Times New Roman" w:eastAsia="Calibri" w:hAnsi="Times New Roman" w:cs="Times New Roman"/>
        </w:rPr>
        <w:t xml:space="preserve"> сиромаштија (до Декември 2025 година)</w:t>
      </w:r>
      <w:r w:rsidR="00B04597">
        <w:rPr>
          <w:rFonts w:ascii="Times New Roman" w:eastAsia="Calibri" w:hAnsi="Times New Roman" w:cs="Times New Roman"/>
        </w:rPr>
        <w:t>.</w:t>
      </w:r>
    </w:p>
    <w:p w14:paraId="569763F0" w14:textId="4A5A80DD" w:rsidR="00EB7657" w:rsidRDefault="00EB7657" w:rsidP="00EB7657">
      <w:pPr>
        <w:ind w:firstLine="720"/>
        <w:jc w:val="both"/>
        <w:rPr>
          <w:rFonts w:ascii="Times New Roman" w:eastAsia="Calibri" w:hAnsi="Times New Roman" w:cs="Times New Roman"/>
        </w:rPr>
      </w:pPr>
      <w:r>
        <w:rPr>
          <w:rFonts w:ascii="Times New Roman" w:eastAsia="Calibri" w:hAnsi="Times New Roman" w:cs="Times New Roman"/>
        </w:rPr>
        <w:t xml:space="preserve">За целите на изготвување на оваа Методологија, Министерството формираше работна група која одржа повеќе состаноци и изготви предлог Методологија. </w:t>
      </w:r>
      <w:r w:rsidR="00191F74">
        <w:rPr>
          <w:rFonts w:ascii="Times New Roman" w:eastAsia="Calibri" w:hAnsi="Times New Roman" w:cs="Times New Roman"/>
        </w:rPr>
        <w:t>Р</w:t>
      </w:r>
      <w:r w:rsidR="00191F74" w:rsidRPr="00191F74">
        <w:rPr>
          <w:rFonts w:ascii="Times New Roman" w:eastAsia="Calibri" w:hAnsi="Times New Roman" w:cs="Times New Roman"/>
        </w:rPr>
        <w:t xml:space="preserve">аботната група за утврдување на Методологија за мерење на нивото на енергетска сиромаштија </w:t>
      </w:r>
      <w:r w:rsidR="00191F74">
        <w:rPr>
          <w:rFonts w:ascii="Times New Roman" w:eastAsia="Calibri" w:hAnsi="Times New Roman" w:cs="Times New Roman"/>
        </w:rPr>
        <w:t xml:space="preserve">започна со работа </w:t>
      </w:r>
      <w:r w:rsidR="00191F74" w:rsidRPr="00191F74">
        <w:rPr>
          <w:rFonts w:ascii="Times New Roman" w:eastAsia="Calibri" w:hAnsi="Times New Roman" w:cs="Times New Roman"/>
        </w:rPr>
        <w:t>на 12.02.2025 година. До денес одржани се осум работни состаноци во просториите на Министерството за енергетика, рударство и минерални суровини. Дел од задачите на работната група беа подготвување на анализи и предлози за потребата и поддршката на ранливите потрошувачи на енергија. Понатака, преглед на искуствата од примената на блок тарифите, идентификувањето на можностите за заштита на ранливите потршувачи</w:t>
      </w:r>
      <w:r w:rsidR="00191F74">
        <w:rPr>
          <w:rFonts w:ascii="Times New Roman" w:eastAsia="Calibri" w:hAnsi="Times New Roman" w:cs="Times New Roman"/>
        </w:rPr>
        <w:t xml:space="preserve"> и начинот на проценка на општото ниво на енергетска сиромаштија и начинот на проценка на домаќинствата во сосотојба на енергетска сиромаштија</w:t>
      </w:r>
      <w:r w:rsidR="00191F74" w:rsidRPr="00191F74">
        <w:rPr>
          <w:rFonts w:ascii="Times New Roman" w:eastAsia="Calibri" w:hAnsi="Times New Roman" w:cs="Times New Roman"/>
        </w:rPr>
        <w:t xml:space="preserve">. За време на состаноците се разгледаа искуства од </w:t>
      </w:r>
      <w:r w:rsidR="00191F74">
        <w:rPr>
          <w:rFonts w:ascii="Times New Roman" w:eastAsia="Calibri" w:hAnsi="Times New Roman" w:cs="Times New Roman"/>
        </w:rPr>
        <w:t xml:space="preserve">одделни </w:t>
      </w:r>
      <w:r w:rsidR="00191F74" w:rsidRPr="00191F74">
        <w:rPr>
          <w:rFonts w:ascii="Times New Roman" w:eastAsia="Calibri" w:hAnsi="Times New Roman" w:cs="Times New Roman"/>
        </w:rPr>
        <w:t xml:space="preserve">земји членки на </w:t>
      </w:r>
      <w:r w:rsidR="00191F74">
        <w:rPr>
          <w:rFonts w:ascii="Times New Roman" w:eastAsia="Calibri" w:hAnsi="Times New Roman" w:cs="Times New Roman"/>
        </w:rPr>
        <w:t>Европска Унија</w:t>
      </w:r>
      <w:r w:rsidR="00191F74" w:rsidRPr="00191F74">
        <w:rPr>
          <w:rFonts w:ascii="Times New Roman" w:eastAsia="Calibri" w:hAnsi="Times New Roman" w:cs="Times New Roman"/>
        </w:rPr>
        <w:t>, во врска со мерењто на нивото на енергетската сиромаштија. На состаноците се одржа презентација од ЕВН на тема енергетска сиромаштија и ранливи домаќинства во Р. Бугарија. По презентацијата се разви дискусија и се донесе заклучок ЕВН заедно со Министерство за социјална политика, демографија и млади да стапат во контакт со цел да се разгледа можноста за размена на податоци за потрошувачката на електрична енергија за примателите на гарантирана минимална помош.</w:t>
      </w:r>
      <w:r w:rsidR="00191F74">
        <w:rPr>
          <w:rFonts w:ascii="Times New Roman" w:eastAsia="Calibri" w:hAnsi="Times New Roman" w:cs="Times New Roman"/>
        </w:rPr>
        <w:t xml:space="preserve"> Работната група исто така, го разгледа водичот на Енергетска заедница за идентификување и адресирање на енергетската сиромаштија во </w:t>
      </w:r>
      <w:r w:rsidR="0010362D">
        <w:rPr>
          <w:rFonts w:ascii="Times New Roman" w:eastAsia="Calibri" w:hAnsi="Times New Roman" w:cs="Times New Roman"/>
        </w:rPr>
        <w:t>земјите членки на Енергетската Заедница и дискутираше за препораките утврдени во водичот. Дел од препораките од овој водич се транспонирани на национално ниво со оваа предлог методологија. Имено, с</w:t>
      </w:r>
      <w:r>
        <w:rPr>
          <w:rFonts w:ascii="Times New Roman" w:eastAsia="Calibri" w:hAnsi="Times New Roman" w:cs="Times New Roman"/>
        </w:rPr>
        <w:t>о</w:t>
      </w:r>
      <w:r w:rsidR="0010362D">
        <w:rPr>
          <w:rFonts w:ascii="Times New Roman" w:eastAsia="Calibri" w:hAnsi="Times New Roman" w:cs="Times New Roman"/>
        </w:rPr>
        <w:t xml:space="preserve"> оваа</w:t>
      </w:r>
      <w:r>
        <w:rPr>
          <w:rFonts w:ascii="Times New Roman" w:eastAsia="Calibri" w:hAnsi="Times New Roman" w:cs="Times New Roman"/>
        </w:rPr>
        <w:t xml:space="preserve"> предлог Методологијата се</w:t>
      </w:r>
      <w:r w:rsidR="0010362D">
        <w:rPr>
          <w:rFonts w:ascii="Times New Roman" w:eastAsia="Calibri" w:hAnsi="Times New Roman" w:cs="Times New Roman"/>
        </w:rPr>
        <w:t xml:space="preserve"> </w:t>
      </w:r>
      <w:r w:rsidR="0010362D" w:rsidRPr="0010362D">
        <w:rPr>
          <w:rFonts w:ascii="Times New Roman" w:eastAsia="Calibri" w:hAnsi="Times New Roman" w:cs="Times New Roman"/>
        </w:rPr>
        <w:t>споредуваат потрошувачката на енергија и приходите</w:t>
      </w:r>
      <w:r w:rsidR="0010362D">
        <w:rPr>
          <w:rFonts w:ascii="Times New Roman" w:eastAsia="Calibri" w:hAnsi="Times New Roman" w:cs="Times New Roman"/>
        </w:rPr>
        <w:t>, со цел да се определи општото ниво на енергетска сиромаштија, како што е наведено во препораките од водичот</w:t>
      </w:r>
      <w:r>
        <w:rPr>
          <w:rFonts w:ascii="Times New Roman" w:eastAsia="Calibri" w:hAnsi="Times New Roman" w:cs="Times New Roman"/>
        </w:rPr>
        <w:t>:</w:t>
      </w:r>
    </w:p>
    <w:p w14:paraId="08E1CD5A" w14:textId="004B47FB" w:rsidR="00EB7657" w:rsidRPr="00B04597" w:rsidRDefault="00EB7657" w:rsidP="00EB7657">
      <w:pPr>
        <w:ind w:firstLine="720"/>
        <w:jc w:val="both"/>
        <w:rPr>
          <w:rFonts w:ascii="Times New Roman" w:eastAsia="Calibri" w:hAnsi="Times New Roman" w:cs="Times New Roman"/>
        </w:rPr>
      </w:pPr>
      <w:r w:rsidRPr="00B04597">
        <w:rPr>
          <w:rFonts w:ascii="Times New Roman" w:eastAsia="Calibri" w:hAnsi="Times New Roman" w:cs="Times New Roman"/>
        </w:rPr>
        <w:t xml:space="preserve"> „Индикатори што ги споредуваат потрошувачката на енергија и приходите: Индикатори што квантификуваат енергетска сиромаштија преку разгледување на потрошувачката на енергија на домаќинствата во однос на нивните расположливи приходи“.</w:t>
      </w:r>
      <w:r w:rsidR="0010362D" w:rsidRPr="00B04597">
        <w:rPr>
          <w:rStyle w:val="FootnoteReference"/>
          <w:rFonts w:ascii="Times New Roman" w:eastAsia="Calibri" w:hAnsi="Times New Roman" w:cs="Times New Roman"/>
        </w:rPr>
        <w:footnoteReference w:id="6"/>
      </w:r>
    </w:p>
    <w:p w14:paraId="04F7F0C4" w14:textId="595A71EF" w:rsidR="00AE5A9F" w:rsidRDefault="00DE46DE" w:rsidP="00AE5A9F">
      <w:pPr>
        <w:jc w:val="both"/>
        <w:rPr>
          <w:rFonts w:ascii="Times New Roman" w:eastAsia="Calibri" w:hAnsi="Times New Roman" w:cs="Times New Roman"/>
        </w:rPr>
      </w:pPr>
      <w:r>
        <w:rPr>
          <w:rFonts w:ascii="Times New Roman" w:eastAsia="Calibri" w:hAnsi="Times New Roman" w:cs="Times New Roman"/>
        </w:rPr>
        <w:t>Како дел од Реформската Агенда</w:t>
      </w:r>
      <w:r>
        <w:rPr>
          <w:bCs/>
        </w:rPr>
        <w:t xml:space="preserve">, </w:t>
      </w:r>
      <w:r w:rsidR="00EA6F10">
        <w:rPr>
          <w:rFonts w:ascii="Times New Roman" w:hAnsi="Times New Roman" w:cs="Times New Roman"/>
          <w:bCs/>
        </w:rPr>
        <w:t>о</w:t>
      </w:r>
      <w:r w:rsidRPr="00DE46DE">
        <w:rPr>
          <w:rFonts w:ascii="Times New Roman" w:hAnsi="Times New Roman" w:cs="Times New Roman"/>
          <w:bCs/>
        </w:rPr>
        <w:t>бласт на политика 2:</w:t>
      </w:r>
      <w:r w:rsidR="00EA6F10">
        <w:rPr>
          <w:rFonts w:ascii="Times New Roman" w:hAnsi="Times New Roman" w:cs="Times New Roman"/>
          <w:bCs/>
        </w:rPr>
        <w:t xml:space="preserve"> </w:t>
      </w:r>
      <w:r w:rsidRPr="00DE46DE">
        <w:rPr>
          <w:rFonts w:ascii="Times New Roman" w:hAnsi="Times New Roman" w:cs="Times New Roman"/>
          <w:bCs/>
        </w:rPr>
        <w:t>Енергетска дигитална транзиција, ПОДОБЛАСТ 2.1.1 Пазарни реформи, Реформата 2.1.1.1 чекор: Целосно транспонирање на пакетот за интеграција на електрична енергија и продолжување на неговото спроведување, во согласност со барањата на Енергетската заедница (до јули 2025 година), Министерството изготви предлог Закон за енергетика</w:t>
      </w:r>
      <w:r w:rsidR="00EA6F10">
        <w:rPr>
          <w:rFonts w:ascii="Times New Roman" w:hAnsi="Times New Roman" w:cs="Times New Roman"/>
          <w:bCs/>
        </w:rPr>
        <w:t xml:space="preserve"> </w:t>
      </w:r>
      <w:r w:rsidRPr="00DE46DE">
        <w:rPr>
          <w:rFonts w:ascii="Times New Roman" w:hAnsi="Times New Roman" w:cs="Times New Roman"/>
          <w:bCs/>
        </w:rPr>
        <w:t xml:space="preserve">(*) кој </w:t>
      </w:r>
      <w:r w:rsidR="0094654A">
        <w:rPr>
          <w:rFonts w:ascii="Times New Roman" w:hAnsi="Times New Roman" w:cs="Times New Roman"/>
          <w:bCs/>
        </w:rPr>
        <w:t>кој е усвоен на 15.05.2025 година</w:t>
      </w:r>
      <w:r w:rsidRPr="00DE46DE">
        <w:rPr>
          <w:rFonts w:ascii="Times New Roman" w:hAnsi="Times New Roman" w:cs="Times New Roman"/>
          <w:bCs/>
        </w:rPr>
        <w:t>.</w:t>
      </w:r>
      <w:r>
        <w:rPr>
          <w:bCs/>
        </w:rPr>
        <w:t xml:space="preserve"> </w:t>
      </w:r>
      <w:r w:rsidR="00EB7657">
        <w:rPr>
          <w:rFonts w:ascii="Times New Roman" w:eastAsia="Calibri" w:hAnsi="Times New Roman" w:cs="Times New Roman"/>
        </w:rPr>
        <w:t>Во ч</w:t>
      </w:r>
      <w:r w:rsidR="00EB7657" w:rsidRPr="000D7BC7">
        <w:rPr>
          <w:rFonts w:ascii="Times New Roman" w:eastAsia="Calibri" w:hAnsi="Times New Roman" w:cs="Times New Roman"/>
        </w:rPr>
        <w:t>лен</w:t>
      </w:r>
      <w:r w:rsidR="00EB7657" w:rsidRPr="000D7BC7">
        <w:rPr>
          <w:rFonts w:ascii="Times New Roman" w:eastAsia="Calibri" w:hAnsi="Times New Roman" w:cs="Times New Roman"/>
          <w:lang w:val="en-US"/>
        </w:rPr>
        <w:t xml:space="preserve"> 10 </w:t>
      </w:r>
      <w:r w:rsidR="00EB7657" w:rsidRPr="000D7BC7">
        <w:rPr>
          <w:rFonts w:ascii="Times New Roman" w:eastAsia="Calibri" w:hAnsi="Times New Roman" w:cs="Times New Roman"/>
        </w:rPr>
        <w:t xml:space="preserve">став </w:t>
      </w:r>
      <w:r w:rsidR="00EB7657" w:rsidRPr="000D7BC7">
        <w:rPr>
          <w:rFonts w:ascii="Times New Roman" w:eastAsia="Calibri" w:hAnsi="Times New Roman" w:cs="Times New Roman"/>
          <w:lang w:val="en-US"/>
        </w:rPr>
        <w:t>(2</w:t>
      </w:r>
      <w:r w:rsidR="00EB7657" w:rsidRPr="000D7BC7">
        <w:rPr>
          <w:rFonts w:ascii="Times New Roman" w:eastAsia="Calibri" w:hAnsi="Times New Roman" w:cs="Times New Roman"/>
        </w:rPr>
        <w:t xml:space="preserve">) </w:t>
      </w:r>
      <w:r w:rsidR="00EB7657">
        <w:rPr>
          <w:rFonts w:ascii="Times New Roman" w:eastAsia="Calibri" w:hAnsi="Times New Roman" w:cs="Times New Roman"/>
        </w:rPr>
        <w:t xml:space="preserve">од </w:t>
      </w:r>
      <w:r w:rsidR="00EB7657">
        <w:rPr>
          <w:rFonts w:ascii="Times New Roman" w:eastAsia="Calibri" w:hAnsi="Times New Roman" w:cs="Times New Roman"/>
        </w:rPr>
        <w:lastRenderedPageBreak/>
        <w:t>Законот за енергетика се уредува дека б</w:t>
      </w:r>
      <w:r w:rsidR="00EB7657" w:rsidRPr="000D7BC7">
        <w:rPr>
          <w:rFonts w:ascii="Times New Roman" w:eastAsia="Calibri" w:hAnsi="Times New Roman" w:cs="Times New Roman"/>
        </w:rPr>
        <w:t>ројот на ранливи потрошувачи се определува врз основа на критериумите од ставот (1) на овој член</w:t>
      </w:r>
      <w:r w:rsidR="00AE5A9F">
        <w:rPr>
          <w:rFonts w:ascii="Times New Roman" w:eastAsia="Calibri" w:hAnsi="Times New Roman" w:cs="Times New Roman"/>
        </w:rPr>
        <w:t xml:space="preserve">. Согласно овој закон се уредува дефиниција на </w:t>
      </w:r>
      <w:r w:rsidR="00AE5A9F" w:rsidRPr="000D7BC7">
        <w:rPr>
          <w:rFonts w:ascii="Times New Roman" w:eastAsia="Calibri" w:hAnsi="Times New Roman" w:cs="Times New Roman"/>
        </w:rPr>
        <w:t>Ранлив потрошувач на енергија</w:t>
      </w:r>
      <w:r w:rsidR="00AE5A9F">
        <w:rPr>
          <w:rFonts w:ascii="Times New Roman" w:eastAsia="Calibri" w:hAnsi="Times New Roman" w:cs="Times New Roman"/>
        </w:rPr>
        <w:t>.</w:t>
      </w:r>
    </w:p>
    <w:p w14:paraId="7588239B" w14:textId="36DC3305" w:rsidR="00EB7657" w:rsidRPr="000D7BC7" w:rsidRDefault="00EB7657" w:rsidP="00EB7657">
      <w:pPr>
        <w:jc w:val="both"/>
        <w:rPr>
          <w:rFonts w:ascii="Times New Roman" w:eastAsia="Calibri" w:hAnsi="Times New Roman" w:cs="Times New Roman"/>
        </w:rPr>
      </w:pPr>
      <w:r w:rsidRPr="000D7BC7">
        <w:rPr>
          <w:rFonts w:ascii="Times New Roman" w:eastAsia="Calibri" w:hAnsi="Times New Roman" w:cs="Times New Roman"/>
        </w:rPr>
        <w:t xml:space="preserve">Определениот број на ранливи потрошувачи се зема предвид при утврдување на мерките за намалување на енергетската сиромаштија во </w:t>
      </w:r>
      <w:bookmarkStart w:id="0" w:name="_Hlk185510820"/>
      <w:r w:rsidRPr="000D7BC7">
        <w:rPr>
          <w:rFonts w:ascii="Times New Roman" w:eastAsia="Calibri" w:hAnsi="Times New Roman" w:cs="Times New Roman"/>
        </w:rPr>
        <w:t>Интегрираниот национален план за енергија и клима</w:t>
      </w:r>
      <w:bookmarkEnd w:id="0"/>
      <w:r>
        <w:rPr>
          <w:rFonts w:ascii="Times New Roman" w:eastAsia="Calibri" w:hAnsi="Times New Roman" w:cs="Times New Roman"/>
        </w:rPr>
        <w:t xml:space="preserve"> за периодот од 2025 до 2030 година.</w:t>
      </w:r>
      <w:r w:rsidRPr="000D7BC7">
        <w:rPr>
          <w:rFonts w:ascii="Times New Roman" w:eastAsia="Calibri" w:hAnsi="Times New Roman" w:cs="Times New Roman"/>
        </w:rPr>
        <w:t xml:space="preserve"> </w:t>
      </w:r>
    </w:p>
    <w:p w14:paraId="0C7467B7" w14:textId="3AC37503" w:rsidR="00EB7657" w:rsidRDefault="00EB7657" w:rsidP="00EB7657">
      <w:pPr>
        <w:jc w:val="both"/>
        <w:rPr>
          <w:rFonts w:ascii="Times New Roman" w:eastAsia="Calibri" w:hAnsi="Times New Roman" w:cs="Times New Roman"/>
        </w:rPr>
      </w:pPr>
      <w:r w:rsidRPr="00567602">
        <w:rPr>
          <w:rFonts w:ascii="Times New Roman" w:eastAsia="Calibri" w:hAnsi="Times New Roman" w:cs="Times New Roman"/>
        </w:rPr>
        <w:t>Исто така согласно</w:t>
      </w:r>
      <w:r>
        <w:rPr>
          <w:rFonts w:ascii="Times New Roman" w:eastAsia="Calibri" w:hAnsi="Times New Roman" w:cs="Times New Roman"/>
          <w:b/>
          <w:bCs/>
        </w:rPr>
        <w:t xml:space="preserve"> </w:t>
      </w:r>
      <w:r>
        <w:rPr>
          <w:rFonts w:ascii="Times New Roman" w:eastAsia="Calibri" w:hAnsi="Times New Roman" w:cs="Times New Roman"/>
        </w:rPr>
        <w:t>ч</w:t>
      </w:r>
      <w:r w:rsidRPr="000D7BC7">
        <w:rPr>
          <w:rFonts w:ascii="Times New Roman" w:eastAsia="Calibri" w:hAnsi="Times New Roman" w:cs="Times New Roman"/>
        </w:rPr>
        <w:t xml:space="preserve">лен 6 </w:t>
      </w:r>
      <w:r>
        <w:rPr>
          <w:rFonts w:ascii="Times New Roman" w:eastAsia="Calibri" w:hAnsi="Times New Roman" w:cs="Times New Roman"/>
        </w:rPr>
        <w:t xml:space="preserve">став </w:t>
      </w:r>
      <w:r w:rsidRPr="000D7BC7">
        <w:rPr>
          <w:rFonts w:ascii="Times New Roman" w:eastAsia="Calibri" w:hAnsi="Times New Roman" w:cs="Times New Roman"/>
        </w:rPr>
        <w:t xml:space="preserve">(2) </w:t>
      </w:r>
      <w:r>
        <w:rPr>
          <w:rFonts w:ascii="Times New Roman" w:eastAsia="Calibri" w:hAnsi="Times New Roman" w:cs="Times New Roman"/>
        </w:rPr>
        <w:t xml:space="preserve">од прелог </w:t>
      </w:r>
      <w:r w:rsidR="00EA6F10">
        <w:rPr>
          <w:rFonts w:ascii="Times New Roman" w:eastAsia="Calibri" w:hAnsi="Times New Roman" w:cs="Times New Roman"/>
        </w:rPr>
        <w:t>З</w:t>
      </w:r>
      <w:r>
        <w:rPr>
          <w:rFonts w:ascii="Times New Roman" w:eastAsia="Calibri" w:hAnsi="Times New Roman" w:cs="Times New Roman"/>
        </w:rPr>
        <w:t>аконот за енергетика се уредува дека п</w:t>
      </w:r>
      <w:r w:rsidRPr="000D7BC7">
        <w:rPr>
          <w:rFonts w:ascii="Times New Roman" w:eastAsia="Calibri" w:hAnsi="Times New Roman" w:cs="Times New Roman"/>
        </w:rPr>
        <w:t>о исклучок од ставот (1) од овој член, Владата на предлог на Министерството, а по претходно добиено мислење од министерството надлежно за работите од областа на социјалната заштита, може да донесе одлука со која го задолжува универзалниот</w:t>
      </w:r>
      <w:r w:rsidRPr="000D7BC7">
        <w:rPr>
          <w:rFonts w:ascii="Times New Roman" w:eastAsia="Calibri" w:hAnsi="Times New Roman" w:cs="Times New Roman"/>
          <w:b/>
          <w:bCs/>
        </w:rPr>
        <w:t xml:space="preserve"> </w:t>
      </w:r>
      <w:r w:rsidRPr="000D7BC7">
        <w:rPr>
          <w:rFonts w:ascii="Times New Roman" w:eastAsia="Calibri" w:hAnsi="Times New Roman" w:cs="Times New Roman"/>
        </w:rPr>
        <w:t>снабдувач да ги снабдува домаќинствата, кои спаѓаат во категоријата на ранливи потрошувачи</w:t>
      </w:r>
      <w:r w:rsidRPr="000D7BC7">
        <w:rPr>
          <w:rFonts w:ascii="Times New Roman" w:hAnsi="Times New Roman" w:cs="Times New Roman"/>
        </w:rPr>
        <w:t xml:space="preserve"> </w:t>
      </w:r>
      <w:r w:rsidRPr="000D7BC7">
        <w:rPr>
          <w:rFonts w:ascii="Times New Roman" w:eastAsia="Calibri" w:hAnsi="Times New Roman" w:cs="Times New Roman"/>
        </w:rPr>
        <w:t>и домаќинствата што се погодени од енергетска сиромаштија, по цени кои се пониски од цените определени со примена на прописите и методологиите од член 61 став (1) точка 4 од овој закон</w:t>
      </w:r>
      <w:r w:rsidR="00EA6F10">
        <w:rPr>
          <w:rFonts w:ascii="Times New Roman" w:eastAsia="Calibri" w:hAnsi="Times New Roman" w:cs="Times New Roman"/>
        </w:rPr>
        <w:t>.</w:t>
      </w:r>
    </w:p>
    <w:p w14:paraId="692211AA" w14:textId="0F7CCE4F" w:rsidR="00A705C8" w:rsidRDefault="00A705C8" w:rsidP="00EB7657">
      <w:pPr>
        <w:jc w:val="both"/>
        <w:rPr>
          <w:rFonts w:ascii="Times New Roman" w:eastAsia="Calibri" w:hAnsi="Times New Roman" w:cs="Times New Roman"/>
        </w:rPr>
      </w:pPr>
      <w:r>
        <w:rPr>
          <w:rFonts w:ascii="Times New Roman" w:eastAsia="Calibri" w:hAnsi="Times New Roman" w:cs="Times New Roman"/>
        </w:rPr>
        <w:t>Државниот завод за статистика согласно ч</w:t>
      </w:r>
      <w:r w:rsidRPr="00A705C8">
        <w:rPr>
          <w:rFonts w:ascii="Times New Roman" w:eastAsia="Calibri" w:hAnsi="Times New Roman" w:cs="Times New Roman"/>
        </w:rPr>
        <w:t>лен 26 и член 30 од Законот за државната статистика („Службен весник на Република Македонија" бр. 54/97, 21/07, 51/11, 104/13, 42/14, 192/15, 27/16, 83/18 и 220/18 и „Службен весник на Република Северна Македонија” бр.31/20) и Програмата за статистички истражувања за периодот 2023-2027 година („Службен весник на Република Северна Македонија” бр.29/23)</w:t>
      </w:r>
      <w:r>
        <w:rPr>
          <w:rFonts w:ascii="Times New Roman" w:eastAsia="Calibri" w:hAnsi="Times New Roman" w:cs="Times New Roman"/>
        </w:rPr>
        <w:t xml:space="preserve">, спроведува анкета </w:t>
      </w:r>
      <w:r w:rsidR="00512695">
        <w:rPr>
          <w:rFonts w:ascii="Times New Roman" w:eastAsia="Calibri" w:hAnsi="Times New Roman" w:cs="Times New Roman"/>
        </w:rPr>
        <w:t xml:space="preserve">на годишно ниво </w:t>
      </w:r>
      <w:r w:rsidRPr="00A705C8">
        <w:rPr>
          <w:rFonts w:ascii="Times New Roman" w:eastAsia="Calibri" w:hAnsi="Times New Roman" w:cs="Times New Roman"/>
        </w:rPr>
        <w:t>за потрошувачка на домаќинствата</w:t>
      </w:r>
      <w:r>
        <w:rPr>
          <w:rFonts w:ascii="Times New Roman" w:eastAsia="Calibri" w:hAnsi="Times New Roman" w:cs="Times New Roman"/>
        </w:rPr>
        <w:t xml:space="preserve">, чиј составен дел се трошоците за </w:t>
      </w:r>
      <w:r w:rsidRPr="006B5138">
        <w:rPr>
          <w:rFonts w:ascii="Times New Roman" w:eastAsia="Calibri" w:hAnsi="Times New Roman" w:cs="Times New Roman"/>
        </w:rPr>
        <w:t>електрична енергија, топлинска енергија и огревно дрво</w:t>
      </w:r>
      <w:r w:rsidR="00512695">
        <w:rPr>
          <w:rFonts w:ascii="Times New Roman" w:eastAsia="Calibri" w:hAnsi="Times New Roman" w:cs="Times New Roman"/>
        </w:rPr>
        <w:t>.</w:t>
      </w:r>
    </w:p>
    <w:p w14:paraId="2DDC51BB" w14:textId="4E404E3A" w:rsidR="00EA6F10" w:rsidRPr="00536AB0" w:rsidRDefault="00EA6F10" w:rsidP="00D049D9">
      <w:pPr>
        <w:spacing w:before="240" w:after="240" w:line="240" w:lineRule="auto"/>
        <w:jc w:val="both"/>
        <w:rPr>
          <w:rFonts w:ascii="Times New Roman" w:hAnsi="Times New Roman" w:cs="Times New Roman"/>
        </w:rPr>
      </w:pPr>
      <w:r w:rsidRPr="00536AB0">
        <w:rPr>
          <w:rFonts w:ascii="Times New Roman" w:hAnsi="Times New Roman" w:cs="Times New Roman"/>
        </w:rPr>
        <w:t>Потрошувачката на енергија за греење и ладење на живеалиштата претставува значителен фактор кој ги дефинира трошоците за финална енергија на домаќинство во една календарска година. Електричната енергија преставува далеку најзастапен вид на енергија која се користи од страна на потрошувачите за загревање на домаќинствата, особено ранливите потрошувачи на кои им е лесно достапна. Останати видови на енергија имаат маргинална улога во потрошувачката на домаќинствата за да можат значително да влијаат врз општиот впечаток за нивната изложеност на трошоците за финална потрошувачка. Податоците за потрошувачката на електрична енергија се особено достапни од централизирани бази на податоци кои редовно се ажурираат, истите се проверливи и лесно споредливи што ги прави погодни за обработка.</w:t>
      </w:r>
    </w:p>
    <w:p w14:paraId="729276EF" w14:textId="7FC18CE0" w:rsidR="00290B9E" w:rsidRDefault="00290B9E" w:rsidP="00EB7657">
      <w:pPr>
        <w:jc w:val="both"/>
        <w:rPr>
          <w:rFonts w:ascii="Times New Roman" w:eastAsia="Calibri" w:hAnsi="Times New Roman" w:cs="Times New Roman"/>
        </w:rPr>
      </w:pPr>
      <w:r w:rsidRPr="00290B9E">
        <w:rPr>
          <w:rFonts w:ascii="Times New Roman" w:eastAsia="Calibri" w:hAnsi="Times New Roman" w:cs="Times New Roman"/>
        </w:rPr>
        <w:t>Во Република Северна Македонија активни системи за централно греење има само на територијата на град Скопје, на чие подрачје функционираат три системи</w:t>
      </w:r>
      <w:r>
        <w:rPr>
          <w:rFonts w:ascii="Times New Roman" w:eastAsia="Calibri" w:hAnsi="Times New Roman" w:cs="Times New Roman"/>
        </w:rPr>
        <w:t xml:space="preserve"> за дистрибуција на топлинска енергија</w:t>
      </w:r>
      <w:r w:rsidR="00763FC0">
        <w:rPr>
          <w:rFonts w:ascii="Times New Roman" w:eastAsia="Calibri" w:hAnsi="Times New Roman" w:cs="Times New Roman"/>
        </w:rPr>
        <w:t xml:space="preserve">, на кои се приклуќени вкупно </w:t>
      </w:r>
      <w:r w:rsidR="00763FC0" w:rsidRPr="00763FC0">
        <w:rPr>
          <w:rFonts w:ascii="Times New Roman" w:eastAsia="Calibri" w:hAnsi="Times New Roman" w:cs="Times New Roman"/>
        </w:rPr>
        <w:t>64.554</w:t>
      </w:r>
      <w:r w:rsidR="00763FC0">
        <w:rPr>
          <w:rFonts w:ascii="Times New Roman" w:eastAsia="Calibri" w:hAnsi="Times New Roman" w:cs="Times New Roman"/>
        </w:rPr>
        <w:t xml:space="preserve"> домаќинства.</w:t>
      </w:r>
      <w:r w:rsidRPr="00290B9E">
        <w:rPr>
          <w:rFonts w:ascii="Times New Roman" w:eastAsia="Calibri" w:hAnsi="Times New Roman" w:cs="Times New Roman"/>
        </w:rPr>
        <w:t xml:space="preserve"> </w:t>
      </w:r>
      <w:r w:rsidR="00763FC0">
        <w:rPr>
          <w:rStyle w:val="FootnoteReference"/>
          <w:rFonts w:ascii="Times New Roman" w:eastAsia="Calibri" w:hAnsi="Times New Roman" w:cs="Times New Roman"/>
        </w:rPr>
        <w:footnoteReference w:id="7"/>
      </w:r>
    </w:p>
    <w:p w14:paraId="103B23A6" w14:textId="1883FA6C" w:rsidR="00290B9E" w:rsidRPr="00B04597" w:rsidRDefault="00290B9E" w:rsidP="00EB7657">
      <w:pPr>
        <w:jc w:val="both"/>
        <w:rPr>
          <w:rFonts w:ascii="Times New Roman" w:eastAsia="Calibri" w:hAnsi="Times New Roman" w:cs="Times New Roman"/>
        </w:rPr>
      </w:pPr>
      <w:r>
        <w:rPr>
          <w:rFonts w:ascii="Times New Roman" w:eastAsia="Calibri" w:hAnsi="Times New Roman" w:cs="Times New Roman"/>
        </w:rPr>
        <w:t>Според последните расположливи податоци</w:t>
      </w:r>
      <w:r w:rsidR="00525A7E">
        <w:rPr>
          <w:rFonts w:ascii="Times New Roman" w:eastAsia="Calibri" w:hAnsi="Times New Roman" w:cs="Times New Roman"/>
        </w:rPr>
        <w:t xml:space="preserve"> добиени при подготовката на Националниот план за енергија и клима 2021/2030 година, в</w:t>
      </w:r>
      <w:r w:rsidR="00525A7E" w:rsidRPr="00525A7E">
        <w:rPr>
          <w:rFonts w:ascii="Times New Roman" w:eastAsia="Calibri" w:hAnsi="Times New Roman" w:cs="Times New Roman"/>
        </w:rPr>
        <w:t xml:space="preserve">о секторот греење и ладење, учеството на </w:t>
      </w:r>
      <w:r w:rsidR="00525A7E">
        <w:rPr>
          <w:rFonts w:ascii="Times New Roman" w:eastAsia="Calibri" w:hAnsi="Times New Roman" w:cs="Times New Roman"/>
        </w:rPr>
        <w:t>Обновливи извори на енергија</w:t>
      </w:r>
      <w:r w:rsidR="00525A7E" w:rsidRPr="00525A7E">
        <w:rPr>
          <w:rFonts w:ascii="Times New Roman" w:eastAsia="Calibri" w:hAnsi="Times New Roman" w:cs="Times New Roman"/>
        </w:rPr>
        <w:t xml:space="preserve"> во Македонија е 32%</w:t>
      </w:r>
      <w:r w:rsidR="00525A7E">
        <w:rPr>
          <w:rFonts w:ascii="Times New Roman" w:eastAsia="Calibri" w:hAnsi="Times New Roman" w:cs="Times New Roman"/>
        </w:rPr>
        <w:t>,</w:t>
      </w:r>
      <w:r w:rsidR="00525A7E" w:rsidRPr="00525A7E">
        <w:rPr>
          <w:rFonts w:ascii="Times New Roman" w:eastAsia="Calibri" w:hAnsi="Times New Roman" w:cs="Times New Roman"/>
        </w:rPr>
        <w:t xml:space="preserve"> пред сѐ поради потрошувачката на биомаса (огревно дрво) за греење</w:t>
      </w:r>
      <w:r w:rsidR="00525A7E">
        <w:rPr>
          <w:rFonts w:ascii="Times New Roman" w:eastAsia="Calibri" w:hAnsi="Times New Roman" w:cs="Times New Roman"/>
        </w:rPr>
        <w:t xml:space="preserve">. </w:t>
      </w:r>
      <w:r w:rsidR="00525A7E" w:rsidRPr="00525A7E">
        <w:rPr>
          <w:rFonts w:ascii="Times New Roman" w:eastAsia="Calibri" w:hAnsi="Times New Roman" w:cs="Times New Roman"/>
        </w:rPr>
        <w:t xml:space="preserve">Од друга страна, околу 25% од домаќинствата во Македонија користат неефикасни печки за греење на електрична енергија, а 60% од нив користат неефикасни технологии за греење на огревно дрво. Имајќи ја предвид состојбата во секторот домаќинства и тоа што тој учествува со </w:t>
      </w:r>
      <w:r w:rsidR="00525A7E" w:rsidRPr="00525A7E">
        <w:rPr>
          <w:rFonts w:ascii="Times New Roman" w:eastAsia="Calibri" w:hAnsi="Times New Roman" w:cs="Times New Roman"/>
        </w:rPr>
        <w:lastRenderedPageBreak/>
        <w:t>скоро 28% во финалната потрошувачка на енергија, повеќето од предложените политики и мерки во овој НПЕК се наменети за секторот домаќинства како сектор со висок потенцијал за заштеда на енергија</w:t>
      </w:r>
      <w:r w:rsidR="00525A7E">
        <w:rPr>
          <w:rFonts w:ascii="Times New Roman" w:eastAsia="Calibri" w:hAnsi="Times New Roman" w:cs="Times New Roman"/>
        </w:rPr>
        <w:t>.</w:t>
      </w:r>
      <w:r w:rsidR="00525A7E">
        <w:rPr>
          <w:rStyle w:val="FootnoteReference"/>
          <w:rFonts w:ascii="Times New Roman" w:eastAsia="Calibri" w:hAnsi="Times New Roman" w:cs="Times New Roman"/>
          <w:lang w:val="en-US"/>
        </w:rPr>
        <w:footnoteReference w:id="8"/>
      </w:r>
    </w:p>
    <w:p w14:paraId="60A2EB42" w14:textId="1040843C" w:rsidR="00EA6F10" w:rsidRDefault="00EA6F10" w:rsidP="00EB7657">
      <w:pPr>
        <w:jc w:val="both"/>
        <w:rPr>
          <w:rFonts w:ascii="Times New Roman" w:eastAsia="Calibri" w:hAnsi="Times New Roman" w:cs="Times New Roman"/>
        </w:rPr>
      </w:pPr>
      <w:r w:rsidRPr="00EA6F10">
        <w:rPr>
          <w:rFonts w:ascii="Times New Roman" w:eastAsia="Calibri" w:hAnsi="Times New Roman" w:cs="Times New Roman"/>
        </w:rPr>
        <w:t>Според податоците добиени од Државниот завод за статистика за 2023 година, потрошувачката на финална енергија во државата изнесувала 1,837 ktoe. Во потрошувачката на финална енергија најзастапени се нафтените продукти со 57% и електричната енергија со 26%, потоа следува биомасата со 10%. Финалната енергија главно е потрошена во четири сектори: сообраќај (45%), домаќинство (25%), индустрија (18%), комерцијален и услужен сектор и други сектори (9%), додека земјоделството учествува со само 1% во финалната потрошувачка на енергија.</w:t>
      </w:r>
    </w:p>
    <w:p w14:paraId="1EA9291A" w14:textId="438AB1E4" w:rsidR="00D049D9" w:rsidRDefault="00D049D9" w:rsidP="00EB7657">
      <w:pPr>
        <w:jc w:val="both"/>
        <w:rPr>
          <w:rFonts w:ascii="Times New Roman" w:eastAsia="Calibri" w:hAnsi="Times New Roman" w:cs="Times New Roman"/>
        </w:rPr>
      </w:pPr>
      <w:r>
        <w:rPr>
          <w:rFonts w:ascii="Times New Roman" w:eastAsia="Calibri" w:hAnsi="Times New Roman" w:cs="Times New Roman"/>
        </w:rPr>
        <w:t xml:space="preserve">Работната група по однос на станбената површина на домаќинствата го разгледа </w:t>
      </w:r>
      <w:r w:rsidRPr="00D049D9">
        <w:rPr>
          <w:rFonts w:ascii="Times New Roman" w:eastAsia="Calibri" w:hAnsi="Times New Roman" w:cs="Times New Roman"/>
        </w:rPr>
        <w:t xml:space="preserve">Правилникот за стандарди и нормативи за проектирање на Министерството за транспорт и врски, 9 Службен весник на РМ, бр. 60 од 16.5.2012 година), </w:t>
      </w:r>
      <w:r>
        <w:rPr>
          <w:rFonts w:ascii="Times New Roman" w:eastAsia="Calibri" w:hAnsi="Times New Roman" w:cs="Times New Roman"/>
        </w:rPr>
        <w:t xml:space="preserve">каде </w:t>
      </w:r>
      <w:r w:rsidRPr="00D049D9">
        <w:rPr>
          <w:rFonts w:ascii="Times New Roman" w:eastAsia="Calibri" w:hAnsi="Times New Roman" w:cs="Times New Roman"/>
        </w:rPr>
        <w:t xml:space="preserve">во член 3 се предвидени следниве стандарди и нормативи при проектирање на објекти за домување: </w:t>
      </w:r>
    </w:p>
    <w:p w14:paraId="784185D6"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При проектирање на просторот за дневен боравок, минималната површина на боравокот изнесува 17 м2, а ако се предвидува дневен боравок со дел за јадење минималната површина изнесува 22 м2. </w:t>
      </w:r>
    </w:p>
    <w:p w14:paraId="30A4907E"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При проектирање на спални соби, за еднокреветна соба минималната површина изнесува 9 м2, а минимална широчина на собата 2,20 м. За двокреветна соба минималната површина изнесува 12 м2, а минималната широчина на собата 2,40 м2. </w:t>
      </w:r>
    </w:p>
    <w:p w14:paraId="497408E8"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За родителска спална соба минималната површина е 14 м2, а минималната широчина </w:t>
      </w:r>
    </w:p>
    <w:p w14:paraId="422A49F4" w14:textId="344801A6"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2,80 м.</w:t>
      </w:r>
    </w:p>
    <w:p w14:paraId="3D676D9F"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Гарсониерата содржи: влезен простор, соба, ниша за готвење и бања. </w:t>
      </w:r>
    </w:p>
    <w:p w14:paraId="4C7F22E1"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Минимална површина на отворите -прозорците изнесува 1/8 од површината на подот. </w:t>
      </w:r>
    </w:p>
    <w:p w14:paraId="2C90F4AF"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Минимална широчина на лоѓиите изнесува 1,30 м. </w:t>
      </w:r>
    </w:p>
    <w:p w14:paraId="5000929D"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Минимална широчина на влезниот претпростор во станот изнесува 1,20м.,а на </w:t>
      </w:r>
    </w:p>
    <w:p w14:paraId="4A1D9C1D" w14:textId="5007A2E2"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внатршните комуникации минимум 0,90м.</w:t>
      </w:r>
    </w:p>
    <w:p w14:paraId="6E1F2464" w14:textId="77777777" w:rsidR="00D049D9" w:rsidRDefault="00D049D9" w:rsidP="00EB7657">
      <w:pPr>
        <w:jc w:val="both"/>
        <w:rPr>
          <w:rFonts w:ascii="Times New Roman" w:eastAsia="Calibri" w:hAnsi="Times New Roman" w:cs="Times New Roman"/>
        </w:rPr>
      </w:pPr>
      <w:r>
        <w:rPr>
          <w:rFonts w:ascii="Times New Roman" w:eastAsia="Calibri" w:hAnsi="Times New Roman" w:cs="Times New Roman"/>
        </w:rPr>
        <w:t xml:space="preserve">Исто така, работната група по однос на станбената површина на домаќинствата го разгледа </w:t>
      </w:r>
      <w:r w:rsidRPr="00D049D9">
        <w:rPr>
          <w:rFonts w:ascii="Times New Roman" w:eastAsia="Calibri" w:hAnsi="Times New Roman" w:cs="Times New Roman"/>
        </w:rPr>
        <w:t xml:space="preserve">Правилникот на Habitat for Humanity International, </w:t>
      </w:r>
      <w:r>
        <w:rPr>
          <w:rFonts w:ascii="Times New Roman" w:eastAsia="Calibri" w:hAnsi="Times New Roman" w:cs="Times New Roman"/>
        </w:rPr>
        <w:t xml:space="preserve">каде се </w:t>
      </w:r>
      <w:r w:rsidRPr="00D049D9">
        <w:rPr>
          <w:rFonts w:ascii="Times New Roman" w:eastAsia="Calibri" w:hAnsi="Times New Roman" w:cs="Times New Roman"/>
        </w:rPr>
        <w:t xml:space="preserve">предвидени следниве стандарди за домување на домаќинство со ниски приходи (Simple, Decent and Affordable -SDA Standards): </w:t>
      </w:r>
    </w:p>
    <w:p w14:paraId="6BF48090"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Бројот на квадратни метри зависи од големината на семејството: </w:t>
      </w:r>
    </w:p>
    <w:p w14:paraId="5E407C5A"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1 лице – 25 м² </w:t>
      </w:r>
    </w:p>
    <w:p w14:paraId="7D9E0830"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2 лица – 32 м² </w:t>
      </w:r>
    </w:p>
    <w:p w14:paraId="33B251DD"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lastRenderedPageBreak/>
        <w:t xml:space="preserve">• 3 лица – 44 м² </w:t>
      </w:r>
    </w:p>
    <w:p w14:paraId="77C840CA"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4 лица – 52 м² </w:t>
      </w:r>
    </w:p>
    <w:p w14:paraId="05D66862"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5 лица – 63 м² </w:t>
      </w:r>
    </w:p>
    <w:p w14:paraId="7D8987C9"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6 лица – 69 м² </w:t>
      </w:r>
    </w:p>
    <w:p w14:paraId="1DABFDA1" w14:textId="3F467AC4"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+ 6 м² по лице за секое дополнително лице </w:t>
      </w:r>
    </w:p>
    <w:p w14:paraId="79357033"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Горенаведените вредности може да се прилагодат ± 10%. </w:t>
      </w:r>
    </w:p>
    <w:p w14:paraId="725C13AB" w14:textId="1EE252D8"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Дозволени се исклучоци кога локалнот</w:t>
      </w:r>
      <w:r>
        <w:rPr>
          <w:rFonts w:ascii="Times New Roman" w:eastAsia="Calibri" w:hAnsi="Times New Roman" w:cs="Times New Roman"/>
        </w:rPr>
        <w:t>о</w:t>
      </w:r>
      <w:r w:rsidRPr="00D049D9">
        <w:rPr>
          <w:rFonts w:ascii="Times New Roman" w:eastAsia="Calibri" w:hAnsi="Times New Roman" w:cs="Times New Roman"/>
        </w:rPr>
        <w:t>/националното законодавство има различни барања. Во такви случаи, големината на домот на HFH мора да биде во рамки од 5% од минималните барања според локалното</w:t>
      </w:r>
      <w:r>
        <w:rPr>
          <w:rFonts w:ascii="Times New Roman" w:eastAsia="Calibri" w:hAnsi="Times New Roman" w:cs="Times New Roman"/>
        </w:rPr>
        <w:t>/</w:t>
      </w:r>
      <w:r w:rsidRPr="00D049D9">
        <w:rPr>
          <w:rFonts w:ascii="Times New Roman" w:eastAsia="Calibri" w:hAnsi="Times New Roman" w:cs="Times New Roman"/>
        </w:rPr>
        <w:t>националното законодавство. Ако стандардите за социјално домување се повисоки, но нема закон, огранокот мора да ги дефинира стандардите за социјално домување за нивната заедница. Големината на домот на HFH мора да биде во рамки од 5% од минималните стандарди за социјално домување.</w:t>
      </w:r>
    </w:p>
    <w:p w14:paraId="32DC1BD9" w14:textId="77B63C7A" w:rsidR="00D049D9" w:rsidRDefault="00D049D9" w:rsidP="00EB7657">
      <w:pPr>
        <w:jc w:val="both"/>
        <w:rPr>
          <w:rFonts w:ascii="Times New Roman" w:eastAsia="Calibri" w:hAnsi="Times New Roman" w:cs="Times New Roman"/>
        </w:rPr>
      </w:pPr>
      <w:r>
        <w:rPr>
          <w:rFonts w:ascii="Times New Roman" w:eastAsia="Calibri" w:hAnsi="Times New Roman" w:cs="Times New Roman"/>
        </w:rPr>
        <w:t>Имајќи го предвид горенаведеното, како и искуствата на Земјите Членки на Европската Унија, работната група направи проценка и заклучи дека врз основа на Националните околности, минималната квадратура за станбено живеење на домаќинствата треба да изнесува:</w:t>
      </w:r>
    </w:p>
    <w:p w14:paraId="1B880526"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едно лице - 40 м²;</w:t>
      </w:r>
    </w:p>
    <w:p w14:paraId="4C3A3BD3"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две лица - 50 м²;</w:t>
      </w:r>
    </w:p>
    <w:p w14:paraId="7115F041"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три лица - 60 м²;</w:t>
      </w:r>
    </w:p>
    <w:p w14:paraId="71AEEF50"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четири лица - 70 м²;</w:t>
      </w:r>
    </w:p>
    <w:p w14:paraId="5F1FBA16"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пет лица - 80 м²;</w:t>
      </w:r>
    </w:p>
    <w:p w14:paraId="632551BD" w14:textId="0E41AEA5" w:rsidR="00D049D9" w:rsidRPr="00D049D9" w:rsidRDefault="00D049D9" w:rsidP="00EB7657">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шест лица - 90 м².</w:t>
      </w:r>
    </w:p>
    <w:p w14:paraId="694D127F" w14:textId="77777777" w:rsidR="00525A7E" w:rsidRDefault="00525A7E" w:rsidP="009205FA">
      <w:pPr>
        <w:spacing w:after="0" w:line="240" w:lineRule="auto"/>
        <w:jc w:val="both"/>
        <w:rPr>
          <w:rFonts w:ascii="Times New Roman" w:eastAsia="Calibri" w:hAnsi="Times New Roman" w:cs="Times New Roman"/>
          <w:noProof/>
          <w:kern w:val="0"/>
          <w:lang w:eastAsia="en-US"/>
          <w14:ligatures w14:val="none"/>
        </w:rPr>
      </w:pPr>
    </w:p>
    <w:p w14:paraId="648BFAE5" w14:textId="34789FFB" w:rsidR="00B04597" w:rsidRDefault="00B04597" w:rsidP="00B04597">
      <w:pPr>
        <w:jc w:val="both"/>
        <w:rPr>
          <w:rFonts w:ascii="Times New Roman" w:eastAsia="Calibri" w:hAnsi="Times New Roman" w:cs="Times New Roman"/>
          <w:szCs w:val="20"/>
        </w:rPr>
      </w:pPr>
      <w:r w:rsidRPr="00B04597">
        <w:rPr>
          <w:rFonts w:ascii="Times New Roman" w:eastAsia="Calibri" w:hAnsi="Times New Roman" w:cs="Times New Roman"/>
          <w:szCs w:val="20"/>
        </w:rPr>
        <w:t xml:space="preserve">Енергетската класа на зградата од член </w:t>
      </w:r>
      <w:r>
        <w:rPr>
          <w:rFonts w:ascii="Times New Roman" w:eastAsia="Calibri" w:hAnsi="Times New Roman" w:cs="Times New Roman"/>
          <w:szCs w:val="20"/>
        </w:rPr>
        <w:t>6</w:t>
      </w:r>
      <w:r w:rsidRPr="00B04597">
        <w:rPr>
          <w:rFonts w:ascii="Times New Roman" w:eastAsia="Calibri" w:hAnsi="Times New Roman" w:cs="Times New Roman"/>
          <w:szCs w:val="20"/>
        </w:rPr>
        <w:t xml:space="preserve"> став 1</w:t>
      </w:r>
      <w:r>
        <w:rPr>
          <w:rFonts w:ascii="Times New Roman" w:eastAsia="Calibri" w:hAnsi="Times New Roman" w:cs="Times New Roman"/>
          <w:szCs w:val="20"/>
        </w:rPr>
        <w:t xml:space="preserve"> од предлог Методологијата</w:t>
      </w:r>
      <w:r w:rsidRPr="00B04597">
        <w:rPr>
          <w:rFonts w:ascii="Times New Roman" w:eastAsia="Calibri" w:hAnsi="Times New Roman" w:cs="Times New Roman"/>
          <w:szCs w:val="20"/>
        </w:rPr>
        <w:t xml:space="preserve"> се потврдува со спроведена енергетска контрола и издаден сертификат за енергетските карактеристики на зградите</w:t>
      </w:r>
      <w:r>
        <w:rPr>
          <w:rFonts w:ascii="Times New Roman" w:eastAsia="Calibri" w:hAnsi="Times New Roman" w:cs="Times New Roman"/>
          <w:szCs w:val="20"/>
        </w:rPr>
        <w:t xml:space="preserve"> според Реформската Агенда во Република Северна Македонја:</w:t>
      </w:r>
    </w:p>
    <w:p w14:paraId="47F60223" w14:textId="163FE9DD" w:rsidR="00B04597" w:rsidRPr="00AE5A9F" w:rsidRDefault="00B04597" w:rsidP="00AE5A9F">
      <w:pPr>
        <w:jc w:val="both"/>
        <w:rPr>
          <w:rFonts w:ascii="Times New Roman" w:eastAsia="Calibri" w:hAnsi="Times New Roman" w:cs="Times New Roman"/>
          <w:szCs w:val="20"/>
        </w:rPr>
      </w:pPr>
      <w:r>
        <w:rPr>
          <w:rFonts w:ascii="Times New Roman" w:eastAsia="Calibri" w:hAnsi="Times New Roman" w:cs="Times New Roman"/>
          <w:noProof/>
          <w:kern w:val="0"/>
          <w:lang w:eastAsia="en-US"/>
          <w14:ligatures w14:val="none"/>
        </w:rPr>
        <w:t>‚‚</w:t>
      </w:r>
      <w:r w:rsidRPr="00B04597">
        <w:rPr>
          <w:rFonts w:ascii="Times New Roman" w:eastAsia="Calibri" w:hAnsi="Times New Roman" w:cs="Times New Roman"/>
          <w:noProof/>
          <w:kern w:val="0"/>
          <w:lang w:eastAsia="en-US"/>
          <w14:ligatures w14:val="none"/>
        </w:rPr>
        <w:t>Нема доставени, ниту евидентирани сертификати за енергетски карактеристики во регистарот на СЕК (EPC) во Министерството за енергетика, рударство и минерални суровини во 2024 година, иако постојат законски услови за издавање на СЕК (EPC) за сите новоизградени објекти предвидени во Законот за енергетска ефикасност и Законот за градење.</w:t>
      </w:r>
      <w:r>
        <w:rPr>
          <w:rFonts w:ascii="Times New Roman" w:eastAsia="Calibri" w:hAnsi="Times New Roman" w:cs="Times New Roman"/>
          <w:noProof/>
          <w:kern w:val="0"/>
          <w:lang w:eastAsia="en-US"/>
          <w14:ligatures w14:val="none"/>
        </w:rPr>
        <w:t>‘‘</w:t>
      </w:r>
      <w:r w:rsidR="00AE5A9F">
        <w:rPr>
          <w:rStyle w:val="FootnoteReference"/>
          <w:rFonts w:ascii="Times New Roman" w:eastAsia="Calibri" w:hAnsi="Times New Roman" w:cs="Times New Roman"/>
          <w:szCs w:val="20"/>
        </w:rPr>
        <w:footnoteReference w:id="9"/>
      </w:r>
      <w:r w:rsidR="007A2162">
        <w:rPr>
          <w:rFonts w:ascii="Times New Roman" w:eastAsia="Calibri" w:hAnsi="Times New Roman" w:cs="Times New Roman"/>
          <w:noProof/>
          <w:kern w:val="0"/>
          <w:lang w:eastAsia="en-US"/>
          <w14:ligatures w14:val="none"/>
        </w:rPr>
        <w:t xml:space="preserve">  </w:t>
      </w:r>
    </w:p>
    <w:p w14:paraId="23FDE5F7" w14:textId="0FD77E59"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Pr>
          <w:rFonts w:ascii="Times New Roman" w:eastAsia="Calibri" w:hAnsi="Times New Roman" w:cs="Times New Roman"/>
          <w:noProof/>
          <w:kern w:val="0"/>
          <w:lang w:eastAsia="en-US"/>
          <w14:ligatures w14:val="none"/>
        </w:rPr>
        <w:t>Во Република Северна Македонија не постои единствен регистар за енергетските карактеристики на зградите и од таа причина на состаноците на работната група беа презентирани податоци од р</w:t>
      </w:r>
      <w:r w:rsidRPr="00783FF9">
        <w:rPr>
          <w:rFonts w:ascii="Times New Roman" w:eastAsia="Calibri" w:hAnsi="Times New Roman" w:cs="Times New Roman"/>
          <w:noProof/>
          <w:kern w:val="0"/>
          <w:lang w:eastAsia="en-US"/>
          <w14:ligatures w14:val="none"/>
        </w:rPr>
        <w:t>егистарот на станбени згради и станови</w:t>
      </w:r>
      <w:r>
        <w:rPr>
          <w:rFonts w:ascii="Times New Roman" w:eastAsia="Calibri" w:hAnsi="Times New Roman" w:cs="Times New Roman"/>
          <w:noProof/>
          <w:kern w:val="0"/>
          <w:lang w:eastAsia="en-US"/>
          <w14:ligatures w14:val="none"/>
        </w:rPr>
        <w:t xml:space="preserve"> (</w:t>
      </w:r>
      <w:r w:rsidRPr="00783FF9">
        <w:rPr>
          <w:rFonts w:ascii="Times New Roman" w:eastAsia="Calibri" w:hAnsi="Times New Roman" w:cs="Times New Roman"/>
          <w:noProof/>
          <w:kern w:val="0"/>
          <w:lang w:eastAsia="en-US"/>
          <w14:ligatures w14:val="none"/>
        </w:rPr>
        <w:t>проект на Хабитат Македонија што се спроведува од 2015 година во соработка со локалната самоуправа</w:t>
      </w:r>
      <w:r>
        <w:rPr>
          <w:rFonts w:ascii="Times New Roman" w:eastAsia="Calibri" w:hAnsi="Times New Roman" w:cs="Times New Roman"/>
          <w:noProof/>
          <w:kern w:val="0"/>
          <w:lang w:eastAsia="en-US"/>
          <w14:ligatures w14:val="none"/>
        </w:rPr>
        <w:t>). Во</w:t>
      </w:r>
      <w:r w:rsidRPr="00783FF9">
        <w:rPr>
          <w:rFonts w:ascii="Times New Roman" w:eastAsia="Calibri" w:hAnsi="Times New Roman" w:cs="Times New Roman"/>
          <w:noProof/>
          <w:kern w:val="0"/>
          <w:lang w:eastAsia="en-US"/>
          <w14:ligatures w14:val="none"/>
        </w:rPr>
        <w:t xml:space="preserve"> регистарот на станбени згради и станови </w:t>
      </w:r>
      <w:r>
        <w:rPr>
          <w:rFonts w:ascii="Times New Roman" w:eastAsia="Calibri" w:hAnsi="Times New Roman" w:cs="Times New Roman"/>
          <w:noProof/>
          <w:kern w:val="0"/>
          <w:lang w:eastAsia="en-US"/>
          <w14:ligatures w14:val="none"/>
        </w:rPr>
        <w:t xml:space="preserve">се </w:t>
      </w:r>
      <w:r w:rsidRPr="00783FF9">
        <w:rPr>
          <w:rFonts w:ascii="Times New Roman" w:eastAsia="Calibri" w:hAnsi="Times New Roman" w:cs="Times New Roman"/>
          <w:noProof/>
          <w:kern w:val="0"/>
          <w:lang w:eastAsia="en-US"/>
          <w14:ligatures w14:val="none"/>
        </w:rPr>
        <w:t xml:space="preserve">евидентирани вкупно 4.958 станбени згради и </w:t>
      </w:r>
      <w:r w:rsidRPr="00783FF9">
        <w:rPr>
          <w:rFonts w:ascii="Times New Roman" w:eastAsia="Calibri" w:hAnsi="Times New Roman" w:cs="Times New Roman"/>
          <w:noProof/>
          <w:kern w:val="0"/>
          <w:lang w:eastAsia="en-US"/>
          <w14:ligatures w14:val="none"/>
        </w:rPr>
        <w:lastRenderedPageBreak/>
        <w:t>132.588 станбени единици, во вкупно 36 општини: Карпош, Аеродром, Чаир, Кисела Вода, Гази Баба, Прилеп, Велес, Кавадарци, Неготино, Куманово, Ѓорче Петров, Крива Паланка, Богданци, Македонска Каменица, Демир Хисар, Дојран, Пробиштип, Радовиш, Македонски Брод, Берово, Охрид, Валандово, Бутел, Делчево, Пехчево, Виница, Свети Николе, Кочани, Кратово, Вевчани, Гевгелија, Ресен, Центар, Струга, Дебар и Штип.</w:t>
      </w:r>
    </w:p>
    <w:p w14:paraId="67F609D1"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Регистрите на станбени згради јавно се објавени на веб страницата </w:t>
      </w:r>
      <w:hyperlink r:id="rId8" w:history="1">
        <w:r w:rsidRPr="00D26689">
          <w:rPr>
            <w:rStyle w:val="Hyperlink"/>
            <w:rFonts w:ascii="Times New Roman" w:eastAsia="Calibri" w:hAnsi="Times New Roman" w:cs="Times New Roman"/>
            <w:noProof/>
            <w:kern w:val="0"/>
            <w:lang w:eastAsia="en-US"/>
            <w14:ligatures w14:val="none"/>
          </w:rPr>
          <w:t>www.domuvanje.org.mk</w:t>
        </w:r>
      </w:hyperlink>
      <w:r>
        <w:rPr>
          <w:rFonts w:ascii="Times New Roman" w:eastAsia="Calibri" w:hAnsi="Times New Roman" w:cs="Times New Roman"/>
          <w:noProof/>
          <w:kern w:val="0"/>
          <w:lang w:eastAsia="en-US"/>
          <w14:ligatures w14:val="none"/>
        </w:rPr>
        <w:t xml:space="preserve"> </w:t>
      </w:r>
      <w:r w:rsidRPr="00783FF9">
        <w:rPr>
          <w:rFonts w:ascii="Times New Roman" w:eastAsia="Calibri" w:hAnsi="Times New Roman" w:cs="Times New Roman"/>
          <w:noProof/>
          <w:kern w:val="0"/>
          <w:lang w:eastAsia="en-US"/>
          <w14:ligatures w14:val="none"/>
        </w:rPr>
        <w:t>, која се администрира од Хабитат Македонија, како и на соодветната веб - алатка на регистри и енергетски пресметки на станбените згради. Според Регистарот на станбени згради и станови, како и согласно со Правилникот за енергетски карактеристики на зградите, направени се неколку прегледи:</w:t>
      </w:r>
    </w:p>
    <w:p w14:paraId="061ECD39"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1.Број на згради според период на градба; </w:t>
      </w:r>
    </w:p>
    <w:p w14:paraId="15932E40"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2. Број на катови според период на градба; </w:t>
      </w:r>
    </w:p>
    <w:p w14:paraId="30AB043D"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3.Вкупен број на станови; </w:t>
      </w:r>
    </w:p>
    <w:p w14:paraId="27B395CC"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4. Начин на греење во станбените згради; </w:t>
      </w:r>
    </w:p>
    <w:p w14:paraId="560E2CA4"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5. Површина на зграда според период на градба и </w:t>
      </w:r>
    </w:p>
    <w:p w14:paraId="6282B3E7"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6. Барања за греење во постојна состојба по зграда (KWh/годишно). </w:t>
      </w:r>
    </w:p>
    <w:p w14:paraId="792B32D6" w14:textId="5C8E874E" w:rsidR="00783FF9" w:rsidRPr="00783FF9" w:rsidRDefault="00783FF9" w:rsidP="00783FF9">
      <w:pPr>
        <w:jc w:val="both"/>
        <w:rPr>
          <w:rFonts w:ascii="Times New Roman" w:eastAsia="Calibri" w:hAnsi="Times New Roman" w:cs="Times New Roman"/>
        </w:rPr>
      </w:pPr>
      <w:r w:rsidRPr="00783FF9">
        <w:rPr>
          <w:rFonts w:ascii="Times New Roman" w:eastAsia="Calibri" w:hAnsi="Times New Roman" w:cs="Times New Roman"/>
          <w:noProof/>
          <w:kern w:val="0"/>
          <w:lang w:eastAsia="en-US"/>
          <w14:ligatures w14:val="none"/>
        </w:rPr>
        <w:t xml:space="preserve">Овие прегледи и пресметки се изработени со одредено поедноставување и генерализирање на податоците од регистарот. Врз основа на презентацијата пред работната група и наодите од истата, работната група </w:t>
      </w:r>
      <w:r w:rsidRPr="00783FF9">
        <w:rPr>
          <w:rFonts w:ascii="Times New Roman" w:eastAsia="Calibri" w:hAnsi="Times New Roman" w:cs="Times New Roman"/>
        </w:rPr>
        <w:t>за потребите на определување на статус на домаќинство во состојба на енергетска сиромаштија</w:t>
      </w:r>
      <w:r w:rsidR="00B123B7">
        <w:rPr>
          <w:rFonts w:ascii="Times New Roman" w:eastAsia="Calibri" w:hAnsi="Times New Roman" w:cs="Times New Roman"/>
        </w:rPr>
        <w:t xml:space="preserve"> утврди</w:t>
      </w:r>
      <w:r w:rsidRPr="00783FF9">
        <w:rPr>
          <w:rFonts w:ascii="Times New Roman" w:eastAsia="Calibri" w:hAnsi="Times New Roman" w:cs="Times New Roman"/>
        </w:rPr>
        <w:t>:</w:t>
      </w:r>
    </w:p>
    <w:p w14:paraId="094A40D2" w14:textId="77777777"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Згради изградени пред 1965 година, се смета дека имаат потрошувачка еднаква 250  kWh/m2a</w:t>
      </w:r>
    </w:p>
    <w:p w14:paraId="00A55C2F" w14:textId="77777777"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Згради изградени 1965-1980 година, се смета дека имаат потрошувачка 175  kWh/m2a</w:t>
      </w:r>
    </w:p>
    <w:p w14:paraId="62CE2AC6" w14:textId="77777777"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Згради изградени 1981-1990 година, се смета дека имаат потрошувачка 75 kWh/m2a</w:t>
      </w:r>
    </w:p>
    <w:p w14:paraId="78DE86B4" w14:textId="3CEC6818" w:rsidR="00536AB0" w:rsidRPr="00B123B7" w:rsidRDefault="00783FF9" w:rsidP="00B123B7">
      <w:pPr>
        <w:pStyle w:val="ListParagraph"/>
        <w:numPr>
          <w:ilvl w:val="0"/>
          <w:numId w:val="36"/>
        </w:numPr>
        <w:spacing w:after="0" w:line="240" w:lineRule="auto"/>
        <w:jc w:val="both"/>
        <w:rPr>
          <w:rFonts w:ascii="Times New Roman" w:eastAsia="Calibri" w:hAnsi="Times New Roman" w:cs="Times New Roman"/>
          <w:noProof/>
          <w:kern w:val="0"/>
          <w:lang w:eastAsia="en-US"/>
          <w14:ligatures w14:val="none"/>
        </w:rPr>
      </w:pPr>
      <w:r w:rsidRPr="00B123B7">
        <w:rPr>
          <w:rFonts w:ascii="Times New Roman" w:eastAsia="Calibri" w:hAnsi="Times New Roman" w:cs="Times New Roman"/>
        </w:rPr>
        <w:t>Згради по 1991 година, се смета дека имаат потрошувачка 50 kWh/m2a</w:t>
      </w:r>
      <w:r w:rsidR="00D160F8">
        <w:rPr>
          <w:rFonts w:ascii="Times New Roman" w:eastAsia="Calibri" w:hAnsi="Times New Roman" w:cs="Times New Roman"/>
        </w:rPr>
        <w:t>.</w:t>
      </w:r>
    </w:p>
    <w:p w14:paraId="688C780B"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p>
    <w:p w14:paraId="0FF21D1F" w14:textId="4BBDE33C"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Pr>
          <w:rFonts w:ascii="Times New Roman" w:eastAsia="Calibri" w:hAnsi="Times New Roman" w:cs="Times New Roman"/>
          <w:noProof/>
          <w:kern w:val="0"/>
          <w:lang w:eastAsia="en-US"/>
          <w14:ligatures w14:val="none"/>
        </w:rPr>
        <w:t xml:space="preserve">Во продолжение е </w:t>
      </w:r>
      <w:r w:rsidRPr="00C14734">
        <w:rPr>
          <w:rFonts w:ascii="Times New Roman" w:eastAsia="Calibri" w:hAnsi="Times New Roman" w:cs="Times New Roman"/>
          <w:noProof/>
          <w:kern w:val="0"/>
          <w:lang w:eastAsia="en-US"/>
          <w14:ligatures w14:val="none"/>
        </w:rPr>
        <w:t>утврд</w:t>
      </w:r>
      <w:r>
        <w:rPr>
          <w:rFonts w:ascii="Times New Roman" w:eastAsia="Calibri" w:hAnsi="Times New Roman" w:cs="Times New Roman"/>
          <w:noProof/>
          <w:kern w:val="0"/>
          <w:lang w:eastAsia="en-US"/>
          <w14:ligatures w14:val="none"/>
        </w:rPr>
        <w:t xml:space="preserve">ено </w:t>
      </w:r>
      <w:r w:rsidRPr="00C14734">
        <w:rPr>
          <w:rFonts w:ascii="Times New Roman" w:eastAsia="Calibri" w:hAnsi="Times New Roman" w:cs="Times New Roman"/>
          <w:noProof/>
          <w:kern w:val="0"/>
          <w:lang w:eastAsia="en-US"/>
          <w14:ligatures w14:val="none"/>
        </w:rPr>
        <w:t>лицата/домаќинствата кои можат да остварат право на гарантирана минимална помош и социјална сигурност за старите лица:</w:t>
      </w:r>
    </w:p>
    <w:p w14:paraId="5653F837"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6E663A88" w14:textId="38B791D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1.</w:t>
      </w:r>
      <w:r w:rsidRPr="00C14734">
        <w:rPr>
          <w:rFonts w:ascii="Times New Roman" w:eastAsia="Calibri" w:hAnsi="Times New Roman" w:cs="Times New Roman"/>
          <w:noProof/>
          <w:kern w:val="0"/>
          <w:lang w:val="en-US" w:eastAsia="en-US"/>
          <w14:ligatures w14:val="none"/>
        </w:rPr>
        <w:t>Право  на  гарантирана  минимална  помош  има  домаќинство  кое  е  материјално необезбе</w:t>
      </w:r>
      <w:r>
        <w:rPr>
          <w:rFonts w:ascii="Times New Roman" w:eastAsia="Calibri" w:hAnsi="Times New Roman" w:cs="Times New Roman"/>
          <w:noProof/>
          <w:kern w:val="0"/>
          <w:lang w:eastAsia="en-US"/>
          <w14:ligatures w14:val="none"/>
        </w:rPr>
        <w:t>д</w:t>
      </w:r>
      <w:r w:rsidRPr="00C14734">
        <w:rPr>
          <w:rFonts w:ascii="Times New Roman" w:eastAsia="Calibri" w:hAnsi="Times New Roman" w:cs="Times New Roman"/>
          <w:noProof/>
          <w:kern w:val="0"/>
          <w:lang w:val="en-US" w:eastAsia="en-US"/>
          <w14:ligatures w14:val="none"/>
        </w:rPr>
        <w:t>ено и нема во сопственост имот и имотни права од кои може да се издржува.</w:t>
      </w:r>
      <w:bookmarkStart w:id="1" w:name="x_page9"/>
      <w:bookmarkEnd w:id="1"/>
      <w:r w:rsidRPr="00C14734">
        <w:rPr>
          <w:rFonts w:ascii="Times New Roman" w:eastAsia="Calibri" w:hAnsi="Times New Roman" w:cs="Times New Roman"/>
          <w:noProof/>
          <w:kern w:val="0"/>
          <w:lang w:val="en-US" w:eastAsia="en-US"/>
          <w14:ligatures w14:val="none"/>
        </w:rPr>
        <w:t> За материјално необезбедено се смета домаќинство чија вкупна просечна висина на сите приходи на сите членови на домаќинството по сите основи во последните три месеци пред поднесување на барањето за остварување на правото и во текот на користењето на правото е пониска од висината на утврдената гарантираната минимална помош.</w:t>
      </w:r>
    </w:p>
    <w:p w14:paraId="62E06A77"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56614932"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2.</w:t>
      </w:r>
      <w:r w:rsidRPr="00C14734">
        <w:rPr>
          <w:rFonts w:ascii="Times New Roman" w:eastAsia="Calibri" w:hAnsi="Times New Roman" w:cs="Times New Roman"/>
          <w:noProof/>
          <w:kern w:val="0"/>
          <w:lang w:val="en-US" w:eastAsia="en-US"/>
          <w14:ligatures w14:val="none"/>
        </w:rPr>
        <w:t>Право на социјална сигурност за старите лица има лице со навршени 65 години возраст под услови утврдени со овој закон. Ако подносителот на барањето за остварување на правото има брачен другар или лице со кое живее во вонбрачна заедница со навршени 65 години возраст, правото го остварува само едно од лицата. Право на социјална сигурност за старите лица, лицето го остварува ако:</w:t>
      </w:r>
    </w:p>
    <w:p w14:paraId="6D41E791"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w:t>
      </w:r>
      <w:r w:rsidRPr="00C14734">
        <w:rPr>
          <w:rFonts w:ascii="Times New Roman" w:eastAsia="Calibri" w:hAnsi="Times New Roman" w:cs="Times New Roman"/>
          <w:noProof/>
          <w:kern w:val="0"/>
          <w:lang w:val="en-US" w:eastAsia="en-US"/>
          <w14:ligatures w14:val="none"/>
        </w:rPr>
        <w:t> има државјанство на Република Северна Македонија;</w:t>
      </w:r>
    </w:p>
    <w:p w14:paraId="145D8ECE"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r w:rsidRPr="00C14734">
        <w:rPr>
          <w:rFonts w:ascii="Times New Roman" w:eastAsia="Calibri" w:hAnsi="Times New Roman" w:cs="Times New Roman"/>
          <w:noProof/>
          <w:kern w:val="0"/>
          <w:lang w:val="en-US" w:eastAsia="en-US"/>
          <w14:ligatures w14:val="none"/>
        </w:rPr>
        <w:t>има постојано место на живеење во Република Северна Македонија во последните 15 години пред поднесување на барањето;</w:t>
      </w:r>
    </w:p>
    <w:p w14:paraId="643C2251"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w:t>
      </w:r>
      <w:r w:rsidRPr="00C14734">
        <w:rPr>
          <w:rFonts w:ascii="Times New Roman" w:eastAsia="Calibri" w:hAnsi="Times New Roman" w:cs="Times New Roman"/>
          <w:noProof/>
          <w:kern w:val="0"/>
          <w:lang w:val="en-US" w:eastAsia="en-US"/>
          <w14:ligatures w14:val="none"/>
        </w:rPr>
        <w:t> нема во сопственост имот и имотни права од кои може да се издржува;</w:t>
      </w:r>
    </w:p>
    <w:p w14:paraId="71FD6114"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lastRenderedPageBreak/>
        <w:t>-</w:t>
      </w:r>
      <w:r w:rsidRPr="00C14734">
        <w:rPr>
          <w:rFonts w:ascii="Times New Roman" w:eastAsia="Calibri" w:hAnsi="Times New Roman" w:cs="Times New Roman"/>
          <w:noProof/>
          <w:kern w:val="0"/>
          <w:lang w:val="en-US" w:eastAsia="en-US"/>
          <w14:ligatures w14:val="none"/>
        </w:rPr>
        <w:t> не е корисник на пензија од Република Северна Македонија или вид на исплата по основ на старост, инвалидност или доживување од друга држава и</w:t>
      </w:r>
    </w:p>
    <w:p w14:paraId="20822C6F"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w:t>
      </w:r>
      <w:r w:rsidRPr="00C14734">
        <w:rPr>
          <w:rFonts w:ascii="Times New Roman" w:eastAsia="Calibri" w:hAnsi="Times New Roman" w:cs="Times New Roman"/>
          <w:noProof/>
          <w:kern w:val="0"/>
          <w:lang w:val="en-US" w:eastAsia="en-US"/>
          <w14:ligatures w14:val="none"/>
        </w:rPr>
        <w:t> не остварило приходи по сите основи во последните три месеци пред поднесување на барањето.</w:t>
      </w:r>
    </w:p>
    <w:p w14:paraId="3CEF7504"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Овие у</w:t>
      </w:r>
      <w:r w:rsidRPr="00C14734">
        <w:rPr>
          <w:rFonts w:ascii="Times New Roman" w:eastAsia="Calibri" w:hAnsi="Times New Roman" w:cs="Times New Roman"/>
          <w:noProof/>
          <w:kern w:val="0"/>
          <w:lang w:val="en-US" w:eastAsia="en-US"/>
          <w14:ligatures w14:val="none"/>
        </w:rPr>
        <w:t>словите се однесуваат и за неговиот брачен другар или лицето со кое живее во вонбрачна заедница</w:t>
      </w:r>
      <w:r w:rsidRPr="00C14734">
        <w:rPr>
          <w:rFonts w:ascii="Times New Roman" w:eastAsia="Calibri" w:hAnsi="Times New Roman" w:cs="Times New Roman"/>
          <w:noProof/>
          <w:kern w:val="0"/>
          <w:lang w:eastAsia="en-US"/>
          <w14:ligatures w14:val="none"/>
        </w:rPr>
        <w:t>.</w:t>
      </w:r>
    </w:p>
    <w:p w14:paraId="4968FA5C"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5B598871" w14:textId="553763E8"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Правото на гарантирана минимална помош во текот на 2024 година во просек го користеле 35.180 корисници/домаќинства, согласно службената евиденција во електронскиот систем за администрирање на паричните надоместоци.</w:t>
      </w:r>
    </w:p>
    <w:p w14:paraId="14D43BE8"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06482DB6" w14:textId="4900A468" w:rsidR="00C14734" w:rsidRDefault="00C14734" w:rsidP="00AE5A9F">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Правото на социјална сигурност за старите лица во текот на 2024 година во просек го користеле 13.059 корисници/домаќинства согласно службената евиденција во електронскиот систем за администрирање на паричните надоместоци.</w:t>
      </w:r>
    </w:p>
    <w:p w14:paraId="329A61DB" w14:textId="77777777" w:rsidR="00C14734" w:rsidRDefault="00C14734" w:rsidP="00AE5A9F">
      <w:pPr>
        <w:spacing w:after="0" w:line="240" w:lineRule="auto"/>
        <w:jc w:val="both"/>
        <w:rPr>
          <w:rFonts w:ascii="Times New Roman" w:eastAsia="Calibri" w:hAnsi="Times New Roman" w:cs="Times New Roman"/>
          <w:noProof/>
          <w:kern w:val="0"/>
          <w:lang w:val="en-US" w:eastAsia="en-US"/>
          <w14:ligatures w14:val="none"/>
        </w:rPr>
      </w:pPr>
    </w:p>
    <w:p w14:paraId="501E9D96" w14:textId="764D15BF" w:rsidR="00A51051" w:rsidRDefault="00EB7657" w:rsidP="00AE5A9F">
      <w:pPr>
        <w:spacing w:after="0" w:line="240" w:lineRule="auto"/>
        <w:jc w:val="both"/>
        <w:rPr>
          <w:rFonts w:ascii="Times New Roman" w:eastAsia="Calibri" w:hAnsi="Times New Roman" w:cs="Times New Roman"/>
        </w:rPr>
      </w:pPr>
      <w:r w:rsidRPr="0084173B">
        <w:rPr>
          <w:rFonts w:ascii="Times New Roman" w:eastAsia="Calibri" w:hAnsi="Times New Roman" w:cs="Times New Roman"/>
          <w:noProof/>
          <w:kern w:val="0"/>
          <w:lang w:eastAsia="en-US"/>
          <w14:ligatures w14:val="none"/>
        </w:rPr>
        <w:t xml:space="preserve">За целите на донесување на </w:t>
      </w:r>
      <w:r w:rsidR="00A603D6">
        <w:rPr>
          <w:rFonts w:ascii="Times New Roman" w:eastAsia="Calibri" w:hAnsi="Times New Roman" w:cs="Times New Roman"/>
          <w:noProof/>
          <w:kern w:val="0"/>
          <w:lang w:eastAsia="en-US"/>
          <w14:ligatures w14:val="none"/>
        </w:rPr>
        <w:t xml:space="preserve">Методологијата, </w:t>
      </w:r>
      <w:r w:rsidRPr="0084173B">
        <w:rPr>
          <w:rFonts w:ascii="Times New Roman" w:eastAsia="Calibri" w:hAnsi="Times New Roman" w:cs="Times New Roman"/>
          <w:noProof/>
          <w:kern w:val="0"/>
          <w:lang w:eastAsia="en-US"/>
          <w14:ligatures w14:val="none"/>
        </w:rPr>
        <w:t xml:space="preserve">Министерството ќе спроведе транспарентен процес со учество на сите засегнати страни. </w:t>
      </w:r>
    </w:p>
    <w:p w14:paraId="31D5489D" w14:textId="77777777" w:rsidR="00AE5A9F" w:rsidRPr="00AE5A9F" w:rsidRDefault="00AE5A9F" w:rsidP="00AE5A9F">
      <w:pPr>
        <w:spacing w:after="0" w:line="240" w:lineRule="auto"/>
        <w:jc w:val="both"/>
        <w:rPr>
          <w:rFonts w:ascii="Times New Roman" w:eastAsia="Calibri" w:hAnsi="Times New Roman" w:cs="Times New Roman"/>
          <w:noProof/>
          <w:kern w:val="0"/>
          <w:lang w:eastAsia="en-US"/>
          <w14:ligatures w14:val="none"/>
        </w:rPr>
      </w:pPr>
    </w:p>
    <w:p w14:paraId="7F96395B" w14:textId="75C79563" w:rsidR="00DE46DE" w:rsidRDefault="00AE5A9F" w:rsidP="00DE46DE">
      <w:pPr>
        <w:jc w:val="both"/>
        <w:rPr>
          <w:rFonts w:ascii="Times New Roman" w:eastAsia="Calibri" w:hAnsi="Times New Roman" w:cs="Times New Roman"/>
        </w:rPr>
      </w:pPr>
      <w:r>
        <w:rPr>
          <w:rFonts w:ascii="Times New Roman" w:eastAsia="Calibri" w:hAnsi="Times New Roman" w:cs="Times New Roman"/>
        </w:rPr>
        <w:t xml:space="preserve">Имајќи ги предвид препораките на водичот на Енергетска Заедница во наредниот период </w:t>
      </w:r>
      <w:r w:rsidR="00DE46DE" w:rsidRPr="00AE5A9F">
        <w:rPr>
          <w:rFonts w:ascii="Times New Roman" w:eastAsia="Calibri" w:hAnsi="Times New Roman" w:cs="Times New Roman"/>
        </w:rPr>
        <w:t>Министерството за спроведување на оваа Методологија ќе соработува со ЗЕЛС согласно склучен Меморандум за соработка со цел проценката на состојбите на национално ниво соодветно да ги афектира состојбите на локално ниво во поглед на опфатот и сериозноста на проблемот. На овој начин би се презеле поадекватни и таргетирани мерки за справување</w:t>
      </w:r>
      <w:r w:rsidR="00A603D6">
        <w:rPr>
          <w:rFonts w:ascii="Times New Roman" w:eastAsia="Calibri" w:hAnsi="Times New Roman" w:cs="Times New Roman"/>
        </w:rPr>
        <w:t>.</w:t>
      </w:r>
    </w:p>
    <w:p w14:paraId="046FF84E" w14:textId="77777777" w:rsidR="00A603D6" w:rsidRDefault="00A603D6" w:rsidP="00A603D6">
      <w:pPr>
        <w:spacing w:after="0" w:line="240" w:lineRule="auto"/>
        <w:jc w:val="both"/>
        <w:rPr>
          <w:rFonts w:ascii="Times New Roman" w:eastAsia="Calibri" w:hAnsi="Times New Roman" w:cs="Times New Roman"/>
        </w:rPr>
      </w:pPr>
      <w:r w:rsidRPr="0084173B">
        <w:rPr>
          <w:rFonts w:ascii="Times New Roman" w:eastAsia="Calibri" w:hAnsi="Times New Roman" w:cs="Times New Roman"/>
          <w:noProof/>
          <w:kern w:val="0"/>
          <w:lang w:eastAsia="en-US"/>
          <w14:ligatures w14:val="none"/>
        </w:rPr>
        <w:t>Заради сето претходно се предлага донесување на оваа Методологија.</w:t>
      </w:r>
    </w:p>
    <w:p w14:paraId="13DF9BFD" w14:textId="77777777" w:rsidR="00A603D6" w:rsidRPr="00840D6E" w:rsidRDefault="00A603D6" w:rsidP="00DE46DE">
      <w:pPr>
        <w:jc w:val="both"/>
        <w:rPr>
          <w:rFonts w:ascii="Times New Roman" w:eastAsia="Calibri" w:hAnsi="Times New Roman" w:cs="Times New Roman"/>
          <w:lang w:val="en-US"/>
        </w:rPr>
      </w:pPr>
    </w:p>
    <w:p w14:paraId="79B2FBEB" w14:textId="6BCE996A" w:rsidR="00BF4698" w:rsidRPr="0084173B" w:rsidRDefault="00BF4698" w:rsidP="00BF4698">
      <w:pPr>
        <w:spacing w:after="0" w:line="240" w:lineRule="auto"/>
        <w:jc w:val="both"/>
        <w:rPr>
          <w:rFonts w:ascii="Times New Roman" w:eastAsia="Calibri" w:hAnsi="Times New Roman" w:cs="Times New Roman"/>
          <w:noProof/>
          <w:kern w:val="0"/>
          <w:lang w:eastAsia="en-US"/>
          <w14:ligatures w14:val="none"/>
        </w:rPr>
      </w:pPr>
    </w:p>
    <w:sectPr w:rsidR="00BF4698" w:rsidRPr="0084173B" w:rsidSect="005F5D08">
      <w:headerReference w:type="default" r:id="rId9"/>
      <w:footerReference w:type="default" r:id="rId10"/>
      <w:pgSz w:w="11906" w:h="16838"/>
      <w:pgMar w:top="1440" w:right="1440" w:bottom="1440" w:left="144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055F" w14:textId="77777777" w:rsidR="00DD15A6" w:rsidRDefault="00DD15A6" w:rsidP="00E93E3F">
      <w:pPr>
        <w:spacing w:after="0" w:line="240" w:lineRule="auto"/>
      </w:pPr>
      <w:r>
        <w:separator/>
      </w:r>
    </w:p>
  </w:endnote>
  <w:endnote w:type="continuationSeparator" w:id="0">
    <w:p w14:paraId="2B798705" w14:textId="77777777" w:rsidR="00DD15A6" w:rsidRDefault="00DD15A6" w:rsidP="00E9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tobiSans Medium">
    <w:altName w:val="Calibri"/>
    <w:panose1 w:val="00000000000000000000"/>
    <w:charset w:val="00"/>
    <w:family w:val="modern"/>
    <w:notTrueType/>
    <w:pitch w:val="variable"/>
    <w:sig w:usb0="A00002AF" w:usb1="5000204B" w:usb2="00000000" w:usb3="00000000" w:csb0="0000009F" w:csb1="00000000"/>
  </w:font>
  <w:font w:name="StobiSans Regular">
    <w:altName w:val="Corbel"/>
    <w:panose1 w:val="00000000000000000000"/>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5666" w14:textId="46F6EA89" w:rsidR="00601129" w:rsidRPr="005F5D08" w:rsidRDefault="00601129" w:rsidP="005F5D08">
    <w:pPr>
      <w:pStyle w:val="Header"/>
      <w:jc w:val="center"/>
      <w:rPr>
        <w:rFonts w:ascii="StobiSans Regular" w:hAnsi="StobiSans Regular"/>
        <w:sz w:val="18"/>
        <w:szCs w:val="18"/>
        <w:lang w:val="ru-RU"/>
      </w:rPr>
    </w:pPr>
    <w:r w:rsidRPr="00601129">
      <w:rPr>
        <w:rFonts w:ascii="StobiSans Regular" w:hAnsi="StobiSans Regular"/>
        <w:noProof/>
        <w:sz w:val="24"/>
        <w:szCs w:val="24"/>
        <w:lang w:val="en-US" w:eastAsia="en-US"/>
      </w:rPr>
      <w:drawing>
        <wp:anchor distT="0" distB="0" distL="114300" distR="114300" simplePos="0" relativeHeight="251660288" behindDoc="0" locked="0" layoutInCell="1" allowOverlap="1" wp14:anchorId="286A31A2" wp14:editId="40D91568">
          <wp:simplePos x="0" y="0"/>
          <wp:positionH relativeFrom="margin">
            <wp:posOffset>2648585</wp:posOffset>
          </wp:positionH>
          <wp:positionV relativeFrom="paragraph">
            <wp:posOffset>155575</wp:posOffset>
          </wp:positionV>
          <wp:extent cx="411480" cy="300974"/>
          <wp:effectExtent l="0" t="0" r="7620" b="4445"/>
          <wp:wrapNone/>
          <wp:docPr id="64977957" name="Picture 1" descr="A gold logo with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7957" name="Picture 1" descr="A gold logo with sun and mountai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1480" cy="300974"/>
                  </a:xfrm>
                  <a:prstGeom prst="rect">
                    <a:avLst/>
                  </a:prstGeom>
                </pic:spPr>
              </pic:pic>
            </a:graphicData>
          </a:graphic>
          <wp14:sizeRelH relativeFrom="page">
            <wp14:pctWidth>0</wp14:pctWidth>
          </wp14:sizeRelH>
          <wp14:sizeRelV relativeFrom="page">
            <wp14:pctHeight>0</wp14:pctHeight>
          </wp14:sizeRelV>
        </wp:anchor>
      </w:drawing>
    </w:r>
    <w:r w:rsidR="005F5D08" w:rsidRPr="005F5D08">
      <w:rPr>
        <w:rFonts w:ascii="StobiSans Regular" w:hAnsi="StobiSans Regular"/>
        <w:sz w:val="18"/>
        <w:szCs w:val="18"/>
        <w:lang w:val="ru-RU"/>
      </w:rPr>
      <w:br/>
    </w:r>
  </w:p>
  <w:tbl>
    <w:tblPr>
      <w:tblStyle w:val="TableGrid"/>
      <w:tblW w:w="0" w:type="auto"/>
      <w:tblInd w:w="127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601129" w14:paraId="54B0FAE4" w14:textId="77777777" w:rsidTr="00601129">
      <w:tc>
        <w:tcPr>
          <w:tcW w:w="6662" w:type="dxa"/>
          <w:tcBorders>
            <w:top w:val="single" w:sz="24" w:space="0" w:color="AA7F2E"/>
          </w:tcBorders>
        </w:tcPr>
        <w:p w14:paraId="7D66329F" w14:textId="56B3B36B" w:rsidR="00601129" w:rsidRPr="00601129" w:rsidRDefault="00601129" w:rsidP="005F5D08">
          <w:pPr>
            <w:pStyle w:val="Header"/>
            <w:jc w:val="center"/>
            <w:rPr>
              <w:rFonts w:ascii="StobiSans Regular" w:hAnsi="StobiSans Regular"/>
              <w:sz w:val="18"/>
              <w:szCs w:val="18"/>
              <w:lang w:val="en-US"/>
            </w:rPr>
          </w:pPr>
        </w:p>
      </w:tc>
    </w:tr>
  </w:tbl>
  <w:p w14:paraId="3B2A537F" w14:textId="1F9BF232" w:rsidR="005F5D08" w:rsidRPr="005F5D08" w:rsidRDefault="005F5D08" w:rsidP="00601129">
    <w:pPr>
      <w:pStyle w:val="Header"/>
      <w:jc w:val="center"/>
      <w:rPr>
        <w:rFonts w:ascii="StobiSans Regular" w:hAnsi="StobiSans Regular"/>
        <w:sz w:val="18"/>
        <w:szCs w:val="18"/>
        <w:lang w:val="ru-RU"/>
      </w:rPr>
    </w:pPr>
    <w:r w:rsidRPr="005F5D08">
      <w:rPr>
        <w:rFonts w:ascii="StobiSans Regular" w:hAnsi="StobiSans Regular"/>
        <w:sz w:val="18"/>
        <w:szCs w:val="18"/>
      </w:rPr>
      <w:t>Министерството за енергетика, рударство и минерални суровини</w:t>
    </w:r>
  </w:p>
  <w:p w14:paraId="169F12B4" w14:textId="740EC0A5" w:rsidR="005F5D08" w:rsidRPr="00FA1F5A" w:rsidRDefault="00D930EF" w:rsidP="005F5D08">
    <w:pPr>
      <w:pStyle w:val="Footer"/>
      <w:jc w:val="center"/>
      <w:rPr>
        <w:rFonts w:ascii="StobiSans Regular" w:hAnsi="StobiSans Regular"/>
        <w:sz w:val="18"/>
        <w:szCs w:val="18"/>
        <w:lang w:val="en-US"/>
      </w:rPr>
    </w:pPr>
    <w:r>
      <w:rPr>
        <w:rFonts w:ascii="StobiSans Regular" w:hAnsi="StobiSans Regular"/>
        <w:sz w:val="18"/>
        <w:szCs w:val="18"/>
      </w:rPr>
      <w:t>Ул. Македонија</w:t>
    </w:r>
    <w:r w:rsidR="005F5D08" w:rsidRPr="005F5D08">
      <w:rPr>
        <w:rFonts w:ascii="StobiSans Regular" w:hAnsi="StobiSans Regular"/>
        <w:sz w:val="18"/>
        <w:szCs w:val="18"/>
      </w:rPr>
      <w:t xml:space="preserve">, бр. </w:t>
    </w:r>
    <w:r>
      <w:rPr>
        <w:rFonts w:ascii="StobiSans Regular" w:hAnsi="StobiSans Regular"/>
        <w:sz w:val="18"/>
        <w:szCs w:val="18"/>
      </w:rPr>
      <w:t>27</w:t>
    </w:r>
    <w:r w:rsidR="005F5D08" w:rsidRPr="005F5D08">
      <w:rPr>
        <w:rFonts w:ascii="StobiSans Regular" w:hAnsi="StobiSans Regular"/>
        <w:sz w:val="18"/>
        <w:szCs w:val="18"/>
      </w:rPr>
      <w:t>, 1000,</w:t>
    </w:r>
    <w:r>
      <w:rPr>
        <w:rFonts w:ascii="StobiSans Regular" w:hAnsi="StobiSans Regular"/>
        <w:sz w:val="18"/>
        <w:szCs w:val="18"/>
      </w:rPr>
      <w:t xml:space="preserve"> Центар -</w:t>
    </w:r>
    <w:r w:rsidR="005F5D08" w:rsidRPr="005F5D08">
      <w:rPr>
        <w:rFonts w:ascii="StobiSans Regular" w:hAnsi="StobiSans Regular"/>
        <w:sz w:val="18"/>
        <w:szCs w:val="18"/>
      </w:rPr>
      <w:t xml:space="preserve"> Скопје</w:t>
    </w:r>
    <w:r w:rsidR="005F5D08" w:rsidRPr="005F5D08">
      <w:rPr>
        <w:rFonts w:ascii="StobiSans Regular" w:hAnsi="StobiSans Regular"/>
        <w:sz w:val="18"/>
        <w:szCs w:val="18"/>
        <w:lang w:val="ru-RU"/>
      </w:rPr>
      <w:t xml:space="preserve">  | +389</w:t>
    </w:r>
    <w:r w:rsidR="005F5D08" w:rsidRPr="005F5D08">
      <w:rPr>
        <w:rFonts w:ascii="StobiSans Regular" w:hAnsi="StobiSans Regular"/>
        <w:sz w:val="18"/>
        <w:szCs w:val="18"/>
        <w:lang w:val="en-US"/>
      </w:rPr>
      <w:t> </w:t>
    </w:r>
    <w:r w:rsidR="005F5D08" w:rsidRPr="005F5D08">
      <w:rPr>
        <w:rFonts w:ascii="StobiSans Regular" w:hAnsi="StobiSans Regular"/>
        <w:sz w:val="18"/>
        <w:szCs w:val="18"/>
        <w:lang w:val="ru-RU"/>
      </w:rPr>
      <w:t>2 6154 226 | www.</w:t>
    </w:r>
    <w:r w:rsidR="009A3BE9">
      <w:rPr>
        <w:rFonts w:ascii="StobiSans Regular" w:hAnsi="StobiSans Regular"/>
        <w:sz w:val="18"/>
        <w:szCs w:val="18"/>
        <w:lang w:val="en-US"/>
      </w:rPr>
      <w:t>energy</w:t>
    </w:r>
    <w:r w:rsidR="005F5D08" w:rsidRPr="005F5D08">
      <w:rPr>
        <w:rFonts w:ascii="StobiSans Regular" w:hAnsi="StobiSans Regular"/>
        <w:sz w:val="18"/>
        <w:szCs w:val="18"/>
        <w:lang w:val="ru-RU"/>
      </w:rPr>
      <w:t xml:space="preserve">.gov.mk </w:t>
    </w:r>
  </w:p>
  <w:p w14:paraId="244B24AE" w14:textId="6F9D4879" w:rsidR="00C6676F" w:rsidRPr="005F5D08" w:rsidRDefault="00C6676F">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4C48" w14:textId="77777777" w:rsidR="00DD15A6" w:rsidRDefault="00DD15A6" w:rsidP="00E93E3F">
      <w:pPr>
        <w:spacing w:after="0" w:line="240" w:lineRule="auto"/>
      </w:pPr>
      <w:r>
        <w:separator/>
      </w:r>
    </w:p>
  </w:footnote>
  <w:footnote w:type="continuationSeparator" w:id="0">
    <w:p w14:paraId="612D9E94" w14:textId="77777777" w:rsidR="00DD15A6" w:rsidRDefault="00DD15A6" w:rsidP="00E93E3F">
      <w:pPr>
        <w:spacing w:after="0" w:line="240" w:lineRule="auto"/>
      </w:pPr>
      <w:r>
        <w:continuationSeparator/>
      </w:r>
    </w:p>
  </w:footnote>
  <w:footnote w:id="1">
    <w:p w14:paraId="77E5CCA2" w14:textId="106CB279" w:rsidR="00512695" w:rsidRPr="00512695" w:rsidRDefault="00512695">
      <w:pPr>
        <w:pStyle w:val="FootnoteText"/>
        <w:rPr>
          <w:lang w:val="mk-MK"/>
        </w:rPr>
      </w:pPr>
      <w:r>
        <w:rPr>
          <w:rStyle w:val="FootnoteReference"/>
        </w:rPr>
        <w:footnoteRef/>
      </w:r>
      <w:r>
        <w:t xml:space="preserve"> </w:t>
      </w:r>
      <w:hyperlink r:id="rId1" w:history="1">
        <w:r w:rsidRPr="00BA4AC3">
          <w:rPr>
            <w:rStyle w:val="Hyperlink"/>
          </w:rPr>
          <w:t>https://www.google.com/url?client=internal-element-cse&amp;cx=005984792435174779271:v7t0sn-wu1a&amp;q=https://www.stat.gov.mk/obrasci/ZivotenStandard/APD_ZDN.pdf&amp;sa=U&amp;ved=2ahUKEwipmrm1iLSNAxUrnf0HHXFJA3kQFnoECAcQAQ&amp;usg=AOvVaw1f6-Rxb5nm1BJPIm8SfkmV&amp;fexp=72956999,72956998</w:t>
        </w:r>
      </w:hyperlink>
      <w:r>
        <w:rPr>
          <w:lang w:val="mk-MK"/>
        </w:rPr>
        <w:t xml:space="preserve"> </w:t>
      </w:r>
    </w:p>
  </w:footnote>
  <w:footnote w:id="2">
    <w:p w14:paraId="0819949A" w14:textId="31EDC137" w:rsidR="00645D02" w:rsidRPr="00645D02" w:rsidRDefault="00645D02">
      <w:pPr>
        <w:pStyle w:val="FootnoteText"/>
        <w:rPr>
          <w:lang w:val="mk-MK"/>
        </w:rPr>
      </w:pPr>
      <w:r>
        <w:rPr>
          <w:rStyle w:val="FootnoteReference"/>
        </w:rPr>
        <w:footnoteRef/>
      </w:r>
      <w:r>
        <w:t xml:space="preserve"> </w:t>
      </w:r>
      <w:r w:rsidRPr="00645D02">
        <w:t>Упатството за спроведување на Анкетата за приходи и услови за живеење на Евростат</w:t>
      </w:r>
    </w:p>
  </w:footnote>
  <w:footnote w:id="3">
    <w:p w14:paraId="4A5E3102" w14:textId="230A29A4" w:rsidR="00645D02" w:rsidRPr="00645D02" w:rsidRDefault="00645D02">
      <w:pPr>
        <w:pStyle w:val="FootnoteText"/>
        <w:rPr>
          <w:lang w:val="mk-MK"/>
        </w:rPr>
      </w:pPr>
      <w:r>
        <w:rPr>
          <w:rStyle w:val="FootnoteReference"/>
        </w:rPr>
        <w:footnoteRef/>
      </w:r>
      <w:r>
        <w:t xml:space="preserve"> </w:t>
      </w:r>
      <w:r w:rsidRPr="00645D02">
        <w:t>Упатството за спроведување на Анкетата за приходи и услови за живеење на Евростат</w:t>
      </w:r>
    </w:p>
  </w:footnote>
  <w:footnote w:id="4">
    <w:p w14:paraId="57CC36AB" w14:textId="45C94832" w:rsidR="00BF4698" w:rsidRDefault="00BF4698">
      <w:pPr>
        <w:pStyle w:val="FootnoteText"/>
      </w:pPr>
      <w:r>
        <w:rPr>
          <w:rStyle w:val="FootnoteReference"/>
        </w:rPr>
        <w:footnoteRef/>
      </w:r>
      <w:r>
        <w:t xml:space="preserve"> </w:t>
      </w:r>
      <w:hyperlink r:id="rId2" w:history="1">
        <w:r w:rsidRPr="00FF1E12">
          <w:rPr>
            <w:rStyle w:val="Hyperlink"/>
          </w:rPr>
          <w:t>https://www.stat.gov.mk/MetodoloskiObjasSoop.aspx?id=37&amp;rbrObl=13</w:t>
        </w:r>
      </w:hyperlink>
      <w:r>
        <w:t xml:space="preserve"> </w:t>
      </w:r>
    </w:p>
  </w:footnote>
  <w:footnote w:id="5">
    <w:p w14:paraId="36403902" w14:textId="58420452" w:rsidR="00E20CFF" w:rsidRPr="00E20CFF" w:rsidRDefault="00E20CFF">
      <w:pPr>
        <w:pStyle w:val="FootnoteText"/>
        <w:rPr>
          <w:lang w:val="mk-MK"/>
        </w:rPr>
      </w:pPr>
      <w:r>
        <w:rPr>
          <w:rStyle w:val="FootnoteReference"/>
        </w:rPr>
        <w:footnoteRef/>
      </w:r>
      <w:r>
        <w:t xml:space="preserve"> </w:t>
      </w:r>
      <w:hyperlink r:id="rId3" w:history="1">
        <w:r w:rsidRPr="00E20CFF">
          <w:rPr>
            <w:rStyle w:val="Hyperlink"/>
            <w:lang w:val="mk-MK"/>
          </w:rPr>
          <w:t>zakoni-document-7KxJ.pdf</w:t>
        </w:r>
      </w:hyperlink>
      <w:r>
        <w:rPr>
          <w:lang w:val="mk-MK"/>
        </w:rPr>
        <w:t xml:space="preserve"> </w:t>
      </w:r>
    </w:p>
  </w:footnote>
  <w:footnote w:id="6">
    <w:p w14:paraId="631518BC" w14:textId="293990C3" w:rsidR="0010362D" w:rsidRDefault="0010362D">
      <w:pPr>
        <w:pStyle w:val="FootnoteText"/>
      </w:pPr>
      <w:r>
        <w:rPr>
          <w:rStyle w:val="FootnoteReference"/>
        </w:rPr>
        <w:footnoteRef/>
      </w:r>
      <w:r>
        <w:t xml:space="preserve"> </w:t>
      </w:r>
      <w:hyperlink r:id="rId4" w:history="1">
        <w:r w:rsidRPr="00D26689">
          <w:rPr>
            <w:rStyle w:val="Hyperlink"/>
          </w:rPr>
          <w:t>https://www.energy-community.org/dam/jcr:56632fbf-baf6-49c5-ad23-d997b552e1e6/PG2022-02-ECS_poverty-082022.pdf</w:t>
        </w:r>
      </w:hyperlink>
      <w:r>
        <w:t xml:space="preserve"> </w:t>
      </w:r>
    </w:p>
  </w:footnote>
  <w:footnote w:id="7">
    <w:p w14:paraId="3A611FA4" w14:textId="0FC2A3B5" w:rsidR="00763FC0" w:rsidRPr="00763FC0" w:rsidRDefault="00763FC0">
      <w:pPr>
        <w:pStyle w:val="FootnoteText"/>
        <w:rPr>
          <w:lang w:val="mk-MK"/>
        </w:rPr>
      </w:pPr>
      <w:r>
        <w:rPr>
          <w:rStyle w:val="FootnoteReference"/>
        </w:rPr>
        <w:footnoteRef/>
      </w:r>
      <w:r>
        <w:t xml:space="preserve"> </w:t>
      </w:r>
      <w:hyperlink r:id="rId5" w:history="1">
        <w:r w:rsidRPr="00D26689">
          <w:rPr>
            <w:rStyle w:val="Hyperlink"/>
          </w:rPr>
          <w:t>https://erc.org.mk/odluki/2025.04.29%20-%20RKE%20GI%202024-final.pdf</w:t>
        </w:r>
      </w:hyperlink>
      <w:r>
        <w:rPr>
          <w:lang w:val="mk-MK"/>
        </w:rPr>
        <w:t xml:space="preserve"> </w:t>
      </w:r>
    </w:p>
  </w:footnote>
  <w:footnote w:id="8">
    <w:p w14:paraId="1DEFE240" w14:textId="6BB44173" w:rsidR="00525A7E" w:rsidRPr="00525A7E" w:rsidRDefault="00525A7E">
      <w:pPr>
        <w:pStyle w:val="FootnoteText"/>
        <w:rPr>
          <w:lang w:val="mk-MK"/>
        </w:rPr>
      </w:pPr>
      <w:r>
        <w:rPr>
          <w:rStyle w:val="FootnoteReference"/>
        </w:rPr>
        <w:footnoteRef/>
      </w:r>
      <w:r>
        <w:t xml:space="preserve"> </w:t>
      </w:r>
      <w:hyperlink r:id="rId6" w:history="1">
        <w:r w:rsidRPr="00D26689">
          <w:rPr>
            <w:rStyle w:val="Hyperlink"/>
          </w:rPr>
          <w:t>https://www.economy.gov.mk/content/Official%20NECP_EN.pdf</w:t>
        </w:r>
      </w:hyperlink>
      <w:r>
        <w:rPr>
          <w:lang w:val="mk-MK"/>
        </w:rPr>
        <w:t xml:space="preserve"> </w:t>
      </w:r>
    </w:p>
  </w:footnote>
  <w:footnote w:id="9">
    <w:p w14:paraId="61350D60" w14:textId="3325EDE8" w:rsidR="00AE5A9F" w:rsidRPr="00AE5A9F" w:rsidRDefault="00AE5A9F">
      <w:pPr>
        <w:pStyle w:val="FootnoteText"/>
        <w:rPr>
          <w:lang w:val="mk-MK"/>
        </w:rPr>
      </w:pPr>
      <w:r>
        <w:rPr>
          <w:rStyle w:val="FootnoteReference"/>
        </w:rPr>
        <w:footnoteRef/>
      </w:r>
      <w:r>
        <w:t xml:space="preserve"> </w:t>
      </w:r>
      <w:hyperlink r:id="rId7" w:history="1">
        <w:r w:rsidRPr="00AE5A9F">
          <w:rPr>
            <w:rStyle w:val="Hyperlink"/>
            <w:lang w:val="mk-MK"/>
          </w:rPr>
          <w:t>Реформска агенда на Северна Македонија 2024-2027 година - План за раст за Западен Балкан и реформска агенда - ЕУ Интеграции - Министерство за европски прашања - Република Северна Македонија</w:t>
        </w:r>
      </w:hyperlink>
      <w:r>
        <w:rPr>
          <w:lang w:val="mk-M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CFB3" w14:textId="20154AED" w:rsidR="00E93E3F" w:rsidRDefault="00E93E3F">
    <w:pPr>
      <w:pStyle w:val="Header"/>
    </w:pPr>
  </w:p>
  <w:p w14:paraId="7F576DD8" w14:textId="3B0F4CC0" w:rsidR="00E93E3F" w:rsidRDefault="00E93E3F">
    <w:pPr>
      <w:pStyle w:val="Header"/>
    </w:pPr>
    <w:r w:rsidRPr="00E93E3F">
      <w:rPr>
        <w:noProof/>
        <w:lang w:val="en-US" w:eastAsia="en-US"/>
      </w:rPr>
      <w:drawing>
        <wp:anchor distT="0" distB="0" distL="114300" distR="114300" simplePos="0" relativeHeight="251658240" behindDoc="0" locked="0" layoutInCell="1" allowOverlap="1" wp14:anchorId="7179D30D" wp14:editId="4D3DACAE">
          <wp:simplePos x="0" y="0"/>
          <wp:positionH relativeFrom="margin">
            <wp:align>center</wp:align>
          </wp:positionH>
          <wp:positionV relativeFrom="margin">
            <wp:posOffset>-1765300</wp:posOffset>
          </wp:positionV>
          <wp:extent cx="1607820" cy="1083945"/>
          <wp:effectExtent l="0" t="0" r="0" b="1905"/>
          <wp:wrapSquare wrapText="bothSides"/>
          <wp:docPr id="277695402"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48617" name="Picture 1" descr="A logo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7820" cy="1083945"/>
                  </a:xfrm>
                  <a:prstGeom prst="rect">
                    <a:avLst/>
                  </a:prstGeom>
                </pic:spPr>
              </pic:pic>
            </a:graphicData>
          </a:graphic>
          <wp14:sizeRelH relativeFrom="margin">
            <wp14:pctWidth>0</wp14:pctWidth>
          </wp14:sizeRelH>
          <wp14:sizeRelV relativeFrom="margin">
            <wp14:pctHeight>0</wp14:pctHeight>
          </wp14:sizeRelV>
        </wp:anchor>
      </w:drawing>
    </w:r>
  </w:p>
  <w:p w14:paraId="12AD3C79" w14:textId="02876326" w:rsidR="00E93E3F" w:rsidRDefault="00E93E3F">
    <w:pPr>
      <w:pStyle w:val="Header"/>
    </w:pPr>
  </w:p>
  <w:p w14:paraId="4BAF3523" w14:textId="0165451E" w:rsidR="00E93E3F" w:rsidRDefault="00E93E3F">
    <w:pPr>
      <w:pStyle w:val="Header"/>
    </w:pPr>
  </w:p>
  <w:p w14:paraId="68F1AA3C" w14:textId="77777777" w:rsidR="00711B4D" w:rsidRDefault="00711B4D">
    <w:pPr>
      <w:pStyle w:val="Header"/>
    </w:pPr>
  </w:p>
  <w:p w14:paraId="59EC6B97" w14:textId="015321A6" w:rsidR="00E93E3F" w:rsidRDefault="00E93E3F" w:rsidP="00711B4D">
    <w:pPr>
      <w:pStyle w:val="Header"/>
      <w:jc w:val="center"/>
      <w:rPr>
        <w:rFonts w:ascii="StobiSans Medium" w:hAnsi="StobiSans Medium"/>
        <w:sz w:val="28"/>
        <w:szCs w:val="28"/>
      </w:rPr>
    </w:pPr>
    <w:r w:rsidRPr="00E93E3F">
      <w:rPr>
        <w:rFonts w:ascii="StobiSans Medium" w:hAnsi="StobiSans Medium"/>
        <w:sz w:val="28"/>
        <w:szCs w:val="28"/>
      </w:rPr>
      <w:t>Министерството за енергетика, рударство и минерални суровини</w:t>
    </w:r>
  </w:p>
  <w:p w14:paraId="592192A6" w14:textId="77777777" w:rsidR="00711B4D" w:rsidRDefault="00711B4D" w:rsidP="00E93E3F">
    <w:pPr>
      <w:pStyle w:val="Header"/>
      <w:jc w:val="center"/>
      <w:rPr>
        <w:rFonts w:ascii="StobiSans Medium" w:hAnsi="StobiSans Medium"/>
        <w:sz w:val="28"/>
        <w:szCs w:val="28"/>
      </w:rPr>
    </w:pPr>
  </w:p>
  <w:p w14:paraId="767F8BBB" w14:textId="534AA15E" w:rsidR="00E93E3F" w:rsidRPr="008D4D84" w:rsidRDefault="008D4D84" w:rsidP="00E93E3F">
    <w:pPr>
      <w:pStyle w:val="Header"/>
      <w:jc w:val="center"/>
      <w:rPr>
        <w:rFonts w:ascii="StobiSans Medium" w:hAnsi="StobiSans Medium"/>
        <w:sz w:val="28"/>
        <w:szCs w:val="28"/>
        <w:lang w:val="en-US"/>
      </w:rPr>
    </w:pPr>
    <w:r>
      <w:rPr>
        <w:rFonts w:ascii="StobiSans Medium" w:hAnsi="StobiSans Medium"/>
        <w:noProof/>
        <w:sz w:val="28"/>
        <w:szCs w:val="28"/>
        <w:lang w:val="en-US" w:eastAsia="en-US"/>
      </w:rPr>
      <mc:AlternateContent>
        <mc:Choice Requires="wps">
          <w:drawing>
            <wp:anchor distT="0" distB="0" distL="114300" distR="114300" simplePos="0" relativeHeight="251659264" behindDoc="0" locked="0" layoutInCell="1" allowOverlap="1" wp14:anchorId="54D69F03" wp14:editId="11A8AF0D">
              <wp:simplePos x="0" y="0"/>
              <wp:positionH relativeFrom="margin">
                <wp:align>center</wp:align>
              </wp:positionH>
              <wp:positionV relativeFrom="paragraph">
                <wp:posOffset>93980</wp:posOffset>
              </wp:positionV>
              <wp:extent cx="659130" cy="0"/>
              <wp:effectExtent l="0" t="19050" r="26670" b="19050"/>
              <wp:wrapNone/>
              <wp:docPr id="1093356798" name="Straight Connector 1"/>
              <wp:cNvGraphicFramePr/>
              <a:graphic xmlns:a="http://schemas.openxmlformats.org/drawingml/2006/main">
                <a:graphicData uri="http://schemas.microsoft.com/office/word/2010/wordprocessingShape">
                  <wps:wsp>
                    <wps:cNvCnPr/>
                    <wps:spPr>
                      <a:xfrm flipV="1">
                        <a:off x="0" y="0"/>
                        <a:ext cx="659130" cy="0"/>
                      </a:xfrm>
                      <a:prstGeom prst="line">
                        <a:avLst/>
                      </a:prstGeom>
                      <a:ln w="38100">
                        <a:solidFill>
                          <a:srgbClr val="AA7F2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657DC"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pt" to="5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" strokecolor="#aa7f2e"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DBB"/>
    <w:multiLevelType w:val="hybridMultilevel"/>
    <w:tmpl w:val="6FA6D73A"/>
    <w:lvl w:ilvl="0" w:tplc="F52AE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4527F"/>
    <w:multiLevelType w:val="hybridMultilevel"/>
    <w:tmpl w:val="3A16C9A8"/>
    <w:lvl w:ilvl="0" w:tplc="8BC8D8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4214FB"/>
    <w:multiLevelType w:val="hybridMultilevel"/>
    <w:tmpl w:val="69DA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C7E"/>
    <w:multiLevelType w:val="hybridMultilevel"/>
    <w:tmpl w:val="7C3C8ACC"/>
    <w:lvl w:ilvl="0" w:tplc="02EED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F178F"/>
    <w:multiLevelType w:val="hybridMultilevel"/>
    <w:tmpl w:val="ECA2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06ED"/>
    <w:multiLevelType w:val="hybridMultilevel"/>
    <w:tmpl w:val="A264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567D02"/>
    <w:multiLevelType w:val="hybridMultilevel"/>
    <w:tmpl w:val="8C9817DA"/>
    <w:lvl w:ilvl="0" w:tplc="755237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13958"/>
    <w:multiLevelType w:val="hybridMultilevel"/>
    <w:tmpl w:val="332A46C8"/>
    <w:lvl w:ilvl="0" w:tplc="CC9C2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178D9"/>
    <w:multiLevelType w:val="hybridMultilevel"/>
    <w:tmpl w:val="5D6A058A"/>
    <w:lvl w:ilvl="0" w:tplc="BB9624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971F19"/>
    <w:multiLevelType w:val="hybridMultilevel"/>
    <w:tmpl w:val="7B6A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B244B"/>
    <w:multiLevelType w:val="hybridMultilevel"/>
    <w:tmpl w:val="215886E8"/>
    <w:lvl w:ilvl="0" w:tplc="1D6C11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D1D20"/>
    <w:multiLevelType w:val="hybridMultilevel"/>
    <w:tmpl w:val="8A68448A"/>
    <w:lvl w:ilvl="0" w:tplc="96387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B08DA"/>
    <w:multiLevelType w:val="hybridMultilevel"/>
    <w:tmpl w:val="7346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75980"/>
    <w:multiLevelType w:val="hybridMultilevel"/>
    <w:tmpl w:val="97B0BB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3966CC"/>
    <w:multiLevelType w:val="hybridMultilevel"/>
    <w:tmpl w:val="CAB4D732"/>
    <w:lvl w:ilvl="0" w:tplc="0B869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C3637"/>
    <w:multiLevelType w:val="hybridMultilevel"/>
    <w:tmpl w:val="E8B4E97C"/>
    <w:lvl w:ilvl="0" w:tplc="5EF8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27277"/>
    <w:multiLevelType w:val="hybridMultilevel"/>
    <w:tmpl w:val="61D8F69E"/>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E09D7"/>
    <w:multiLevelType w:val="hybridMultilevel"/>
    <w:tmpl w:val="51E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D66D7"/>
    <w:multiLevelType w:val="hybridMultilevel"/>
    <w:tmpl w:val="F52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35635B"/>
    <w:multiLevelType w:val="multilevel"/>
    <w:tmpl w:val="B2A4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F6F53"/>
    <w:multiLevelType w:val="hybridMultilevel"/>
    <w:tmpl w:val="F274DA44"/>
    <w:lvl w:ilvl="0" w:tplc="587AB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11293A"/>
    <w:multiLevelType w:val="hybridMultilevel"/>
    <w:tmpl w:val="3DAA0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E14A9"/>
    <w:multiLevelType w:val="hybridMultilevel"/>
    <w:tmpl w:val="6FA6D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4D2333"/>
    <w:multiLevelType w:val="hybridMultilevel"/>
    <w:tmpl w:val="A1246888"/>
    <w:lvl w:ilvl="0" w:tplc="A67C8E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43D38"/>
    <w:multiLevelType w:val="hybridMultilevel"/>
    <w:tmpl w:val="ECF65264"/>
    <w:lvl w:ilvl="0" w:tplc="3D322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0D2A44"/>
    <w:multiLevelType w:val="hybridMultilevel"/>
    <w:tmpl w:val="5706DCE4"/>
    <w:lvl w:ilvl="0" w:tplc="B722223C">
      <w:start w:val="1"/>
      <w:numFmt w:val="bullet"/>
      <w:lvlText w:val=""/>
      <w:lvlJc w:val="left"/>
      <w:pPr>
        <w:ind w:left="720" w:hanging="360"/>
      </w:pPr>
      <w:rPr>
        <w:rFonts w:ascii="Symbol" w:hAnsi="Symbol"/>
      </w:rPr>
    </w:lvl>
    <w:lvl w:ilvl="1" w:tplc="AF501E6A">
      <w:start w:val="1"/>
      <w:numFmt w:val="bullet"/>
      <w:lvlText w:val=""/>
      <w:lvlJc w:val="left"/>
      <w:pPr>
        <w:ind w:left="720" w:hanging="360"/>
      </w:pPr>
      <w:rPr>
        <w:rFonts w:ascii="Symbol" w:hAnsi="Symbol"/>
      </w:rPr>
    </w:lvl>
    <w:lvl w:ilvl="2" w:tplc="320EBB58">
      <w:start w:val="1"/>
      <w:numFmt w:val="bullet"/>
      <w:lvlText w:val=""/>
      <w:lvlJc w:val="left"/>
      <w:pPr>
        <w:ind w:left="720" w:hanging="360"/>
      </w:pPr>
      <w:rPr>
        <w:rFonts w:ascii="Symbol" w:hAnsi="Symbol"/>
      </w:rPr>
    </w:lvl>
    <w:lvl w:ilvl="3" w:tplc="BA5C0CB8">
      <w:start w:val="1"/>
      <w:numFmt w:val="bullet"/>
      <w:lvlText w:val=""/>
      <w:lvlJc w:val="left"/>
      <w:pPr>
        <w:ind w:left="720" w:hanging="360"/>
      </w:pPr>
      <w:rPr>
        <w:rFonts w:ascii="Symbol" w:hAnsi="Symbol"/>
      </w:rPr>
    </w:lvl>
    <w:lvl w:ilvl="4" w:tplc="6CD8F8DC">
      <w:start w:val="1"/>
      <w:numFmt w:val="bullet"/>
      <w:lvlText w:val=""/>
      <w:lvlJc w:val="left"/>
      <w:pPr>
        <w:ind w:left="720" w:hanging="360"/>
      </w:pPr>
      <w:rPr>
        <w:rFonts w:ascii="Symbol" w:hAnsi="Symbol"/>
      </w:rPr>
    </w:lvl>
    <w:lvl w:ilvl="5" w:tplc="CC02F658">
      <w:start w:val="1"/>
      <w:numFmt w:val="bullet"/>
      <w:lvlText w:val=""/>
      <w:lvlJc w:val="left"/>
      <w:pPr>
        <w:ind w:left="720" w:hanging="360"/>
      </w:pPr>
      <w:rPr>
        <w:rFonts w:ascii="Symbol" w:hAnsi="Symbol"/>
      </w:rPr>
    </w:lvl>
    <w:lvl w:ilvl="6" w:tplc="59AA3694">
      <w:start w:val="1"/>
      <w:numFmt w:val="bullet"/>
      <w:lvlText w:val=""/>
      <w:lvlJc w:val="left"/>
      <w:pPr>
        <w:ind w:left="720" w:hanging="360"/>
      </w:pPr>
      <w:rPr>
        <w:rFonts w:ascii="Symbol" w:hAnsi="Symbol"/>
      </w:rPr>
    </w:lvl>
    <w:lvl w:ilvl="7" w:tplc="3C4C90FE">
      <w:start w:val="1"/>
      <w:numFmt w:val="bullet"/>
      <w:lvlText w:val=""/>
      <w:lvlJc w:val="left"/>
      <w:pPr>
        <w:ind w:left="720" w:hanging="360"/>
      </w:pPr>
      <w:rPr>
        <w:rFonts w:ascii="Symbol" w:hAnsi="Symbol"/>
      </w:rPr>
    </w:lvl>
    <w:lvl w:ilvl="8" w:tplc="E68E5BDC">
      <w:start w:val="1"/>
      <w:numFmt w:val="bullet"/>
      <w:lvlText w:val=""/>
      <w:lvlJc w:val="left"/>
      <w:pPr>
        <w:ind w:left="720" w:hanging="360"/>
      </w:pPr>
      <w:rPr>
        <w:rFonts w:ascii="Symbol" w:hAnsi="Symbol"/>
      </w:rPr>
    </w:lvl>
  </w:abstractNum>
  <w:abstractNum w:abstractNumId="26" w15:restartNumberingAfterBreak="0">
    <w:nsid w:val="57DE2075"/>
    <w:multiLevelType w:val="hybridMultilevel"/>
    <w:tmpl w:val="376EC494"/>
    <w:lvl w:ilvl="0" w:tplc="98683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E3FC2"/>
    <w:multiLevelType w:val="hybridMultilevel"/>
    <w:tmpl w:val="5358CAB2"/>
    <w:lvl w:ilvl="0" w:tplc="9FCC014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220601"/>
    <w:multiLevelType w:val="hybridMultilevel"/>
    <w:tmpl w:val="F6A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52948"/>
    <w:multiLevelType w:val="hybridMultilevel"/>
    <w:tmpl w:val="092C4ABA"/>
    <w:lvl w:ilvl="0" w:tplc="1418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F37FB"/>
    <w:multiLevelType w:val="hybridMultilevel"/>
    <w:tmpl w:val="0E9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02514"/>
    <w:multiLevelType w:val="hybridMultilevel"/>
    <w:tmpl w:val="66D460D8"/>
    <w:lvl w:ilvl="0" w:tplc="A982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E3BDC"/>
    <w:multiLevelType w:val="hybridMultilevel"/>
    <w:tmpl w:val="6AB65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AF3401"/>
    <w:multiLevelType w:val="hybridMultilevel"/>
    <w:tmpl w:val="717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877BF"/>
    <w:multiLevelType w:val="hybridMultilevel"/>
    <w:tmpl w:val="4FDC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6596"/>
    <w:multiLevelType w:val="multilevel"/>
    <w:tmpl w:val="2B3C06E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8FB0BCC"/>
    <w:multiLevelType w:val="hybridMultilevel"/>
    <w:tmpl w:val="1EEE17CC"/>
    <w:lvl w:ilvl="0" w:tplc="EB44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477A3"/>
    <w:multiLevelType w:val="hybridMultilevel"/>
    <w:tmpl w:val="B1884FC2"/>
    <w:lvl w:ilvl="0" w:tplc="6E60E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935BD"/>
    <w:multiLevelType w:val="hybridMultilevel"/>
    <w:tmpl w:val="87F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B47FD"/>
    <w:multiLevelType w:val="hybridMultilevel"/>
    <w:tmpl w:val="F47A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278594">
    <w:abstractNumId w:val="23"/>
  </w:num>
  <w:num w:numId="2" w16cid:durableId="2011374237">
    <w:abstractNumId w:val="39"/>
  </w:num>
  <w:num w:numId="3" w16cid:durableId="294527974">
    <w:abstractNumId w:val="20"/>
  </w:num>
  <w:num w:numId="4" w16cid:durableId="955912136">
    <w:abstractNumId w:val="10"/>
  </w:num>
  <w:num w:numId="5" w16cid:durableId="1295328090">
    <w:abstractNumId w:val="0"/>
  </w:num>
  <w:num w:numId="6" w16cid:durableId="1977568699">
    <w:abstractNumId w:val="3"/>
  </w:num>
  <w:num w:numId="7" w16cid:durableId="1247887017">
    <w:abstractNumId w:val="24"/>
  </w:num>
  <w:num w:numId="8" w16cid:durableId="75326129">
    <w:abstractNumId w:val="15"/>
  </w:num>
  <w:num w:numId="9" w16cid:durableId="2002804609">
    <w:abstractNumId w:val="19"/>
  </w:num>
  <w:num w:numId="10" w16cid:durableId="2026861524">
    <w:abstractNumId w:val="18"/>
  </w:num>
  <w:num w:numId="11" w16cid:durableId="496648744">
    <w:abstractNumId w:val="32"/>
  </w:num>
  <w:num w:numId="12" w16cid:durableId="334186626">
    <w:abstractNumId w:val="30"/>
  </w:num>
  <w:num w:numId="13" w16cid:durableId="1389840034">
    <w:abstractNumId w:val="35"/>
  </w:num>
  <w:num w:numId="14" w16cid:durableId="625769312">
    <w:abstractNumId w:val="5"/>
  </w:num>
  <w:num w:numId="15" w16cid:durableId="1302274610">
    <w:abstractNumId w:val="8"/>
  </w:num>
  <w:num w:numId="16" w16cid:durableId="1067849086">
    <w:abstractNumId w:val="9"/>
  </w:num>
  <w:num w:numId="17" w16cid:durableId="452672041">
    <w:abstractNumId w:val="17"/>
  </w:num>
  <w:num w:numId="18" w16cid:durableId="1451164993">
    <w:abstractNumId w:val="2"/>
  </w:num>
  <w:num w:numId="19" w16cid:durableId="1849831225">
    <w:abstractNumId w:val="28"/>
  </w:num>
  <w:num w:numId="20" w16cid:durableId="1914778249">
    <w:abstractNumId w:val="12"/>
  </w:num>
  <w:num w:numId="21" w16cid:durableId="698819609">
    <w:abstractNumId w:val="25"/>
  </w:num>
  <w:num w:numId="22" w16cid:durableId="1586456764">
    <w:abstractNumId w:val="13"/>
  </w:num>
  <w:num w:numId="23" w16cid:durableId="1342009517">
    <w:abstractNumId w:val="4"/>
  </w:num>
  <w:num w:numId="24" w16cid:durableId="1771928890">
    <w:abstractNumId w:val="34"/>
  </w:num>
  <w:num w:numId="25" w16cid:durableId="669257045">
    <w:abstractNumId w:val="33"/>
  </w:num>
  <w:num w:numId="26" w16cid:durableId="1439136993">
    <w:abstractNumId w:val="21"/>
  </w:num>
  <w:num w:numId="27" w16cid:durableId="317266216">
    <w:abstractNumId w:val="7"/>
  </w:num>
  <w:num w:numId="28" w16cid:durableId="1174955347">
    <w:abstractNumId w:val="37"/>
  </w:num>
  <w:num w:numId="29" w16cid:durableId="1584215021">
    <w:abstractNumId w:val="6"/>
  </w:num>
  <w:num w:numId="30" w16cid:durableId="224530602">
    <w:abstractNumId w:val="27"/>
  </w:num>
  <w:num w:numId="31" w16cid:durableId="947396177">
    <w:abstractNumId w:val="1"/>
  </w:num>
  <w:num w:numId="32" w16cid:durableId="1240482662">
    <w:abstractNumId w:val="31"/>
  </w:num>
  <w:num w:numId="33" w16cid:durableId="9841693">
    <w:abstractNumId w:val="29"/>
  </w:num>
  <w:num w:numId="34" w16cid:durableId="846797103">
    <w:abstractNumId w:val="26"/>
  </w:num>
  <w:num w:numId="35" w16cid:durableId="1160727814">
    <w:abstractNumId w:val="22"/>
  </w:num>
  <w:num w:numId="36" w16cid:durableId="1392653124">
    <w:abstractNumId w:val="38"/>
  </w:num>
  <w:num w:numId="37" w16cid:durableId="531959845">
    <w:abstractNumId w:val="16"/>
  </w:num>
  <w:num w:numId="38" w16cid:durableId="1246761581">
    <w:abstractNumId w:val="14"/>
  </w:num>
  <w:num w:numId="39" w16cid:durableId="1762406521">
    <w:abstractNumId w:val="11"/>
  </w:num>
  <w:num w:numId="40" w16cid:durableId="21043786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12"/>
    <w:rsid w:val="000172B9"/>
    <w:rsid w:val="0002022B"/>
    <w:rsid w:val="00042B10"/>
    <w:rsid w:val="00061CD1"/>
    <w:rsid w:val="000C3669"/>
    <w:rsid w:val="000D3B28"/>
    <w:rsid w:val="000D7BC7"/>
    <w:rsid w:val="000F03D0"/>
    <w:rsid w:val="0010362D"/>
    <w:rsid w:val="00107436"/>
    <w:rsid w:val="0011016A"/>
    <w:rsid w:val="00113490"/>
    <w:rsid w:val="00113679"/>
    <w:rsid w:val="00116C1A"/>
    <w:rsid w:val="00134F57"/>
    <w:rsid w:val="001403C5"/>
    <w:rsid w:val="0014298B"/>
    <w:rsid w:val="0015695B"/>
    <w:rsid w:val="001755BA"/>
    <w:rsid w:val="00191F74"/>
    <w:rsid w:val="0019222D"/>
    <w:rsid w:val="00193EC9"/>
    <w:rsid w:val="00195F49"/>
    <w:rsid w:val="001A0E94"/>
    <w:rsid w:val="001A3FE1"/>
    <w:rsid w:val="001B3937"/>
    <w:rsid w:val="001D2834"/>
    <w:rsid w:val="001D4429"/>
    <w:rsid w:val="001D5CD0"/>
    <w:rsid w:val="001D6CAA"/>
    <w:rsid w:val="001D7B33"/>
    <w:rsid w:val="001E7BB1"/>
    <w:rsid w:val="0021024F"/>
    <w:rsid w:val="0021373C"/>
    <w:rsid w:val="0021754D"/>
    <w:rsid w:val="00235DB5"/>
    <w:rsid w:val="00244612"/>
    <w:rsid w:val="00255A12"/>
    <w:rsid w:val="00261513"/>
    <w:rsid w:val="0026511B"/>
    <w:rsid w:val="00275B06"/>
    <w:rsid w:val="00280741"/>
    <w:rsid w:val="00280A09"/>
    <w:rsid w:val="002906BA"/>
    <w:rsid w:val="00290B9E"/>
    <w:rsid w:val="00291094"/>
    <w:rsid w:val="002A15F7"/>
    <w:rsid w:val="002C0EF2"/>
    <w:rsid w:val="002D50DE"/>
    <w:rsid w:val="002E23CE"/>
    <w:rsid w:val="002E2A13"/>
    <w:rsid w:val="002F0016"/>
    <w:rsid w:val="00324371"/>
    <w:rsid w:val="00324962"/>
    <w:rsid w:val="003263CC"/>
    <w:rsid w:val="00341B41"/>
    <w:rsid w:val="00344A15"/>
    <w:rsid w:val="00362D10"/>
    <w:rsid w:val="00386659"/>
    <w:rsid w:val="00394C99"/>
    <w:rsid w:val="003D14AF"/>
    <w:rsid w:val="003D4844"/>
    <w:rsid w:val="004039A2"/>
    <w:rsid w:val="00406465"/>
    <w:rsid w:val="0043118E"/>
    <w:rsid w:val="00432E3D"/>
    <w:rsid w:val="00452C2D"/>
    <w:rsid w:val="00456DD3"/>
    <w:rsid w:val="00457265"/>
    <w:rsid w:val="0049084A"/>
    <w:rsid w:val="00497F64"/>
    <w:rsid w:val="004B180A"/>
    <w:rsid w:val="004C7E9D"/>
    <w:rsid w:val="004D1A4B"/>
    <w:rsid w:val="004D7812"/>
    <w:rsid w:val="004E20BF"/>
    <w:rsid w:val="004E486C"/>
    <w:rsid w:val="004E5B39"/>
    <w:rsid w:val="004F3B17"/>
    <w:rsid w:val="00512695"/>
    <w:rsid w:val="0052559C"/>
    <w:rsid w:val="00525A7E"/>
    <w:rsid w:val="005271BE"/>
    <w:rsid w:val="00527B3E"/>
    <w:rsid w:val="00531435"/>
    <w:rsid w:val="00536AB0"/>
    <w:rsid w:val="005377A5"/>
    <w:rsid w:val="00540904"/>
    <w:rsid w:val="00543864"/>
    <w:rsid w:val="0055540E"/>
    <w:rsid w:val="00567602"/>
    <w:rsid w:val="005D1702"/>
    <w:rsid w:val="005D6F90"/>
    <w:rsid w:val="005E3E1E"/>
    <w:rsid w:val="005F441F"/>
    <w:rsid w:val="005F5D08"/>
    <w:rsid w:val="00601129"/>
    <w:rsid w:val="00617C12"/>
    <w:rsid w:val="006215BC"/>
    <w:rsid w:val="0062266B"/>
    <w:rsid w:val="0062559F"/>
    <w:rsid w:val="00645D02"/>
    <w:rsid w:val="00646B1D"/>
    <w:rsid w:val="0065264E"/>
    <w:rsid w:val="00664E63"/>
    <w:rsid w:val="0067464E"/>
    <w:rsid w:val="00681773"/>
    <w:rsid w:val="006833A8"/>
    <w:rsid w:val="006A2E30"/>
    <w:rsid w:val="006A303A"/>
    <w:rsid w:val="006A7ABF"/>
    <w:rsid w:val="006B5138"/>
    <w:rsid w:val="006C1DA0"/>
    <w:rsid w:val="006E0812"/>
    <w:rsid w:val="006E0E07"/>
    <w:rsid w:val="006F3809"/>
    <w:rsid w:val="00711B4D"/>
    <w:rsid w:val="00717B73"/>
    <w:rsid w:val="00730B8A"/>
    <w:rsid w:val="00731435"/>
    <w:rsid w:val="007606A5"/>
    <w:rsid w:val="00763FC0"/>
    <w:rsid w:val="00775DFF"/>
    <w:rsid w:val="00783FF9"/>
    <w:rsid w:val="00796DD8"/>
    <w:rsid w:val="007A163E"/>
    <w:rsid w:val="007A2162"/>
    <w:rsid w:val="007A71E6"/>
    <w:rsid w:val="007A7DB0"/>
    <w:rsid w:val="007B403D"/>
    <w:rsid w:val="007B592E"/>
    <w:rsid w:val="007F6525"/>
    <w:rsid w:val="007F7BB2"/>
    <w:rsid w:val="00807215"/>
    <w:rsid w:val="008072AF"/>
    <w:rsid w:val="00816338"/>
    <w:rsid w:val="00835F33"/>
    <w:rsid w:val="00840D6E"/>
    <w:rsid w:val="0084173B"/>
    <w:rsid w:val="00846AF1"/>
    <w:rsid w:val="008578D0"/>
    <w:rsid w:val="00870EA5"/>
    <w:rsid w:val="00877A76"/>
    <w:rsid w:val="00880B16"/>
    <w:rsid w:val="008C11CB"/>
    <w:rsid w:val="008C772F"/>
    <w:rsid w:val="008D4D84"/>
    <w:rsid w:val="008E4622"/>
    <w:rsid w:val="008F2FAE"/>
    <w:rsid w:val="008F42D4"/>
    <w:rsid w:val="00902A5F"/>
    <w:rsid w:val="009120A6"/>
    <w:rsid w:val="009205FA"/>
    <w:rsid w:val="00924596"/>
    <w:rsid w:val="00931D7A"/>
    <w:rsid w:val="009333DF"/>
    <w:rsid w:val="00937C66"/>
    <w:rsid w:val="0094654A"/>
    <w:rsid w:val="00946A24"/>
    <w:rsid w:val="0095793E"/>
    <w:rsid w:val="009603EF"/>
    <w:rsid w:val="00964201"/>
    <w:rsid w:val="00975982"/>
    <w:rsid w:val="00980FB8"/>
    <w:rsid w:val="009A3BE9"/>
    <w:rsid w:val="009A5322"/>
    <w:rsid w:val="009B0CF1"/>
    <w:rsid w:val="009B30C3"/>
    <w:rsid w:val="009E6A85"/>
    <w:rsid w:val="009F462A"/>
    <w:rsid w:val="00A00DED"/>
    <w:rsid w:val="00A03E4C"/>
    <w:rsid w:val="00A131A8"/>
    <w:rsid w:val="00A14DC1"/>
    <w:rsid w:val="00A26674"/>
    <w:rsid w:val="00A32A9B"/>
    <w:rsid w:val="00A3762E"/>
    <w:rsid w:val="00A51051"/>
    <w:rsid w:val="00A525EC"/>
    <w:rsid w:val="00A603D6"/>
    <w:rsid w:val="00A6605E"/>
    <w:rsid w:val="00A70392"/>
    <w:rsid w:val="00A70416"/>
    <w:rsid w:val="00A705C8"/>
    <w:rsid w:val="00A83D66"/>
    <w:rsid w:val="00A91837"/>
    <w:rsid w:val="00A92ED9"/>
    <w:rsid w:val="00AB0DFF"/>
    <w:rsid w:val="00AB435F"/>
    <w:rsid w:val="00AC3E13"/>
    <w:rsid w:val="00AD0C93"/>
    <w:rsid w:val="00AD7C2C"/>
    <w:rsid w:val="00AE4FCA"/>
    <w:rsid w:val="00AE5A9F"/>
    <w:rsid w:val="00AF3A30"/>
    <w:rsid w:val="00B02A2E"/>
    <w:rsid w:val="00B04597"/>
    <w:rsid w:val="00B123B7"/>
    <w:rsid w:val="00B142FB"/>
    <w:rsid w:val="00B27665"/>
    <w:rsid w:val="00B32810"/>
    <w:rsid w:val="00B33FF9"/>
    <w:rsid w:val="00B40116"/>
    <w:rsid w:val="00B616FA"/>
    <w:rsid w:val="00B765DB"/>
    <w:rsid w:val="00BA69A6"/>
    <w:rsid w:val="00BA7F8D"/>
    <w:rsid w:val="00BB3423"/>
    <w:rsid w:val="00BD01D0"/>
    <w:rsid w:val="00BD4E26"/>
    <w:rsid w:val="00BF1D86"/>
    <w:rsid w:val="00BF4328"/>
    <w:rsid w:val="00BF4698"/>
    <w:rsid w:val="00C14734"/>
    <w:rsid w:val="00C14B7A"/>
    <w:rsid w:val="00C237E7"/>
    <w:rsid w:val="00C33B79"/>
    <w:rsid w:val="00C36FE7"/>
    <w:rsid w:val="00C554A2"/>
    <w:rsid w:val="00C601C9"/>
    <w:rsid w:val="00C6676F"/>
    <w:rsid w:val="00C76479"/>
    <w:rsid w:val="00C77A40"/>
    <w:rsid w:val="00C865F2"/>
    <w:rsid w:val="00CA04D5"/>
    <w:rsid w:val="00CA1074"/>
    <w:rsid w:val="00CC2EC8"/>
    <w:rsid w:val="00CC2F6A"/>
    <w:rsid w:val="00CC5C28"/>
    <w:rsid w:val="00CD3879"/>
    <w:rsid w:val="00CE1BF7"/>
    <w:rsid w:val="00CF25D5"/>
    <w:rsid w:val="00CF7F5D"/>
    <w:rsid w:val="00D049D9"/>
    <w:rsid w:val="00D160F8"/>
    <w:rsid w:val="00D16514"/>
    <w:rsid w:val="00D200C7"/>
    <w:rsid w:val="00D21961"/>
    <w:rsid w:val="00D23688"/>
    <w:rsid w:val="00D301F5"/>
    <w:rsid w:val="00D46678"/>
    <w:rsid w:val="00D84C73"/>
    <w:rsid w:val="00D930EF"/>
    <w:rsid w:val="00DB4BBE"/>
    <w:rsid w:val="00DD15A6"/>
    <w:rsid w:val="00DE21DB"/>
    <w:rsid w:val="00DE2FD9"/>
    <w:rsid w:val="00DE46DE"/>
    <w:rsid w:val="00DE6585"/>
    <w:rsid w:val="00DF2CD9"/>
    <w:rsid w:val="00DF5B89"/>
    <w:rsid w:val="00E20CFF"/>
    <w:rsid w:val="00E47FBE"/>
    <w:rsid w:val="00E5095A"/>
    <w:rsid w:val="00E617D0"/>
    <w:rsid w:val="00E83793"/>
    <w:rsid w:val="00E91998"/>
    <w:rsid w:val="00E93513"/>
    <w:rsid w:val="00E93E3F"/>
    <w:rsid w:val="00EA6F10"/>
    <w:rsid w:val="00EA79D3"/>
    <w:rsid w:val="00EB33D7"/>
    <w:rsid w:val="00EB7657"/>
    <w:rsid w:val="00EC30EB"/>
    <w:rsid w:val="00EC43FA"/>
    <w:rsid w:val="00EE24BF"/>
    <w:rsid w:val="00F155A7"/>
    <w:rsid w:val="00F24D0C"/>
    <w:rsid w:val="00F27376"/>
    <w:rsid w:val="00F34F27"/>
    <w:rsid w:val="00F4065B"/>
    <w:rsid w:val="00F468FA"/>
    <w:rsid w:val="00F51D3E"/>
    <w:rsid w:val="00F5228A"/>
    <w:rsid w:val="00F61AFA"/>
    <w:rsid w:val="00F707DB"/>
    <w:rsid w:val="00F77D1C"/>
    <w:rsid w:val="00F8594F"/>
    <w:rsid w:val="00F965D9"/>
    <w:rsid w:val="00FA04BA"/>
    <w:rsid w:val="00FA1F5A"/>
    <w:rsid w:val="00FA526A"/>
    <w:rsid w:val="00FA6BEC"/>
    <w:rsid w:val="00FA7011"/>
    <w:rsid w:val="00FC6074"/>
    <w:rsid w:val="00FC632E"/>
    <w:rsid w:val="00FD0C2B"/>
    <w:rsid w:val="00FD638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F146"/>
  <w15:docId w15:val="{8FF5AC21-329F-4EF7-96B2-DA10C59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mk-MK" w:eastAsia="mk-M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812"/>
    <w:rPr>
      <w:rFonts w:eastAsiaTheme="majorEastAsia" w:cstheme="majorBidi"/>
      <w:color w:val="272727" w:themeColor="text1" w:themeTint="D8"/>
    </w:rPr>
  </w:style>
  <w:style w:type="paragraph" w:styleId="Title">
    <w:name w:val="Title"/>
    <w:basedOn w:val="Normal"/>
    <w:next w:val="Normal"/>
    <w:link w:val="TitleChar"/>
    <w:uiPriority w:val="10"/>
    <w:qFormat/>
    <w:rsid w:val="006E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812"/>
    <w:pPr>
      <w:spacing w:before="160"/>
      <w:jc w:val="center"/>
    </w:pPr>
    <w:rPr>
      <w:i/>
      <w:iCs/>
      <w:color w:val="404040" w:themeColor="text1" w:themeTint="BF"/>
    </w:rPr>
  </w:style>
  <w:style w:type="character" w:customStyle="1" w:styleId="QuoteChar">
    <w:name w:val="Quote Char"/>
    <w:basedOn w:val="DefaultParagraphFont"/>
    <w:link w:val="Quote"/>
    <w:uiPriority w:val="29"/>
    <w:rsid w:val="006E0812"/>
    <w:rPr>
      <w:i/>
      <w:iCs/>
      <w:color w:val="404040" w:themeColor="text1" w:themeTint="BF"/>
    </w:rPr>
  </w:style>
  <w:style w:type="paragraph" w:styleId="ListParagraph">
    <w:name w:val="List Paragraph"/>
    <w:basedOn w:val="Normal"/>
    <w:uiPriority w:val="34"/>
    <w:qFormat/>
    <w:rsid w:val="006E0812"/>
    <w:pPr>
      <w:ind w:left="720"/>
      <w:contextualSpacing/>
    </w:pPr>
  </w:style>
  <w:style w:type="character" w:styleId="IntenseEmphasis">
    <w:name w:val="Intense Emphasis"/>
    <w:basedOn w:val="DefaultParagraphFont"/>
    <w:uiPriority w:val="21"/>
    <w:qFormat/>
    <w:rsid w:val="006E0812"/>
    <w:rPr>
      <w:i/>
      <w:iCs/>
      <w:color w:val="0F4761" w:themeColor="accent1" w:themeShade="BF"/>
    </w:rPr>
  </w:style>
  <w:style w:type="paragraph" w:styleId="IntenseQuote">
    <w:name w:val="Intense Quote"/>
    <w:basedOn w:val="Normal"/>
    <w:next w:val="Normal"/>
    <w:link w:val="IntenseQuoteChar"/>
    <w:uiPriority w:val="30"/>
    <w:qFormat/>
    <w:rsid w:val="006E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812"/>
    <w:rPr>
      <w:i/>
      <w:iCs/>
      <w:color w:val="0F4761" w:themeColor="accent1" w:themeShade="BF"/>
    </w:rPr>
  </w:style>
  <w:style w:type="character" w:styleId="IntenseReference">
    <w:name w:val="Intense Reference"/>
    <w:basedOn w:val="DefaultParagraphFont"/>
    <w:uiPriority w:val="32"/>
    <w:qFormat/>
    <w:rsid w:val="006E0812"/>
    <w:rPr>
      <w:b/>
      <w:bCs/>
      <w:smallCaps/>
      <w:color w:val="0F4761" w:themeColor="accent1" w:themeShade="BF"/>
      <w:spacing w:val="5"/>
    </w:rPr>
  </w:style>
  <w:style w:type="paragraph" w:styleId="Header">
    <w:name w:val="header"/>
    <w:basedOn w:val="Normal"/>
    <w:link w:val="HeaderChar"/>
    <w:uiPriority w:val="99"/>
    <w:unhideWhenUsed/>
    <w:rsid w:val="00E9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E3F"/>
  </w:style>
  <w:style w:type="paragraph" w:styleId="Footer">
    <w:name w:val="footer"/>
    <w:basedOn w:val="Normal"/>
    <w:link w:val="FooterChar"/>
    <w:uiPriority w:val="99"/>
    <w:unhideWhenUsed/>
    <w:rsid w:val="00E93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E3F"/>
  </w:style>
  <w:style w:type="paragraph" w:styleId="NormalWeb">
    <w:name w:val="Normal (Web)"/>
    <w:basedOn w:val="Normal"/>
    <w:uiPriority w:val="99"/>
    <w:semiHidden/>
    <w:unhideWhenUsed/>
    <w:rsid w:val="005F5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F5D08"/>
    <w:rPr>
      <w:color w:val="467886" w:themeColor="hyperlink"/>
      <w:u w:val="single"/>
    </w:rPr>
  </w:style>
  <w:style w:type="character" w:customStyle="1" w:styleId="UnresolvedMention1">
    <w:name w:val="Unresolved Mention1"/>
    <w:basedOn w:val="DefaultParagraphFont"/>
    <w:uiPriority w:val="99"/>
    <w:semiHidden/>
    <w:unhideWhenUsed/>
    <w:rsid w:val="005F5D08"/>
    <w:rPr>
      <w:color w:val="605E5C"/>
      <w:shd w:val="clear" w:color="auto" w:fill="E1DFDD"/>
    </w:rPr>
  </w:style>
  <w:style w:type="table" w:styleId="TableGrid">
    <w:name w:val="Table Grid"/>
    <w:basedOn w:val="TableNormal"/>
    <w:uiPriority w:val="39"/>
    <w:rsid w:val="0060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0FB8"/>
    <w:pPr>
      <w:spacing w:after="0" w:line="240" w:lineRule="auto"/>
    </w:pPr>
  </w:style>
  <w:style w:type="character" w:styleId="CommentReference">
    <w:name w:val="annotation reference"/>
    <w:basedOn w:val="DefaultParagraphFont"/>
    <w:uiPriority w:val="99"/>
    <w:semiHidden/>
    <w:unhideWhenUsed/>
    <w:rsid w:val="00BD01D0"/>
    <w:rPr>
      <w:sz w:val="16"/>
      <w:szCs w:val="16"/>
    </w:rPr>
  </w:style>
  <w:style w:type="paragraph" w:styleId="CommentText">
    <w:name w:val="annotation text"/>
    <w:basedOn w:val="Normal"/>
    <w:link w:val="CommentTextChar"/>
    <w:uiPriority w:val="99"/>
    <w:unhideWhenUsed/>
    <w:rsid w:val="00BD01D0"/>
    <w:pPr>
      <w:spacing w:line="240" w:lineRule="auto"/>
    </w:pPr>
    <w:rPr>
      <w:sz w:val="20"/>
      <w:szCs w:val="20"/>
    </w:rPr>
  </w:style>
  <w:style w:type="character" w:customStyle="1" w:styleId="CommentTextChar">
    <w:name w:val="Comment Text Char"/>
    <w:basedOn w:val="DefaultParagraphFont"/>
    <w:link w:val="CommentText"/>
    <w:uiPriority w:val="99"/>
    <w:rsid w:val="00BD01D0"/>
    <w:rPr>
      <w:sz w:val="20"/>
      <w:szCs w:val="20"/>
    </w:rPr>
  </w:style>
  <w:style w:type="paragraph" w:styleId="CommentSubject">
    <w:name w:val="annotation subject"/>
    <w:basedOn w:val="CommentText"/>
    <w:next w:val="CommentText"/>
    <w:link w:val="CommentSubjectChar"/>
    <w:uiPriority w:val="99"/>
    <w:semiHidden/>
    <w:unhideWhenUsed/>
    <w:rsid w:val="00BD01D0"/>
    <w:rPr>
      <w:b/>
      <w:bCs/>
    </w:rPr>
  </w:style>
  <w:style w:type="character" w:customStyle="1" w:styleId="CommentSubjectChar">
    <w:name w:val="Comment Subject Char"/>
    <w:basedOn w:val="CommentTextChar"/>
    <w:link w:val="CommentSubject"/>
    <w:uiPriority w:val="99"/>
    <w:semiHidden/>
    <w:rsid w:val="00BD01D0"/>
    <w:rPr>
      <w:b/>
      <w:bCs/>
      <w:sz w:val="20"/>
      <w:szCs w:val="20"/>
    </w:rPr>
  </w:style>
  <w:style w:type="character" w:styleId="PlaceholderText">
    <w:name w:val="Placeholder Text"/>
    <w:basedOn w:val="DefaultParagraphFont"/>
    <w:uiPriority w:val="99"/>
    <w:semiHidden/>
    <w:rsid w:val="00FA1F5A"/>
    <w:rPr>
      <w:color w:val="666666"/>
    </w:rPr>
  </w:style>
  <w:style w:type="paragraph" w:styleId="FootnoteText">
    <w:name w:val="footnote text"/>
    <w:basedOn w:val="Normal"/>
    <w:link w:val="FootnoteTextChar"/>
    <w:uiPriority w:val="99"/>
    <w:semiHidden/>
    <w:unhideWhenUsed/>
    <w:rsid w:val="002F0016"/>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semiHidden/>
    <w:rsid w:val="002F0016"/>
    <w:rPr>
      <w:sz w:val="20"/>
      <w:szCs w:val="20"/>
      <w:lang w:val="en-US" w:eastAsia="en-US"/>
    </w:rPr>
  </w:style>
  <w:style w:type="character" w:styleId="FootnoteReference">
    <w:name w:val="footnote reference"/>
    <w:basedOn w:val="DefaultParagraphFont"/>
    <w:uiPriority w:val="99"/>
    <w:semiHidden/>
    <w:unhideWhenUsed/>
    <w:rsid w:val="002F0016"/>
    <w:rPr>
      <w:vertAlign w:val="superscript"/>
    </w:rPr>
  </w:style>
  <w:style w:type="paragraph" w:styleId="BalloonText">
    <w:name w:val="Balloon Text"/>
    <w:basedOn w:val="Normal"/>
    <w:link w:val="BalloonTextChar"/>
    <w:uiPriority w:val="99"/>
    <w:semiHidden/>
    <w:unhideWhenUsed/>
    <w:rsid w:val="00BF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86"/>
    <w:rPr>
      <w:rFonts w:ascii="Tahoma" w:hAnsi="Tahoma" w:cs="Tahoma"/>
      <w:sz w:val="16"/>
      <w:szCs w:val="16"/>
    </w:rPr>
  </w:style>
  <w:style w:type="character" w:customStyle="1" w:styleId="UnresolvedMention2">
    <w:name w:val="Unresolved Mention2"/>
    <w:basedOn w:val="DefaultParagraphFont"/>
    <w:uiPriority w:val="99"/>
    <w:semiHidden/>
    <w:unhideWhenUsed/>
    <w:rsid w:val="00BF4698"/>
    <w:rPr>
      <w:color w:val="605E5C"/>
      <w:shd w:val="clear" w:color="auto" w:fill="E1DFDD"/>
    </w:rPr>
  </w:style>
  <w:style w:type="character" w:styleId="FollowedHyperlink">
    <w:name w:val="FollowedHyperlink"/>
    <w:basedOn w:val="DefaultParagraphFont"/>
    <w:uiPriority w:val="99"/>
    <w:semiHidden/>
    <w:unhideWhenUsed/>
    <w:rsid w:val="00D16514"/>
    <w:rPr>
      <w:color w:val="96607D" w:themeColor="followedHyperlink"/>
      <w:u w:val="single"/>
    </w:rPr>
  </w:style>
  <w:style w:type="character" w:styleId="UnresolvedMention">
    <w:name w:val="Unresolved Mention"/>
    <w:basedOn w:val="DefaultParagraphFont"/>
    <w:uiPriority w:val="99"/>
    <w:semiHidden/>
    <w:unhideWhenUsed/>
    <w:rsid w:val="00E2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967">
      <w:bodyDiv w:val="1"/>
      <w:marLeft w:val="0"/>
      <w:marRight w:val="0"/>
      <w:marTop w:val="0"/>
      <w:marBottom w:val="0"/>
      <w:divBdr>
        <w:top w:val="none" w:sz="0" w:space="0" w:color="auto"/>
        <w:left w:val="none" w:sz="0" w:space="0" w:color="auto"/>
        <w:bottom w:val="none" w:sz="0" w:space="0" w:color="auto"/>
        <w:right w:val="none" w:sz="0" w:space="0" w:color="auto"/>
      </w:divBdr>
    </w:div>
    <w:div w:id="81070662">
      <w:bodyDiv w:val="1"/>
      <w:marLeft w:val="0"/>
      <w:marRight w:val="0"/>
      <w:marTop w:val="0"/>
      <w:marBottom w:val="0"/>
      <w:divBdr>
        <w:top w:val="none" w:sz="0" w:space="0" w:color="auto"/>
        <w:left w:val="none" w:sz="0" w:space="0" w:color="auto"/>
        <w:bottom w:val="none" w:sz="0" w:space="0" w:color="auto"/>
        <w:right w:val="none" w:sz="0" w:space="0" w:color="auto"/>
      </w:divBdr>
    </w:div>
    <w:div w:id="103422583">
      <w:bodyDiv w:val="1"/>
      <w:marLeft w:val="0"/>
      <w:marRight w:val="0"/>
      <w:marTop w:val="0"/>
      <w:marBottom w:val="0"/>
      <w:divBdr>
        <w:top w:val="none" w:sz="0" w:space="0" w:color="auto"/>
        <w:left w:val="none" w:sz="0" w:space="0" w:color="auto"/>
        <w:bottom w:val="none" w:sz="0" w:space="0" w:color="auto"/>
        <w:right w:val="none" w:sz="0" w:space="0" w:color="auto"/>
      </w:divBdr>
    </w:div>
    <w:div w:id="403450925">
      <w:bodyDiv w:val="1"/>
      <w:marLeft w:val="0"/>
      <w:marRight w:val="0"/>
      <w:marTop w:val="0"/>
      <w:marBottom w:val="0"/>
      <w:divBdr>
        <w:top w:val="none" w:sz="0" w:space="0" w:color="auto"/>
        <w:left w:val="none" w:sz="0" w:space="0" w:color="auto"/>
        <w:bottom w:val="none" w:sz="0" w:space="0" w:color="auto"/>
        <w:right w:val="none" w:sz="0" w:space="0" w:color="auto"/>
      </w:divBdr>
    </w:div>
    <w:div w:id="440419237">
      <w:bodyDiv w:val="1"/>
      <w:marLeft w:val="0"/>
      <w:marRight w:val="0"/>
      <w:marTop w:val="0"/>
      <w:marBottom w:val="0"/>
      <w:divBdr>
        <w:top w:val="none" w:sz="0" w:space="0" w:color="auto"/>
        <w:left w:val="none" w:sz="0" w:space="0" w:color="auto"/>
        <w:bottom w:val="none" w:sz="0" w:space="0" w:color="auto"/>
        <w:right w:val="none" w:sz="0" w:space="0" w:color="auto"/>
      </w:divBdr>
    </w:div>
    <w:div w:id="441219466">
      <w:bodyDiv w:val="1"/>
      <w:marLeft w:val="0"/>
      <w:marRight w:val="0"/>
      <w:marTop w:val="0"/>
      <w:marBottom w:val="0"/>
      <w:divBdr>
        <w:top w:val="none" w:sz="0" w:space="0" w:color="auto"/>
        <w:left w:val="none" w:sz="0" w:space="0" w:color="auto"/>
        <w:bottom w:val="none" w:sz="0" w:space="0" w:color="auto"/>
        <w:right w:val="none" w:sz="0" w:space="0" w:color="auto"/>
      </w:divBdr>
      <w:divsChild>
        <w:div w:id="1139616450">
          <w:marLeft w:val="0"/>
          <w:marRight w:val="0"/>
          <w:marTop w:val="0"/>
          <w:marBottom w:val="0"/>
          <w:divBdr>
            <w:top w:val="none" w:sz="0" w:space="0" w:color="auto"/>
            <w:left w:val="none" w:sz="0" w:space="0" w:color="auto"/>
            <w:bottom w:val="none" w:sz="0" w:space="0" w:color="auto"/>
            <w:right w:val="none" w:sz="0" w:space="0" w:color="auto"/>
          </w:divBdr>
        </w:div>
        <w:div w:id="1878620298">
          <w:marLeft w:val="0"/>
          <w:marRight w:val="0"/>
          <w:marTop w:val="0"/>
          <w:marBottom w:val="0"/>
          <w:divBdr>
            <w:top w:val="none" w:sz="0" w:space="0" w:color="auto"/>
            <w:left w:val="none" w:sz="0" w:space="0" w:color="auto"/>
            <w:bottom w:val="none" w:sz="0" w:space="0" w:color="auto"/>
            <w:right w:val="none" w:sz="0" w:space="0" w:color="auto"/>
          </w:divBdr>
        </w:div>
        <w:div w:id="1623002088">
          <w:marLeft w:val="0"/>
          <w:marRight w:val="0"/>
          <w:marTop w:val="0"/>
          <w:marBottom w:val="0"/>
          <w:divBdr>
            <w:top w:val="none" w:sz="0" w:space="0" w:color="auto"/>
            <w:left w:val="none" w:sz="0" w:space="0" w:color="auto"/>
            <w:bottom w:val="none" w:sz="0" w:space="0" w:color="auto"/>
            <w:right w:val="none" w:sz="0" w:space="0" w:color="auto"/>
          </w:divBdr>
        </w:div>
        <w:div w:id="1633052817">
          <w:marLeft w:val="0"/>
          <w:marRight w:val="0"/>
          <w:marTop w:val="0"/>
          <w:marBottom w:val="0"/>
          <w:divBdr>
            <w:top w:val="none" w:sz="0" w:space="0" w:color="auto"/>
            <w:left w:val="none" w:sz="0" w:space="0" w:color="auto"/>
            <w:bottom w:val="none" w:sz="0" w:space="0" w:color="auto"/>
            <w:right w:val="none" w:sz="0" w:space="0" w:color="auto"/>
          </w:divBdr>
        </w:div>
      </w:divsChild>
    </w:div>
    <w:div w:id="806043981">
      <w:bodyDiv w:val="1"/>
      <w:marLeft w:val="0"/>
      <w:marRight w:val="0"/>
      <w:marTop w:val="0"/>
      <w:marBottom w:val="0"/>
      <w:divBdr>
        <w:top w:val="none" w:sz="0" w:space="0" w:color="auto"/>
        <w:left w:val="none" w:sz="0" w:space="0" w:color="auto"/>
        <w:bottom w:val="none" w:sz="0" w:space="0" w:color="auto"/>
        <w:right w:val="none" w:sz="0" w:space="0" w:color="auto"/>
      </w:divBdr>
      <w:divsChild>
        <w:div w:id="1257177253">
          <w:marLeft w:val="0"/>
          <w:marRight w:val="0"/>
          <w:marTop w:val="0"/>
          <w:marBottom w:val="0"/>
          <w:divBdr>
            <w:top w:val="none" w:sz="0" w:space="0" w:color="auto"/>
            <w:left w:val="none" w:sz="0" w:space="0" w:color="auto"/>
            <w:bottom w:val="none" w:sz="0" w:space="0" w:color="auto"/>
            <w:right w:val="none" w:sz="0" w:space="0" w:color="auto"/>
          </w:divBdr>
        </w:div>
        <w:div w:id="1371609709">
          <w:marLeft w:val="0"/>
          <w:marRight w:val="0"/>
          <w:marTop w:val="0"/>
          <w:marBottom w:val="0"/>
          <w:divBdr>
            <w:top w:val="none" w:sz="0" w:space="0" w:color="auto"/>
            <w:left w:val="none" w:sz="0" w:space="0" w:color="auto"/>
            <w:bottom w:val="none" w:sz="0" w:space="0" w:color="auto"/>
            <w:right w:val="none" w:sz="0" w:space="0" w:color="auto"/>
          </w:divBdr>
        </w:div>
        <w:div w:id="1247348786">
          <w:marLeft w:val="0"/>
          <w:marRight w:val="0"/>
          <w:marTop w:val="0"/>
          <w:marBottom w:val="0"/>
          <w:divBdr>
            <w:top w:val="none" w:sz="0" w:space="0" w:color="auto"/>
            <w:left w:val="none" w:sz="0" w:space="0" w:color="auto"/>
            <w:bottom w:val="none" w:sz="0" w:space="0" w:color="auto"/>
            <w:right w:val="none" w:sz="0" w:space="0" w:color="auto"/>
          </w:divBdr>
        </w:div>
        <w:div w:id="2105833969">
          <w:marLeft w:val="0"/>
          <w:marRight w:val="0"/>
          <w:marTop w:val="0"/>
          <w:marBottom w:val="0"/>
          <w:divBdr>
            <w:top w:val="none" w:sz="0" w:space="0" w:color="auto"/>
            <w:left w:val="none" w:sz="0" w:space="0" w:color="auto"/>
            <w:bottom w:val="none" w:sz="0" w:space="0" w:color="auto"/>
            <w:right w:val="none" w:sz="0" w:space="0" w:color="auto"/>
          </w:divBdr>
        </w:div>
      </w:divsChild>
    </w:div>
    <w:div w:id="908808989">
      <w:bodyDiv w:val="1"/>
      <w:marLeft w:val="0"/>
      <w:marRight w:val="0"/>
      <w:marTop w:val="0"/>
      <w:marBottom w:val="0"/>
      <w:divBdr>
        <w:top w:val="none" w:sz="0" w:space="0" w:color="auto"/>
        <w:left w:val="none" w:sz="0" w:space="0" w:color="auto"/>
        <w:bottom w:val="none" w:sz="0" w:space="0" w:color="auto"/>
        <w:right w:val="none" w:sz="0" w:space="0" w:color="auto"/>
      </w:divBdr>
    </w:div>
    <w:div w:id="1005741335">
      <w:bodyDiv w:val="1"/>
      <w:marLeft w:val="0"/>
      <w:marRight w:val="0"/>
      <w:marTop w:val="0"/>
      <w:marBottom w:val="0"/>
      <w:divBdr>
        <w:top w:val="none" w:sz="0" w:space="0" w:color="auto"/>
        <w:left w:val="none" w:sz="0" w:space="0" w:color="auto"/>
        <w:bottom w:val="none" w:sz="0" w:space="0" w:color="auto"/>
        <w:right w:val="none" w:sz="0" w:space="0" w:color="auto"/>
      </w:divBdr>
    </w:div>
    <w:div w:id="1483621579">
      <w:bodyDiv w:val="1"/>
      <w:marLeft w:val="0"/>
      <w:marRight w:val="0"/>
      <w:marTop w:val="0"/>
      <w:marBottom w:val="0"/>
      <w:divBdr>
        <w:top w:val="none" w:sz="0" w:space="0" w:color="auto"/>
        <w:left w:val="none" w:sz="0" w:space="0" w:color="auto"/>
        <w:bottom w:val="none" w:sz="0" w:space="0" w:color="auto"/>
        <w:right w:val="none" w:sz="0" w:space="0" w:color="auto"/>
      </w:divBdr>
    </w:div>
    <w:div w:id="1798453570">
      <w:bodyDiv w:val="1"/>
      <w:marLeft w:val="0"/>
      <w:marRight w:val="0"/>
      <w:marTop w:val="0"/>
      <w:marBottom w:val="0"/>
      <w:divBdr>
        <w:top w:val="none" w:sz="0" w:space="0" w:color="auto"/>
        <w:left w:val="none" w:sz="0" w:space="0" w:color="auto"/>
        <w:bottom w:val="none" w:sz="0" w:space="0" w:color="auto"/>
        <w:right w:val="none" w:sz="0" w:space="0" w:color="auto"/>
      </w:divBdr>
    </w:div>
    <w:div w:id="1857842054">
      <w:bodyDiv w:val="1"/>
      <w:marLeft w:val="0"/>
      <w:marRight w:val="0"/>
      <w:marTop w:val="0"/>
      <w:marBottom w:val="0"/>
      <w:divBdr>
        <w:top w:val="none" w:sz="0" w:space="0" w:color="auto"/>
        <w:left w:val="none" w:sz="0" w:space="0" w:color="auto"/>
        <w:bottom w:val="none" w:sz="0" w:space="0" w:color="auto"/>
        <w:right w:val="none" w:sz="0" w:space="0" w:color="auto"/>
      </w:divBdr>
    </w:div>
    <w:div w:id="1905335610">
      <w:bodyDiv w:val="1"/>
      <w:marLeft w:val="0"/>
      <w:marRight w:val="0"/>
      <w:marTop w:val="0"/>
      <w:marBottom w:val="0"/>
      <w:divBdr>
        <w:top w:val="none" w:sz="0" w:space="0" w:color="auto"/>
        <w:left w:val="none" w:sz="0" w:space="0" w:color="auto"/>
        <w:bottom w:val="none" w:sz="0" w:space="0" w:color="auto"/>
        <w:right w:val="none" w:sz="0" w:space="0" w:color="auto"/>
      </w:divBdr>
    </w:div>
    <w:div w:id="20030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vanje.org.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ortal.mdt.gov.mk/post-documents/zakoni-document-7KxJ.pdf" TargetMode="External"/><Relationship Id="rId7" Type="http://schemas.openxmlformats.org/officeDocument/2006/relationships/hyperlink" Target="https://mep.gov.mk/mk-MK/eu-integracii/plan-za-rast-za-zapaden-balkan-i-reformska-agenda/reformska-agenda-na-severna-makedonija-2024-2027-godina" TargetMode="External"/><Relationship Id="rId2" Type="http://schemas.openxmlformats.org/officeDocument/2006/relationships/hyperlink" Target="https://www.stat.gov.mk/MetodoloskiObjasSoop.aspx?id=37&amp;rbrObl=13" TargetMode="External"/><Relationship Id="rId1" Type="http://schemas.openxmlformats.org/officeDocument/2006/relationships/hyperlink" Target="https://www.google.com/url?client=internal-element-cse&amp;cx=005984792435174779271:v7t0sn-wu1a&amp;q=https://www.stat.gov.mk/obrasci/ZivotenStandard/APD_ZDN.pdf&amp;sa=U&amp;ved=2ahUKEwipmrm1iLSNAxUrnf0HHXFJA3kQFnoECAcQAQ&amp;usg=AOvVaw1f6-Rxb5nm1BJPIm8SfkmV&amp;fexp=72956999,72956998" TargetMode="External"/><Relationship Id="rId6" Type="http://schemas.openxmlformats.org/officeDocument/2006/relationships/hyperlink" Target="https://www.economy.gov.mk/content/Official%20NECP_EN.pdf" TargetMode="External"/><Relationship Id="rId5" Type="http://schemas.openxmlformats.org/officeDocument/2006/relationships/hyperlink" Target="https://erc.org.mk/odluki/2025.04.29%20-%20RKE%20GI%202024-final.pdf" TargetMode="External"/><Relationship Id="rId4" Type="http://schemas.openxmlformats.org/officeDocument/2006/relationships/hyperlink" Target="https://www.energy-community.org/dam/jcr:56632fbf-baf6-49c5-ad23-d997b552e1e6/PG2022-02-ECS_poverty-08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3F95-1C4F-462B-B44F-94BEB66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Петковски Кире</dc:creator>
  <cp:lastModifiedBy>Valentina Stardelova</cp:lastModifiedBy>
  <cp:revision>5</cp:revision>
  <cp:lastPrinted>2025-05-07T06:10:00Z</cp:lastPrinted>
  <dcterms:created xsi:type="dcterms:W3CDTF">2025-05-21T08:22:00Z</dcterms:created>
  <dcterms:modified xsi:type="dcterms:W3CDTF">2025-06-18T09:56:00Z</dcterms:modified>
</cp:coreProperties>
</file>