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44" w:rsidRPr="006472AF" w:rsidRDefault="00CC6B44" w:rsidP="00E2652B">
      <w:pPr>
        <w:pStyle w:val="NormalWeb"/>
        <w:jc w:val="center"/>
        <w:rPr>
          <w:b/>
          <w:bCs/>
          <w:lang w:val="ru-RU"/>
        </w:rPr>
      </w:pPr>
      <w:r w:rsidRPr="00E2652B">
        <w:rPr>
          <w:b/>
          <w:bCs/>
          <w:lang w:val="mk-MK"/>
        </w:rPr>
        <w:t xml:space="preserve">Директива 2006/54/ЕЗ на Европскиот парламент и на Советот </w:t>
      </w:r>
    </w:p>
    <w:p w:rsidR="00CC6B44" w:rsidRPr="0026372D" w:rsidRDefault="00CC6B44" w:rsidP="00404527">
      <w:pPr>
        <w:pStyle w:val="NormalWeb"/>
        <w:jc w:val="center"/>
        <w:rPr>
          <w:b/>
          <w:bCs/>
          <w:lang w:val="mk-MK"/>
        </w:rPr>
      </w:pPr>
      <w:r>
        <w:rPr>
          <w:b/>
          <w:bCs/>
          <w:lang w:val="mk-MK"/>
        </w:rPr>
        <w:t>о</w:t>
      </w:r>
      <w:r w:rsidRPr="00404527">
        <w:rPr>
          <w:b/>
          <w:bCs/>
          <w:lang w:val="mk-MK"/>
        </w:rPr>
        <w:t xml:space="preserve">д 5 јули 2006 </w:t>
      </w:r>
      <w:r>
        <w:rPr>
          <w:b/>
          <w:bCs/>
          <w:lang w:val="mk-MK"/>
        </w:rPr>
        <w:t xml:space="preserve">година </w:t>
      </w:r>
    </w:p>
    <w:p w:rsidR="00CC6B44" w:rsidRPr="006472AF" w:rsidRDefault="00CC6B44" w:rsidP="00404527">
      <w:pPr>
        <w:pStyle w:val="NormalWeb"/>
        <w:jc w:val="center"/>
        <w:rPr>
          <w:b/>
          <w:bCs/>
          <w:lang w:val="ru-RU"/>
        </w:rPr>
      </w:pPr>
      <w:r w:rsidRPr="00404527">
        <w:rPr>
          <w:b/>
          <w:bCs/>
          <w:lang w:val="mk-MK"/>
        </w:rPr>
        <w:t>за примена на принципот на еднакви можности и еднаков третман на мажите и жените во област</w:t>
      </w:r>
      <w:r>
        <w:rPr>
          <w:b/>
          <w:bCs/>
          <w:lang w:val="en-US"/>
        </w:rPr>
        <w:t>a</w:t>
      </w:r>
      <w:r>
        <w:rPr>
          <w:b/>
          <w:bCs/>
          <w:lang w:val="mk-MK"/>
        </w:rPr>
        <w:t xml:space="preserve"> на  вработувањето и професиите</w:t>
      </w:r>
      <w:r w:rsidRPr="00404527">
        <w:rPr>
          <w:b/>
          <w:bCs/>
          <w:lang w:val="mk-MK"/>
        </w:rPr>
        <w:t xml:space="preserve"> (</w:t>
      </w:r>
      <w:r>
        <w:rPr>
          <w:b/>
          <w:bCs/>
          <w:lang w:val="mk-MK"/>
        </w:rPr>
        <w:t>преработена</w:t>
      </w:r>
      <w:r w:rsidRPr="00404527">
        <w:rPr>
          <w:b/>
          <w:bCs/>
          <w:lang w:val="mk-MK"/>
        </w:rPr>
        <w:t>)</w:t>
      </w:r>
    </w:p>
    <w:p w:rsidR="00CC6B44" w:rsidRPr="006472AF" w:rsidRDefault="00CC6B44" w:rsidP="005E6875">
      <w:pPr>
        <w:pStyle w:val="NormalWeb"/>
        <w:jc w:val="center"/>
        <w:rPr>
          <w:b/>
          <w:bCs/>
          <w:lang w:val="ru-RU"/>
        </w:rPr>
      </w:pPr>
    </w:p>
    <w:p w:rsidR="00CC6B44" w:rsidRPr="006472AF" w:rsidRDefault="00CC6B44" w:rsidP="00404527">
      <w:pPr>
        <w:pStyle w:val="NormalWeb"/>
        <w:jc w:val="both"/>
        <w:rPr>
          <w:lang w:val="ru-RU"/>
        </w:rPr>
      </w:pPr>
      <w:r w:rsidRPr="00404527">
        <w:rPr>
          <w:lang w:val="mk-MK"/>
        </w:rPr>
        <w:t xml:space="preserve">ЕВРОПСКИОТ ПАРЛАМЕНТ И СОВЕТОТ НА ЕВРОПСКАТА УНИЈА, </w:t>
      </w:r>
    </w:p>
    <w:p w:rsidR="00CC6B44" w:rsidRPr="006472AF" w:rsidRDefault="00CC6B44" w:rsidP="00404527">
      <w:pPr>
        <w:pStyle w:val="NormalWeb"/>
        <w:jc w:val="both"/>
        <w:rPr>
          <w:lang w:val="ru-RU"/>
        </w:rPr>
      </w:pPr>
      <w:r>
        <w:rPr>
          <w:lang w:val="mk-MK"/>
        </w:rPr>
        <w:t>и</w:t>
      </w:r>
      <w:r w:rsidRPr="00404527">
        <w:rPr>
          <w:lang w:val="mk-MK"/>
        </w:rPr>
        <w:t xml:space="preserve">мајќи го предвид Договорот за основање на Европската заедница, а особено членот 141(3) од истиот, </w:t>
      </w:r>
    </w:p>
    <w:p w:rsidR="00CC6B44" w:rsidRPr="006472AF" w:rsidRDefault="00CC6B44" w:rsidP="00404527">
      <w:pPr>
        <w:pStyle w:val="NormalWeb"/>
        <w:jc w:val="both"/>
        <w:rPr>
          <w:lang w:val="ru-RU"/>
        </w:rPr>
      </w:pPr>
      <w:r w:rsidRPr="00404527">
        <w:rPr>
          <w:lang w:val="mk-MK"/>
        </w:rPr>
        <w:t xml:space="preserve">имајќи го предвид предлогот на Комисијата, </w:t>
      </w:r>
    </w:p>
    <w:p w:rsidR="00CC6B44" w:rsidRPr="006472AF" w:rsidRDefault="00CC6B44" w:rsidP="00404527">
      <w:pPr>
        <w:pStyle w:val="NormalWeb"/>
        <w:jc w:val="both"/>
        <w:rPr>
          <w:lang w:val="ru-RU"/>
        </w:rPr>
      </w:pPr>
      <w:r w:rsidRPr="00404527">
        <w:rPr>
          <w:lang w:val="mk-MK"/>
        </w:rPr>
        <w:t>имајќи го предвид мисле</w:t>
      </w:r>
      <w:r>
        <w:rPr>
          <w:lang w:val="mk-MK"/>
        </w:rPr>
        <w:t>њето на Европскиот Економско-</w:t>
      </w:r>
      <w:r w:rsidRPr="002030C0">
        <w:rPr>
          <w:lang w:val="mk-MK"/>
        </w:rPr>
        <w:t>социјален комитет</w:t>
      </w:r>
      <w:r>
        <w:rPr>
          <w:rStyle w:val="FootnoteReference"/>
          <w:lang w:val="mk-MK"/>
        </w:rPr>
        <w:footnoteReference w:id="1"/>
      </w:r>
      <w:r w:rsidRPr="002030C0">
        <w:rPr>
          <w:lang w:val="mk-MK"/>
        </w:rPr>
        <w:t xml:space="preserve">, </w:t>
      </w:r>
    </w:p>
    <w:p w:rsidR="00CC6B44" w:rsidRPr="006472AF" w:rsidRDefault="00CC6B44" w:rsidP="00404527">
      <w:pPr>
        <w:pStyle w:val="NormalWeb"/>
        <w:jc w:val="both"/>
        <w:rPr>
          <w:lang w:val="ru-RU"/>
        </w:rPr>
      </w:pPr>
      <w:r w:rsidRPr="002030C0">
        <w:rPr>
          <w:lang w:val="mk-MK"/>
        </w:rPr>
        <w:t>постапувајќи во согласност со постапката</w:t>
      </w:r>
      <w:r>
        <w:rPr>
          <w:lang w:val="mk-MK"/>
        </w:rPr>
        <w:t xml:space="preserve"> </w:t>
      </w:r>
      <w:r w:rsidRPr="00404527">
        <w:rPr>
          <w:lang w:val="mk-MK"/>
        </w:rPr>
        <w:t>утвр</w:t>
      </w:r>
      <w:r>
        <w:rPr>
          <w:lang w:val="mk-MK"/>
        </w:rPr>
        <w:t>дена во членот 251 од Договорот</w:t>
      </w:r>
      <w:r>
        <w:rPr>
          <w:rStyle w:val="FootnoteReference"/>
          <w:lang w:val="mk-MK"/>
        </w:rPr>
        <w:footnoteReference w:id="2"/>
      </w:r>
      <w:r w:rsidRPr="00404527">
        <w:rPr>
          <w:lang w:val="mk-MK"/>
        </w:rPr>
        <w:t xml:space="preserve">, </w:t>
      </w:r>
    </w:p>
    <w:p w:rsidR="00CC6B44" w:rsidRPr="006472AF" w:rsidRDefault="00CC6B44" w:rsidP="00404527">
      <w:pPr>
        <w:pStyle w:val="NormalWeb"/>
        <w:jc w:val="both"/>
        <w:rPr>
          <w:lang w:val="ru-RU"/>
        </w:rPr>
      </w:pPr>
      <w:r>
        <w:rPr>
          <w:lang w:val="mk-MK"/>
        </w:rPr>
        <w:t>со оглед на тоа што</w:t>
      </w:r>
      <w:r w:rsidRPr="00404527">
        <w:rPr>
          <w:lang w:val="mk-MK"/>
        </w:rPr>
        <w:t xml:space="preserve">: </w:t>
      </w:r>
    </w:p>
    <w:p w:rsidR="00CC6B44" w:rsidRPr="00CC7AEC" w:rsidRDefault="00CC6B44" w:rsidP="001B497C">
      <w:pPr>
        <w:pStyle w:val="NormalWeb"/>
        <w:tabs>
          <w:tab w:val="left" w:pos="240"/>
        </w:tabs>
        <w:jc w:val="both"/>
        <w:rPr>
          <w:lang w:val="mk-MK"/>
        </w:rPr>
      </w:pPr>
      <w:r w:rsidRPr="002030C0">
        <w:rPr>
          <w:lang w:val="mk-MK"/>
        </w:rPr>
        <w:t xml:space="preserve">(1) Директивата 76/207/ЕЕЗ на Советот од 9 февруари 1976 за примена на принципот на еднаков третман на мажите и жените во однос на пристапот до вработување, </w:t>
      </w:r>
      <w:r>
        <w:rPr>
          <w:lang w:val="mk-MK"/>
        </w:rPr>
        <w:t xml:space="preserve">стручна обука </w:t>
      </w:r>
      <w:r w:rsidRPr="002030C0">
        <w:rPr>
          <w:lang w:val="mk-MK"/>
        </w:rPr>
        <w:t>и напредок, и работните услови</w:t>
      </w:r>
      <w:r>
        <w:rPr>
          <w:rStyle w:val="FootnoteReference"/>
          <w:lang w:val="mk-MK"/>
        </w:rPr>
        <w:footnoteReference w:id="3"/>
      </w:r>
      <w:r>
        <w:rPr>
          <w:lang w:val="mk-MK"/>
        </w:rPr>
        <w:t xml:space="preserve"> </w:t>
      </w:r>
      <w:r w:rsidRPr="002030C0">
        <w:rPr>
          <w:lang w:val="mk-MK"/>
        </w:rPr>
        <w:t>и Директивата 86/378/ЕЕЗ од 24 јули 1986 за примена на принципот на еднаков третман на маж</w:t>
      </w:r>
      <w:r>
        <w:rPr>
          <w:lang w:val="mk-MK"/>
        </w:rPr>
        <w:t xml:space="preserve">ите и жените во професионалните шеми за </w:t>
      </w:r>
      <w:r w:rsidRPr="002030C0">
        <w:rPr>
          <w:lang w:val="mk-MK"/>
        </w:rPr>
        <w:t>социјалн</w:t>
      </w:r>
      <w:r>
        <w:rPr>
          <w:lang w:val="mk-MK"/>
        </w:rPr>
        <w:t>а сигурност</w:t>
      </w:r>
      <w:r>
        <w:rPr>
          <w:rStyle w:val="FootnoteReference"/>
          <w:lang w:val="mk-MK"/>
        </w:rPr>
        <w:footnoteReference w:id="4"/>
      </w:r>
      <w:r w:rsidRPr="002030C0">
        <w:rPr>
          <w:lang w:val="mk-MK"/>
        </w:rPr>
        <w:t>,</w:t>
      </w:r>
      <w:r>
        <w:rPr>
          <w:lang w:val="mk-MK"/>
        </w:rPr>
        <w:t xml:space="preserve"> се значително изменети</w:t>
      </w:r>
      <w:r>
        <w:rPr>
          <w:rStyle w:val="FootnoteReference"/>
          <w:lang w:val="mk-MK"/>
        </w:rPr>
        <w:footnoteReference w:id="5"/>
      </w:r>
      <w:r>
        <w:rPr>
          <w:lang w:val="mk-MK"/>
        </w:rPr>
        <w:t xml:space="preserve">. </w:t>
      </w:r>
      <w:r w:rsidRPr="002030C0">
        <w:rPr>
          <w:lang w:val="mk-MK"/>
        </w:rPr>
        <w:t xml:space="preserve">Директивата 75/117/ЕЕЗ на Советот од 10 февруари 1975 </w:t>
      </w:r>
      <w:r>
        <w:rPr>
          <w:lang w:val="mk-MK"/>
        </w:rPr>
        <w:t xml:space="preserve">година </w:t>
      </w:r>
      <w:r w:rsidRPr="002030C0">
        <w:rPr>
          <w:lang w:val="mk-MK"/>
        </w:rPr>
        <w:t>за приближување на законите на земјите-членки за примена на принципот на еднакв</w:t>
      </w:r>
      <w:r>
        <w:rPr>
          <w:lang w:val="mk-MK"/>
        </w:rPr>
        <w:t>о</w:t>
      </w:r>
      <w:r w:rsidRPr="002030C0">
        <w:rPr>
          <w:lang w:val="mk-MK"/>
        </w:rPr>
        <w:t xml:space="preserve"> </w:t>
      </w:r>
      <w:r>
        <w:rPr>
          <w:lang w:val="mk-MK"/>
        </w:rPr>
        <w:t>плаќање</w:t>
      </w:r>
      <w:r w:rsidRPr="002030C0">
        <w:rPr>
          <w:lang w:val="mk-MK"/>
        </w:rPr>
        <w:t xml:space="preserve"> </w:t>
      </w:r>
      <w:r>
        <w:rPr>
          <w:lang w:val="mk-MK"/>
        </w:rPr>
        <w:t>на мажите и жените</w:t>
      </w:r>
      <w:r>
        <w:rPr>
          <w:rStyle w:val="FootnoteReference"/>
          <w:lang w:val="mk-MK"/>
        </w:rPr>
        <w:footnoteReference w:id="6"/>
      </w:r>
      <w:r w:rsidRPr="002030C0">
        <w:rPr>
          <w:lang w:val="mk-MK"/>
        </w:rPr>
        <w:t xml:space="preserve"> и Директивата 97/80/ЕЗ на Советот од 15 декември 1997</w:t>
      </w:r>
      <w:r>
        <w:rPr>
          <w:lang w:val="mk-MK"/>
        </w:rPr>
        <w:t xml:space="preserve"> година</w:t>
      </w:r>
      <w:r w:rsidRPr="002030C0">
        <w:rPr>
          <w:lang w:val="mk-MK"/>
        </w:rPr>
        <w:t xml:space="preserve"> за </w:t>
      </w:r>
      <w:r>
        <w:rPr>
          <w:lang w:val="mk-MK"/>
        </w:rPr>
        <w:t>товарот</w:t>
      </w:r>
      <w:r w:rsidRPr="002030C0">
        <w:rPr>
          <w:lang w:val="mk-MK"/>
        </w:rPr>
        <w:t xml:space="preserve"> </w:t>
      </w:r>
      <w:r>
        <w:rPr>
          <w:lang w:val="mk-MK"/>
        </w:rPr>
        <w:t>на</w:t>
      </w:r>
      <w:r w:rsidRPr="002030C0">
        <w:rPr>
          <w:lang w:val="mk-MK"/>
        </w:rPr>
        <w:t xml:space="preserve"> докажување во случаи на полова дискриминација</w:t>
      </w:r>
      <w:r>
        <w:rPr>
          <w:rStyle w:val="FootnoteReference"/>
          <w:lang w:val="mk-MK"/>
        </w:rPr>
        <w:footnoteReference w:id="7"/>
      </w:r>
      <w:r w:rsidRPr="002030C0">
        <w:rPr>
          <w:lang w:val="mk-MK"/>
        </w:rPr>
        <w:t>, исто така содржи одредби што за цел ја имаат примената на принципот на една</w:t>
      </w:r>
      <w:r>
        <w:rPr>
          <w:lang w:val="mk-MK"/>
        </w:rPr>
        <w:t xml:space="preserve">ков третман на мажите и жените. </w:t>
      </w:r>
      <w:r w:rsidRPr="002030C0">
        <w:rPr>
          <w:lang w:val="mk-MK"/>
        </w:rPr>
        <w:t>Сега, кога се внесени новите измени во наведените директиви, пожелно е</w:t>
      </w:r>
      <w:r>
        <w:rPr>
          <w:lang w:val="mk-MK"/>
        </w:rPr>
        <w:t>,</w:t>
      </w:r>
      <w:r w:rsidRPr="002030C0">
        <w:rPr>
          <w:lang w:val="mk-MK"/>
        </w:rPr>
        <w:t xml:space="preserve"> за</w:t>
      </w:r>
      <w:r>
        <w:rPr>
          <w:lang w:val="mk-MK"/>
        </w:rPr>
        <w:t>ради јасност</w:t>
      </w:r>
      <w:r w:rsidRPr="002030C0">
        <w:rPr>
          <w:lang w:val="mk-MK"/>
        </w:rPr>
        <w:t xml:space="preserve">, одредбите што се во прашање да се преработат и главните одредби од оваа област да се обединат во единствен текст и да се вметнат определени </w:t>
      </w:r>
      <w:r>
        <w:rPr>
          <w:lang w:val="mk-MK"/>
        </w:rPr>
        <w:t>новини</w:t>
      </w:r>
      <w:r w:rsidRPr="002030C0">
        <w:rPr>
          <w:lang w:val="mk-MK"/>
        </w:rPr>
        <w:t xml:space="preserve"> </w:t>
      </w:r>
      <w:r w:rsidRPr="002030C0">
        <w:rPr>
          <w:lang w:val="mk-MK"/>
        </w:rPr>
        <w:lastRenderedPageBreak/>
        <w:t xml:space="preserve">што произлегуваат од прецедентното право на Европскиот суд на правдата (во понатамошниот текст Суд на правдата).     </w:t>
      </w:r>
    </w:p>
    <w:p w:rsidR="00CC6B44" w:rsidRPr="006472AF" w:rsidRDefault="00CC6B44" w:rsidP="002030C0">
      <w:pPr>
        <w:pStyle w:val="NormalWeb"/>
        <w:jc w:val="both"/>
        <w:rPr>
          <w:lang w:val="ru-RU"/>
        </w:rPr>
      </w:pPr>
      <w:r w:rsidRPr="002030C0">
        <w:rPr>
          <w:lang w:val="mk-MK"/>
        </w:rPr>
        <w:t>(2) Еднаквоста помеѓу мажите и жените е основен принцип на законот на Заедницата, во согласност со членот 2 и членот 3(2) од Договорот како и според прецидентното право на Судот на правдата.</w:t>
      </w:r>
      <w:r>
        <w:rPr>
          <w:lang w:val="mk-MK"/>
        </w:rPr>
        <w:t xml:space="preserve"> </w:t>
      </w:r>
      <w:r w:rsidRPr="002030C0">
        <w:rPr>
          <w:lang w:val="mk-MK"/>
        </w:rPr>
        <w:t>Овие одредби од Договорот ја прокламираат еднаквоста помеѓу мажите</w:t>
      </w:r>
      <w:r>
        <w:rPr>
          <w:lang w:val="mk-MK"/>
        </w:rPr>
        <w:t xml:space="preserve"> и жените</w:t>
      </w:r>
      <w:r w:rsidRPr="002030C0">
        <w:rPr>
          <w:lang w:val="mk-MK"/>
        </w:rPr>
        <w:t xml:space="preserve"> како „задача“ и „цел“ на Заедницата и наложуваат позитивна обврска таа да се промовира во сите нејзини активности. </w:t>
      </w:r>
    </w:p>
    <w:p w:rsidR="00CC6B44" w:rsidRPr="006472AF" w:rsidRDefault="00CC6B44" w:rsidP="001B497C">
      <w:pPr>
        <w:pStyle w:val="NormalWeb"/>
        <w:jc w:val="both"/>
        <w:rPr>
          <w:lang w:val="ru-RU"/>
        </w:rPr>
      </w:pPr>
      <w:r w:rsidRPr="002B1814">
        <w:rPr>
          <w:lang w:val="mk-MK"/>
        </w:rPr>
        <w:t>(3) Судот на правдата смета дека опфатот на принципот на еднаков третман на мажите и жените не може да се ограничи на дискриминација заснована на фактот дека лицето</w:t>
      </w:r>
      <w:r w:rsidRPr="002030C0">
        <w:rPr>
          <w:lang w:val="mk-MK"/>
        </w:rPr>
        <w:t xml:space="preserve"> е од еден или друг пол. </w:t>
      </w:r>
      <w:r w:rsidRPr="006472AF">
        <w:rPr>
          <w:lang w:val="ru-RU"/>
        </w:rPr>
        <w:t xml:space="preserve"> </w:t>
      </w:r>
      <w:r w:rsidRPr="002030C0">
        <w:rPr>
          <w:lang w:val="mk-MK"/>
        </w:rPr>
        <w:t>Во поглед на неговата цел и природата на правата што ги заштит</w:t>
      </w:r>
      <w:r>
        <w:rPr>
          <w:lang w:val="mk-MK"/>
        </w:rPr>
        <w:t>ува</w:t>
      </w:r>
      <w:r w:rsidRPr="002030C0">
        <w:rPr>
          <w:lang w:val="mk-MK"/>
        </w:rPr>
        <w:t xml:space="preserve">, тој се применува, исто така за дискриминација што произлегува од промена на полот на дадено лице. </w:t>
      </w:r>
    </w:p>
    <w:p w:rsidR="00CC6B44" w:rsidRPr="006472AF" w:rsidRDefault="00CC6B44" w:rsidP="001B497C">
      <w:pPr>
        <w:pStyle w:val="NormalWeb"/>
        <w:jc w:val="both"/>
        <w:rPr>
          <w:lang w:val="ru-RU"/>
        </w:rPr>
      </w:pPr>
      <w:r w:rsidRPr="002030C0">
        <w:rPr>
          <w:lang w:val="mk-MK"/>
        </w:rPr>
        <w:t xml:space="preserve">(4) </w:t>
      </w:r>
      <w:r>
        <w:rPr>
          <w:lang w:val="mk-MK"/>
        </w:rPr>
        <w:t>Ч</w:t>
      </w:r>
      <w:r w:rsidRPr="002030C0">
        <w:rPr>
          <w:lang w:val="mk-MK"/>
        </w:rPr>
        <w:t xml:space="preserve">ленот 141(3) од Договорот </w:t>
      </w:r>
      <w:r>
        <w:rPr>
          <w:lang w:val="mk-MK"/>
        </w:rPr>
        <w:t xml:space="preserve">сега </w:t>
      </w:r>
      <w:r w:rsidRPr="002030C0">
        <w:rPr>
          <w:lang w:val="mk-MK"/>
        </w:rPr>
        <w:t xml:space="preserve">предвидува посебна правна основа за донесување на мерки на Заедницата за гарантирање на примена на принципот на еднакви можности и еднаков третман во </w:t>
      </w:r>
      <w:r>
        <w:rPr>
          <w:lang w:val="mk-MK"/>
        </w:rPr>
        <w:t>областа</w:t>
      </w:r>
      <w:r w:rsidRPr="002030C0">
        <w:rPr>
          <w:lang w:val="mk-MK"/>
        </w:rPr>
        <w:t xml:space="preserve"> на вработувањето и професиjата, вклучувајќи го принципот на </w:t>
      </w:r>
      <w:r>
        <w:rPr>
          <w:lang w:val="mk-MK"/>
        </w:rPr>
        <w:t>еднакво</w:t>
      </w:r>
      <w:r w:rsidRPr="002030C0">
        <w:rPr>
          <w:lang w:val="mk-MK"/>
        </w:rPr>
        <w:t xml:space="preserve"> </w:t>
      </w:r>
      <w:r>
        <w:rPr>
          <w:lang w:val="mk-MK"/>
        </w:rPr>
        <w:t>плаќање</w:t>
      </w:r>
      <w:r w:rsidRPr="002030C0">
        <w:rPr>
          <w:lang w:val="mk-MK"/>
        </w:rPr>
        <w:t xml:space="preserve"> за </w:t>
      </w:r>
      <w:r>
        <w:rPr>
          <w:lang w:val="mk-MK"/>
        </w:rPr>
        <w:t>еднаква</w:t>
      </w:r>
      <w:r w:rsidRPr="002030C0">
        <w:rPr>
          <w:lang w:val="mk-MK"/>
        </w:rPr>
        <w:t xml:space="preserve"> работа или работа со </w:t>
      </w:r>
      <w:r>
        <w:rPr>
          <w:lang w:val="mk-MK"/>
        </w:rPr>
        <w:t>еднаква</w:t>
      </w:r>
      <w:r w:rsidRPr="002030C0">
        <w:rPr>
          <w:lang w:val="mk-MK"/>
        </w:rPr>
        <w:t xml:space="preserve"> вредност. </w:t>
      </w:r>
    </w:p>
    <w:p w:rsidR="00CC6B44" w:rsidRPr="006472AF" w:rsidRDefault="00CC6B44" w:rsidP="005B7A89">
      <w:pPr>
        <w:pStyle w:val="NormalWeb"/>
        <w:jc w:val="both"/>
        <w:rPr>
          <w:lang w:val="ru-RU"/>
        </w:rPr>
      </w:pPr>
      <w:r w:rsidRPr="002030C0">
        <w:rPr>
          <w:lang w:val="mk-MK"/>
        </w:rPr>
        <w:t>(5) Членовите 21 и 23 од По</w:t>
      </w:r>
      <w:r>
        <w:rPr>
          <w:lang w:val="mk-MK"/>
        </w:rPr>
        <w:t>велбата</w:t>
      </w:r>
      <w:r w:rsidRPr="002030C0">
        <w:rPr>
          <w:lang w:val="mk-MK"/>
        </w:rPr>
        <w:t xml:space="preserve"> за основни права на Европската заедница исто така забрануваат секаква дискриминација заснована на полот и во нив се запазува правото за еднаков третман помеѓу мажите и жените во сите области, вклучувајќи го вработувањето, работата и </w:t>
      </w:r>
      <w:r>
        <w:rPr>
          <w:lang w:val="mk-MK"/>
        </w:rPr>
        <w:t>плаќањето</w:t>
      </w:r>
      <w:r w:rsidRPr="002030C0">
        <w:rPr>
          <w:lang w:val="mk-MK"/>
        </w:rPr>
        <w:t xml:space="preserve">.  </w:t>
      </w:r>
    </w:p>
    <w:p w:rsidR="00CC6B44" w:rsidRPr="006472AF" w:rsidRDefault="00CC6B44" w:rsidP="005B7A89">
      <w:pPr>
        <w:pStyle w:val="NormalWeb"/>
        <w:jc w:val="both"/>
        <w:rPr>
          <w:lang w:val="ru-RU"/>
        </w:rPr>
      </w:pPr>
      <w:r w:rsidRPr="00A70944">
        <w:rPr>
          <w:lang w:val="mk-MK"/>
        </w:rPr>
        <w:t>(6) Вознемирањето и сексуалното вознемирување се спротивни на принципот на еднаков третман на мажите и жените и за целите на оваа директива претставуваат дискриминација</w:t>
      </w:r>
      <w:r>
        <w:rPr>
          <w:lang w:val="mk-MK"/>
        </w:rPr>
        <w:t xml:space="preserve"> по основ на пол</w:t>
      </w:r>
      <w:r w:rsidRPr="00A70944">
        <w:rPr>
          <w:lang w:val="mk-MK"/>
        </w:rPr>
        <w:t xml:space="preserve">. Овие облици на дискриминација се појавуваат </w:t>
      </w:r>
      <w:r>
        <w:rPr>
          <w:lang w:val="mk-MK"/>
        </w:rPr>
        <w:t xml:space="preserve">не </w:t>
      </w:r>
      <w:r w:rsidRPr="00A70944">
        <w:rPr>
          <w:lang w:val="mk-MK"/>
        </w:rPr>
        <w:t xml:space="preserve">само на работното место, туку исто така и во контекст на вработувањето, </w:t>
      </w:r>
      <w:r>
        <w:rPr>
          <w:lang w:val="mk-MK"/>
        </w:rPr>
        <w:t xml:space="preserve">стручната обука </w:t>
      </w:r>
      <w:r w:rsidRPr="00A70944">
        <w:rPr>
          <w:lang w:val="mk-MK"/>
        </w:rPr>
        <w:t xml:space="preserve">и напредувањето. Затоа, тие треба да се забранат и да бидат предмет на ефективни, пропорционални и разубедувачки казни. </w:t>
      </w:r>
    </w:p>
    <w:p w:rsidR="00CC6B44" w:rsidRPr="006472AF" w:rsidRDefault="00CC6B44" w:rsidP="00E70B1C">
      <w:pPr>
        <w:pStyle w:val="NormalWeb"/>
        <w:jc w:val="both"/>
        <w:rPr>
          <w:lang w:val="ru-RU"/>
        </w:rPr>
      </w:pPr>
      <w:r w:rsidRPr="00A70944">
        <w:rPr>
          <w:lang w:val="mk-MK"/>
        </w:rPr>
        <w:t xml:space="preserve">(7) Во тој контекст, работниците и лицата што се одговорни за </w:t>
      </w:r>
      <w:r>
        <w:rPr>
          <w:lang w:val="mk-MK"/>
        </w:rPr>
        <w:t xml:space="preserve">стручна обука </w:t>
      </w:r>
      <w:r w:rsidRPr="00A70944">
        <w:rPr>
          <w:lang w:val="mk-MK"/>
        </w:rPr>
        <w:t xml:space="preserve">треба да се охрабрат да преземаат мерки за борба </w:t>
      </w:r>
      <w:r>
        <w:rPr>
          <w:lang w:val="mk-MK"/>
        </w:rPr>
        <w:t>против</w:t>
      </w:r>
      <w:r w:rsidRPr="00A70944">
        <w:rPr>
          <w:lang w:val="mk-MK"/>
        </w:rPr>
        <w:t xml:space="preserve"> сите облици на полова дискриминација, и особено да преземаат превентивни мерки против вознемирањето и сексуалното вознемирување на работното место и при пристапот до вработување, </w:t>
      </w:r>
      <w:r>
        <w:rPr>
          <w:lang w:val="mk-MK"/>
        </w:rPr>
        <w:t xml:space="preserve">стручната обука </w:t>
      </w:r>
      <w:r w:rsidRPr="00A70944">
        <w:rPr>
          <w:lang w:val="mk-MK"/>
        </w:rPr>
        <w:t>и напред</w:t>
      </w:r>
      <w:r>
        <w:rPr>
          <w:lang w:val="mk-MK"/>
        </w:rPr>
        <w:t>увањето</w:t>
      </w:r>
      <w:r w:rsidRPr="00A70944">
        <w:rPr>
          <w:lang w:val="mk-MK"/>
        </w:rPr>
        <w:t xml:space="preserve">, во согласност со националното законодавство и практика. </w:t>
      </w:r>
    </w:p>
    <w:p w:rsidR="00CC6B44" w:rsidRPr="006472AF" w:rsidRDefault="00CC6B44" w:rsidP="00E70B1C">
      <w:pPr>
        <w:pStyle w:val="NormalWeb"/>
        <w:jc w:val="both"/>
        <w:rPr>
          <w:lang w:val="ru-RU"/>
        </w:rPr>
      </w:pPr>
      <w:r w:rsidRPr="00A70944">
        <w:rPr>
          <w:lang w:val="mk-MK"/>
        </w:rPr>
        <w:t xml:space="preserve">(8) Принципот на </w:t>
      </w:r>
      <w:r>
        <w:rPr>
          <w:lang w:val="mk-MK"/>
        </w:rPr>
        <w:t>еднакво плаќање</w:t>
      </w:r>
      <w:r w:rsidRPr="00A70944">
        <w:rPr>
          <w:lang w:val="mk-MK"/>
        </w:rPr>
        <w:t xml:space="preserve"> за </w:t>
      </w:r>
      <w:r>
        <w:rPr>
          <w:lang w:val="mk-MK"/>
        </w:rPr>
        <w:t>еднаква</w:t>
      </w:r>
      <w:r w:rsidRPr="00A70944">
        <w:rPr>
          <w:lang w:val="mk-MK"/>
        </w:rPr>
        <w:t xml:space="preserve"> работа или работа со </w:t>
      </w:r>
      <w:r>
        <w:rPr>
          <w:lang w:val="mk-MK"/>
        </w:rPr>
        <w:t>еднаква</w:t>
      </w:r>
      <w:r w:rsidRPr="00A70944">
        <w:rPr>
          <w:lang w:val="mk-MK"/>
        </w:rPr>
        <w:t xml:space="preserve"> вредност, утврденото во членот 141 од Договорот </w:t>
      </w:r>
      <w:r>
        <w:rPr>
          <w:lang w:val="mk-MK"/>
        </w:rPr>
        <w:t>и</w:t>
      </w:r>
      <w:r w:rsidRPr="00A70944">
        <w:rPr>
          <w:lang w:val="mk-MK"/>
        </w:rPr>
        <w:t xml:space="preserve"> доследно </w:t>
      </w:r>
      <w:r>
        <w:rPr>
          <w:lang w:val="mk-MK"/>
        </w:rPr>
        <w:t xml:space="preserve">потврдуван </w:t>
      </w:r>
      <w:r w:rsidRPr="00A70944">
        <w:rPr>
          <w:lang w:val="mk-MK"/>
        </w:rPr>
        <w:t xml:space="preserve">во  прецедентното право на Европскиот суд на правдата претставува важен аспект на принципот на еднаков третман на мажите и жените како и суштестевен и неразделен дел од </w:t>
      </w:r>
      <w:r>
        <w:rPr>
          <w:lang w:val="mk-MK"/>
        </w:rPr>
        <w:t>правото на</w:t>
      </w:r>
      <w:r w:rsidRPr="00A70944">
        <w:rPr>
          <w:lang w:val="mk-MK"/>
        </w:rPr>
        <w:t xml:space="preserve"> ЕУ, вклучувајќи го прецедентното право на Судот </w:t>
      </w:r>
      <w:r>
        <w:rPr>
          <w:lang w:val="mk-MK"/>
        </w:rPr>
        <w:t>во однос на</w:t>
      </w:r>
      <w:r w:rsidRPr="00A70944">
        <w:rPr>
          <w:lang w:val="mk-MK"/>
        </w:rPr>
        <w:t xml:space="preserve"> полова</w:t>
      </w:r>
      <w:r>
        <w:rPr>
          <w:lang w:val="mk-MK"/>
        </w:rPr>
        <w:t>та</w:t>
      </w:r>
      <w:r w:rsidRPr="00A70944">
        <w:rPr>
          <w:lang w:val="mk-MK"/>
        </w:rPr>
        <w:t xml:space="preserve"> дискриминација. </w:t>
      </w:r>
      <w:r w:rsidRPr="006472AF">
        <w:rPr>
          <w:lang w:val="ru-RU"/>
        </w:rPr>
        <w:t xml:space="preserve"> </w:t>
      </w:r>
      <w:r w:rsidRPr="00A70944">
        <w:rPr>
          <w:lang w:val="mk-MK"/>
        </w:rPr>
        <w:t xml:space="preserve">Затоа, неопходно е да се разработат понатамошни одредби за негова примена. </w:t>
      </w:r>
    </w:p>
    <w:p w:rsidR="00CC6B44" w:rsidRPr="006472AF" w:rsidRDefault="00CC6B44" w:rsidP="00E70B1C">
      <w:pPr>
        <w:pStyle w:val="NormalWeb"/>
        <w:jc w:val="both"/>
        <w:rPr>
          <w:lang w:val="ru-RU"/>
        </w:rPr>
      </w:pPr>
      <w:r w:rsidRPr="00C65B65">
        <w:rPr>
          <w:lang w:val="mk-MK"/>
        </w:rPr>
        <w:lastRenderedPageBreak/>
        <w:t>(9) Во согласност со утврденото прец</w:t>
      </w:r>
      <w:r>
        <w:rPr>
          <w:lang w:val="mk-MK"/>
        </w:rPr>
        <w:t>е</w:t>
      </w:r>
      <w:r w:rsidRPr="00C65B65">
        <w:rPr>
          <w:lang w:val="mk-MK"/>
        </w:rPr>
        <w:t xml:space="preserve">дентно право на Судот на правдата, за да се оцени дали работниците вршат иста работа или работа со </w:t>
      </w:r>
      <w:r>
        <w:rPr>
          <w:lang w:val="mk-MK"/>
        </w:rPr>
        <w:t>еднаква</w:t>
      </w:r>
      <w:r w:rsidRPr="00C65B65">
        <w:rPr>
          <w:lang w:val="mk-MK"/>
        </w:rPr>
        <w:t xml:space="preserve"> вредност, треба да се одреди дали, кога ќе се замат предвид редица фактори вклучувајќи ја природата на работата и условите за обука и работа, може да се смета дека тие работници се наоѓаат во с</w:t>
      </w:r>
      <w:r>
        <w:rPr>
          <w:lang w:val="mk-MK"/>
        </w:rPr>
        <w:t>поредлива</w:t>
      </w:r>
      <w:r w:rsidRPr="00C65B65">
        <w:rPr>
          <w:lang w:val="mk-MK"/>
        </w:rPr>
        <w:t xml:space="preserve"> положба.  </w:t>
      </w:r>
    </w:p>
    <w:p w:rsidR="00CC6B44" w:rsidRPr="006472AF" w:rsidRDefault="00CC6B44" w:rsidP="00E70B1C">
      <w:pPr>
        <w:pStyle w:val="NormalWeb"/>
        <w:jc w:val="both"/>
        <w:rPr>
          <w:lang w:val="ru-RU"/>
        </w:rPr>
      </w:pPr>
      <w:r w:rsidRPr="00C65B65">
        <w:rPr>
          <w:lang w:val="mk-MK"/>
        </w:rPr>
        <w:t>(10) Судот на правдата утврд</w:t>
      </w:r>
      <w:r>
        <w:rPr>
          <w:lang w:val="mk-MK"/>
        </w:rPr>
        <w:t>ил</w:t>
      </w:r>
      <w:r w:rsidRPr="00C65B65">
        <w:rPr>
          <w:lang w:val="mk-MK"/>
        </w:rPr>
        <w:t xml:space="preserve"> дека, во одредени случаи, принципот на еднакв</w:t>
      </w:r>
      <w:r>
        <w:rPr>
          <w:lang w:val="mk-MK"/>
        </w:rPr>
        <w:t xml:space="preserve">о плаќање </w:t>
      </w:r>
      <w:r w:rsidRPr="00C65B65">
        <w:rPr>
          <w:lang w:val="mk-MK"/>
        </w:rPr>
        <w:t>не е ограничен на ситуации во кои мажите и жените работат за ист работодав</w:t>
      </w:r>
      <w:r>
        <w:rPr>
          <w:lang w:val="mk-MK"/>
        </w:rPr>
        <w:t>ач</w:t>
      </w:r>
      <w:r w:rsidRPr="00C65B65">
        <w:rPr>
          <w:lang w:val="mk-MK"/>
        </w:rPr>
        <w:t xml:space="preserve">. </w:t>
      </w:r>
    </w:p>
    <w:p w:rsidR="00CC6B44" w:rsidRPr="006472AF" w:rsidRDefault="00CC6B44" w:rsidP="00E9329C">
      <w:pPr>
        <w:pStyle w:val="NormalWeb"/>
        <w:jc w:val="both"/>
        <w:rPr>
          <w:lang w:val="ru-RU"/>
        </w:rPr>
      </w:pPr>
      <w:r w:rsidRPr="00C65B65">
        <w:rPr>
          <w:lang w:val="mk-MK"/>
        </w:rPr>
        <w:t xml:space="preserve">(11) Земјите-членки во соработка со социјалните партнери треба да продолжат да го </w:t>
      </w:r>
      <w:r>
        <w:rPr>
          <w:lang w:val="mk-MK"/>
        </w:rPr>
        <w:t>третираат</w:t>
      </w:r>
      <w:r w:rsidRPr="00C65B65">
        <w:rPr>
          <w:lang w:val="mk-MK"/>
        </w:rPr>
        <w:t xml:space="preserve"> проблемот на продолжување на разликите во платите </w:t>
      </w:r>
      <w:r>
        <w:rPr>
          <w:lang w:val="mk-MK"/>
        </w:rPr>
        <w:t xml:space="preserve">како резултат на полот </w:t>
      </w:r>
      <w:r w:rsidRPr="00C65B65">
        <w:rPr>
          <w:lang w:val="mk-MK"/>
        </w:rPr>
        <w:t xml:space="preserve">и очевидната </w:t>
      </w:r>
      <w:r>
        <w:rPr>
          <w:lang w:val="mk-MK"/>
        </w:rPr>
        <w:t>родова</w:t>
      </w:r>
      <w:r w:rsidRPr="00C65B65">
        <w:rPr>
          <w:lang w:val="mk-MK"/>
        </w:rPr>
        <w:t xml:space="preserve"> сегрегација на пазарот на труд преку</w:t>
      </w:r>
      <w:r>
        <w:rPr>
          <w:lang w:val="mk-MK"/>
        </w:rPr>
        <w:t xml:space="preserve"> средства како што се договори со </w:t>
      </w:r>
      <w:r w:rsidRPr="00C65B65">
        <w:rPr>
          <w:lang w:val="mk-MK"/>
        </w:rPr>
        <w:t>флексибил</w:t>
      </w:r>
      <w:r>
        <w:rPr>
          <w:lang w:val="mk-MK"/>
        </w:rPr>
        <w:t>но</w:t>
      </w:r>
      <w:r w:rsidRPr="00C65B65">
        <w:rPr>
          <w:lang w:val="mk-MK"/>
        </w:rPr>
        <w:t xml:space="preserve"> работно време, ко</w:t>
      </w:r>
      <w:r>
        <w:rPr>
          <w:lang w:val="mk-MK"/>
        </w:rPr>
        <w:t>и</w:t>
      </w:r>
      <w:r w:rsidRPr="00C65B65">
        <w:rPr>
          <w:lang w:val="mk-MK"/>
        </w:rPr>
        <w:t xml:space="preserve"> овозможува</w:t>
      </w:r>
      <w:r>
        <w:rPr>
          <w:lang w:val="mk-MK"/>
        </w:rPr>
        <w:t>ат</w:t>
      </w:r>
      <w:r w:rsidRPr="00C65B65">
        <w:rPr>
          <w:lang w:val="mk-MK"/>
        </w:rPr>
        <w:t xml:space="preserve"> и мажите и жените поуспешно да ги комбинираат семејните и работните обврски. Исто така, тука може да се воведе соодветна организација на породилните отсуства што може да ги користи едниот од родителите како и одредбите за достапна и поднос</w:t>
      </w:r>
      <w:r>
        <w:rPr>
          <w:lang w:val="mk-MK"/>
        </w:rPr>
        <w:t>л</w:t>
      </w:r>
      <w:r w:rsidRPr="00C65B65">
        <w:rPr>
          <w:lang w:val="mk-MK"/>
        </w:rPr>
        <w:t xml:space="preserve">ива цена на установите за згрижување на децата и зависните лица.    </w:t>
      </w:r>
    </w:p>
    <w:p w:rsidR="00CC6B44" w:rsidRPr="006472AF" w:rsidRDefault="00CC6B44" w:rsidP="00C65B65">
      <w:pPr>
        <w:pStyle w:val="NormalWeb"/>
        <w:jc w:val="both"/>
        <w:rPr>
          <w:lang w:val="ru-RU"/>
        </w:rPr>
      </w:pPr>
      <w:r w:rsidRPr="00C65B65">
        <w:rPr>
          <w:lang w:val="mk-MK"/>
        </w:rPr>
        <w:t xml:space="preserve">(12) Треба да се донесат посебни мерки за гарантирање на примената на принципот на еднаков третман во професионалните </w:t>
      </w:r>
      <w:r>
        <w:rPr>
          <w:lang w:val="mk-MK"/>
        </w:rPr>
        <w:t xml:space="preserve">шеми за </w:t>
      </w:r>
      <w:r w:rsidRPr="00C65B65">
        <w:rPr>
          <w:lang w:val="mk-MK"/>
        </w:rPr>
        <w:t>социјалн</w:t>
      </w:r>
      <w:r>
        <w:rPr>
          <w:lang w:val="mk-MK"/>
        </w:rPr>
        <w:t>а сигурност</w:t>
      </w:r>
      <w:r w:rsidRPr="00C65B65">
        <w:rPr>
          <w:lang w:val="mk-MK"/>
        </w:rPr>
        <w:t xml:space="preserve"> и појасно да се определи нивниот опфат.     </w:t>
      </w:r>
    </w:p>
    <w:p w:rsidR="00CC6B44" w:rsidRPr="006472AF" w:rsidRDefault="00CC6B44" w:rsidP="00E9329C">
      <w:pPr>
        <w:pStyle w:val="NormalWeb"/>
        <w:jc w:val="both"/>
        <w:rPr>
          <w:lang w:val="ru-RU"/>
        </w:rPr>
      </w:pPr>
      <w:r w:rsidRPr="00C65B65">
        <w:rPr>
          <w:lang w:val="mk-MK"/>
        </w:rPr>
        <w:t>(13) Во одлуката од 17 мај 1990 во Случајот C-262/88</w:t>
      </w:r>
      <w:r>
        <w:rPr>
          <w:rStyle w:val="FootnoteReference"/>
          <w:lang w:val="mk-MK"/>
        </w:rPr>
        <w:footnoteReference w:id="8"/>
      </w:r>
      <w:r w:rsidRPr="00C65B65">
        <w:rPr>
          <w:lang w:val="mk-MK"/>
        </w:rPr>
        <w:t xml:space="preserve">, Судот на правдата определува </w:t>
      </w:r>
      <w:r>
        <w:rPr>
          <w:lang w:val="mk-MK"/>
        </w:rPr>
        <w:t xml:space="preserve">дека </w:t>
      </w:r>
      <w:r w:rsidRPr="00C65B65">
        <w:rPr>
          <w:lang w:val="mk-MK"/>
        </w:rPr>
        <w:t xml:space="preserve">сите облици на професионални пензии претставуваат елемент од </w:t>
      </w:r>
      <w:r>
        <w:rPr>
          <w:lang w:val="mk-MK"/>
        </w:rPr>
        <w:t>плаќањето</w:t>
      </w:r>
      <w:r w:rsidRPr="00C65B65">
        <w:rPr>
          <w:lang w:val="mk-MK"/>
        </w:rPr>
        <w:t xml:space="preserve"> во смисла на членот 141 од Договорот.  </w:t>
      </w:r>
    </w:p>
    <w:p w:rsidR="00CC6B44" w:rsidRPr="006472AF" w:rsidRDefault="00CC6B44" w:rsidP="00E9329C">
      <w:pPr>
        <w:pStyle w:val="NormalWeb"/>
        <w:jc w:val="both"/>
        <w:rPr>
          <w:lang w:val="ru-RU"/>
        </w:rPr>
      </w:pPr>
      <w:r w:rsidRPr="00C65B65">
        <w:rPr>
          <w:lang w:val="mk-MK"/>
        </w:rPr>
        <w:t xml:space="preserve">(14) Иако концептот на </w:t>
      </w:r>
      <w:r>
        <w:rPr>
          <w:lang w:val="mk-MK"/>
        </w:rPr>
        <w:t>плаќање</w:t>
      </w:r>
      <w:r w:rsidRPr="00C65B65">
        <w:rPr>
          <w:lang w:val="mk-MK"/>
        </w:rPr>
        <w:t xml:space="preserve"> во смисла на членот 141 од Договорот не ги опфаќа бенифиции</w:t>
      </w:r>
      <w:r>
        <w:rPr>
          <w:lang w:val="mk-MK"/>
        </w:rPr>
        <w:t>те од социјалната сигурност</w:t>
      </w:r>
      <w:r w:rsidRPr="00C65B65">
        <w:rPr>
          <w:lang w:val="mk-MK"/>
        </w:rPr>
        <w:t>, сега јасно е утврдено дека пензиската шема за државните службеници влегува во опфатот на принципот за еднакв</w:t>
      </w:r>
      <w:r>
        <w:rPr>
          <w:lang w:val="mk-MK"/>
        </w:rPr>
        <w:t>о</w:t>
      </w:r>
      <w:r w:rsidRPr="00C65B65">
        <w:rPr>
          <w:lang w:val="mk-MK"/>
        </w:rPr>
        <w:t xml:space="preserve"> </w:t>
      </w:r>
      <w:r>
        <w:rPr>
          <w:lang w:val="mk-MK"/>
        </w:rPr>
        <w:t>плаќање</w:t>
      </w:r>
      <w:r w:rsidRPr="00C65B65">
        <w:rPr>
          <w:lang w:val="mk-MK"/>
        </w:rPr>
        <w:t xml:space="preserve"> ако бенифициите што се плаќаат според оваа шема се платени на работникот поради неговиот/нејзиниот работен однос кај државен работодав</w:t>
      </w:r>
      <w:r>
        <w:rPr>
          <w:lang w:val="mk-MK"/>
        </w:rPr>
        <w:t>ач</w:t>
      </w:r>
      <w:r w:rsidRPr="00C65B65">
        <w:rPr>
          <w:lang w:val="mk-MK"/>
        </w:rPr>
        <w:t>, независно од фактот што таквата шема е дел од законски утврдена шема. Според одлуката на Судот на правдата за Случаите C-7/93</w:t>
      </w:r>
      <w:r>
        <w:rPr>
          <w:rStyle w:val="FootnoteReference"/>
          <w:lang w:val="mk-MK"/>
        </w:rPr>
        <w:footnoteReference w:id="9"/>
      </w:r>
      <w:r w:rsidRPr="00C65B65">
        <w:rPr>
          <w:lang w:val="mk-MK"/>
        </w:rPr>
        <w:t xml:space="preserve"> и C</w:t>
      </w:r>
      <w:r>
        <w:rPr>
          <w:lang w:val="mk-MK"/>
        </w:rPr>
        <w:t>-351/00</w:t>
      </w:r>
      <w:r>
        <w:rPr>
          <w:rStyle w:val="FootnoteReference"/>
          <w:lang w:val="mk-MK"/>
        </w:rPr>
        <w:footnoteReference w:id="10"/>
      </w:r>
      <w:r w:rsidRPr="00C65B65">
        <w:rPr>
          <w:lang w:val="mk-MK"/>
        </w:rPr>
        <w:t xml:space="preserve">, тој услов е исполнет ако се однесува пензиската шема на одредена категорија работници и нивните бенифиции се директно поврзани со работното време и се пресметани врз основа на последната плата на државниот службеник. </w:t>
      </w:r>
      <w:r w:rsidRPr="006472AF">
        <w:rPr>
          <w:lang w:val="ru-RU"/>
        </w:rPr>
        <w:t xml:space="preserve"> </w:t>
      </w:r>
      <w:r w:rsidRPr="00C65B65">
        <w:rPr>
          <w:lang w:val="mk-MK"/>
        </w:rPr>
        <w:t xml:space="preserve">Со цел да биде појасно, неопходно е во таа смисла да се предвиди посебна одредба.  </w:t>
      </w:r>
    </w:p>
    <w:p w:rsidR="00CC6B44" w:rsidRPr="006472AF" w:rsidRDefault="00CC6B44" w:rsidP="00F43954">
      <w:pPr>
        <w:pStyle w:val="NormalWeb"/>
        <w:jc w:val="both"/>
        <w:rPr>
          <w:lang w:val="ru-RU"/>
        </w:rPr>
      </w:pPr>
      <w:r w:rsidRPr="00C65B65">
        <w:rPr>
          <w:lang w:val="mk-MK"/>
        </w:rPr>
        <w:t xml:space="preserve">(15) Судот на правдата потврди дека </w:t>
      </w:r>
      <w:r>
        <w:rPr>
          <w:lang w:val="mk-MK"/>
        </w:rPr>
        <w:t>иако</w:t>
      </w:r>
      <w:r w:rsidRPr="00C65B65">
        <w:rPr>
          <w:lang w:val="mk-MK"/>
        </w:rPr>
        <w:t xml:space="preserve"> придонесите </w:t>
      </w:r>
      <w:r>
        <w:rPr>
          <w:lang w:val="mk-MK"/>
        </w:rPr>
        <w:t xml:space="preserve">на  </w:t>
      </w:r>
      <w:r w:rsidRPr="00C65B65">
        <w:rPr>
          <w:lang w:val="mk-MK"/>
        </w:rPr>
        <w:t>работниците и работничките во пензиски</w:t>
      </w:r>
      <w:r>
        <w:rPr>
          <w:lang w:val="mk-MK"/>
        </w:rPr>
        <w:t>те</w:t>
      </w:r>
      <w:r w:rsidRPr="00C65B65">
        <w:rPr>
          <w:lang w:val="mk-MK"/>
        </w:rPr>
        <w:t xml:space="preserve"> шеми се опфатени со членот 141 од Договорот; секоја нееднаквост во плаќањето на придонесите на работ</w:t>
      </w:r>
      <w:r>
        <w:rPr>
          <w:lang w:val="mk-MK"/>
        </w:rPr>
        <w:t>одавачите</w:t>
      </w:r>
      <w:r w:rsidRPr="00C65B65">
        <w:rPr>
          <w:lang w:val="mk-MK"/>
        </w:rPr>
        <w:t xml:space="preserve">, плаќани според </w:t>
      </w:r>
      <w:r>
        <w:rPr>
          <w:lang w:val="mk-MK"/>
        </w:rPr>
        <w:t xml:space="preserve">капитално дефинирани </w:t>
      </w:r>
      <w:r w:rsidRPr="00C65B65">
        <w:rPr>
          <w:lang w:val="mk-MK"/>
        </w:rPr>
        <w:t xml:space="preserve">шеми, определени врз основа на придонесите што се должат на примената на факторите на актуарски пресметки, </w:t>
      </w:r>
      <w:r>
        <w:rPr>
          <w:lang w:val="mk-MK"/>
        </w:rPr>
        <w:t xml:space="preserve">кои се </w:t>
      </w:r>
      <w:r w:rsidRPr="00C65B65">
        <w:rPr>
          <w:lang w:val="mk-MK"/>
        </w:rPr>
        <w:lastRenderedPageBreak/>
        <w:t xml:space="preserve">различни </w:t>
      </w:r>
      <w:r>
        <w:rPr>
          <w:lang w:val="mk-MK"/>
        </w:rPr>
        <w:t xml:space="preserve">во зависност од </w:t>
      </w:r>
      <w:r w:rsidRPr="00C65B65">
        <w:rPr>
          <w:lang w:val="mk-MK"/>
        </w:rPr>
        <w:t xml:space="preserve">полот, не можат да се оценуваат во смисла на истата одредба.  </w:t>
      </w:r>
    </w:p>
    <w:p w:rsidR="00CC6B44" w:rsidRPr="006472AF" w:rsidRDefault="00CC6B44" w:rsidP="004F41DE">
      <w:pPr>
        <w:pStyle w:val="NormalWeb"/>
        <w:jc w:val="both"/>
        <w:rPr>
          <w:lang w:val="ru-RU"/>
        </w:rPr>
      </w:pPr>
      <w:r w:rsidRPr="00C65B65">
        <w:rPr>
          <w:lang w:val="mk-MK"/>
        </w:rPr>
        <w:t xml:space="preserve">(16) Земено како пример, во случај на капитално </w:t>
      </w:r>
      <w:r>
        <w:rPr>
          <w:lang w:val="mk-MK"/>
        </w:rPr>
        <w:t>дефинирани</w:t>
      </w:r>
      <w:r w:rsidRPr="00C65B65">
        <w:rPr>
          <w:lang w:val="mk-MK"/>
        </w:rPr>
        <w:t xml:space="preserve"> шеми на бенифиции, одредени елементи, како што се трансформирање во капитална сума на дел од периодичната пензија, пренос на правата на пензија, наследена пензија  што се исплаќа на зависно лице како возврат за откажување од пензија или намалелена пензија кога работникот избира да се пензионира порано, може да не се еднакви онаму каде што нееднаквоста на износите е резултат на користењето на актуарски фактори што се разликуваат </w:t>
      </w:r>
      <w:r>
        <w:rPr>
          <w:lang w:val="mk-MK"/>
        </w:rPr>
        <w:t xml:space="preserve">во зависност од </w:t>
      </w:r>
      <w:r w:rsidRPr="00C65B65">
        <w:rPr>
          <w:lang w:val="mk-MK"/>
        </w:rPr>
        <w:t>полот</w:t>
      </w:r>
      <w:r>
        <w:rPr>
          <w:lang w:val="mk-MK"/>
        </w:rPr>
        <w:t xml:space="preserve"> во време</w:t>
      </w:r>
      <w:r w:rsidRPr="00C65B65">
        <w:rPr>
          <w:lang w:val="mk-MK"/>
        </w:rPr>
        <w:t xml:space="preserve"> кога се применува капитална шема.   </w:t>
      </w:r>
    </w:p>
    <w:p w:rsidR="00CC6B44" w:rsidRPr="006472AF" w:rsidRDefault="00CC6B44" w:rsidP="00152102">
      <w:pPr>
        <w:pStyle w:val="NormalWeb"/>
        <w:jc w:val="both"/>
        <w:rPr>
          <w:lang w:val="ru-RU"/>
        </w:rPr>
      </w:pPr>
      <w:r w:rsidRPr="00C65B65">
        <w:rPr>
          <w:lang w:val="mk-MK"/>
        </w:rPr>
        <w:t>(17) Трајно е утврдено дека бенифициите што се плаќаат во согласност со професионални</w:t>
      </w:r>
      <w:r>
        <w:rPr>
          <w:lang w:val="mk-MK"/>
        </w:rPr>
        <w:t xml:space="preserve">те шеми за социјална сигурност </w:t>
      </w:r>
      <w:r w:rsidRPr="00C65B65">
        <w:rPr>
          <w:lang w:val="mk-MK"/>
        </w:rPr>
        <w:t xml:space="preserve">не се сметаат за </w:t>
      </w:r>
      <w:r>
        <w:rPr>
          <w:lang w:val="mk-MK"/>
        </w:rPr>
        <w:t>плата</w:t>
      </w:r>
      <w:r w:rsidRPr="00C65B65">
        <w:rPr>
          <w:lang w:val="mk-MK"/>
        </w:rPr>
        <w:t xml:space="preserve"> доколку тие се додаваат на периодот на вработување пред 17 мај 19</w:t>
      </w:r>
      <w:r>
        <w:rPr>
          <w:lang w:val="mk-MK"/>
        </w:rPr>
        <w:t>9</w:t>
      </w:r>
      <w:r w:rsidRPr="00C65B65">
        <w:rPr>
          <w:lang w:val="mk-MK"/>
        </w:rPr>
        <w:t>0</w:t>
      </w:r>
      <w:r>
        <w:rPr>
          <w:lang w:val="mk-MK"/>
        </w:rPr>
        <w:t xml:space="preserve"> год.</w:t>
      </w:r>
      <w:r w:rsidRPr="00C65B65">
        <w:rPr>
          <w:lang w:val="mk-MK"/>
        </w:rPr>
        <w:t>, со исклучок на работници или лица што го бараат тоа со правни постапки или во согласност со националното законодавство си ги побарале правата на еднаков начин пред тој датум.</w:t>
      </w:r>
      <w:r>
        <w:rPr>
          <w:lang w:val="mk-MK"/>
        </w:rPr>
        <w:t xml:space="preserve"> З</w:t>
      </w:r>
      <w:r w:rsidRPr="00C65B65">
        <w:rPr>
          <w:lang w:val="mk-MK"/>
        </w:rPr>
        <w:t>атоа, неопходно е соодветно ограничување на примената на принципот на</w:t>
      </w:r>
      <w:r>
        <w:rPr>
          <w:lang w:val="mk-MK"/>
        </w:rPr>
        <w:t xml:space="preserve"> еднаков</w:t>
      </w:r>
      <w:r w:rsidRPr="00C65B65">
        <w:rPr>
          <w:lang w:val="mk-MK"/>
        </w:rPr>
        <w:t xml:space="preserve"> третман. </w:t>
      </w:r>
    </w:p>
    <w:p w:rsidR="00CC6B44" w:rsidRPr="006472AF" w:rsidRDefault="00CC6B44" w:rsidP="004D4B77">
      <w:pPr>
        <w:pStyle w:val="NormalWeb"/>
        <w:jc w:val="both"/>
        <w:rPr>
          <w:lang w:val="ru-RU"/>
        </w:rPr>
      </w:pPr>
      <w:r w:rsidRPr="00C65B65">
        <w:rPr>
          <w:lang w:val="mk-MK"/>
        </w:rPr>
        <w:t xml:space="preserve">(18) Судот на правдата </w:t>
      </w:r>
      <w:r w:rsidRPr="002B1814">
        <w:rPr>
          <w:lang w:val="mk-MK"/>
        </w:rPr>
        <w:t>смета дека Протоколот Barber</w:t>
      </w:r>
      <w:r>
        <w:rPr>
          <w:rStyle w:val="FootnoteReference"/>
          <w:lang w:val="mk-MK"/>
        </w:rPr>
        <w:footnoteReference w:id="11"/>
      </w:r>
      <w:r w:rsidRPr="002B1814">
        <w:rPr>
          <w:lang w:val="mk-MK"/>
        </w:rPr>
        <w:t xml:space="preserve"> не влијае врз правото на пристапување на професионална пензиска шема и дека ограничувањето на влијанијата во време на судењето на Случајот C-262/88 не се применува за правото на пристапување кон професионална пензиска шема. Судот на правдата исто така </w:t>
      </w:r>
      <w:r>
        <w:rPr>
          <w:lang w:val="mk-MK"/>
        </w:rPr>
        <w:t xml:space="preserve">смета </w:t>
      </w:r>
      <w:r w:rsidRPr="002B1814">
        <w:rPr>
          <w:lang w:val="mk-MK"/>
        </w:rPr>
        <w:t>дека националните прописи поврзани со роковите за отпочнување со дејствувања во согласност со националното законодавство можат да бидат поставени против работниците кои претендираат на своите права во професионалната пензиска шема, доколку тие не се според видот понеповолни од сличните дејствувања со внатрешен карактер и тие не го прават остварувањето на правата, доделени со законот на Заедницата невозможно во практик</w:t>
      </w:r>
      <w:r>
        <w:rPr>
          <w:lang w:val="mk-MK"/>
        </w:rPr>
        <w:t xml:space="preserve">а. </w:t>
      </w:r>
      <w:r w:rsidRPr="002B1814">
        <w:rPr>
          <w:lang w:val="mk-MK"/>
        </w:rPr>
        <w:t>Судот на правдата, исто така посочува дека фактот дека работникот може да побара при</w:t>
      </w:r>
      <w:r>
        <w:rPr>
          <w:lang w:val="mk-MK"/>
        </w:rPr>
        <w:t>стапување</w:t>
      </w:r>
      <w:r w:rsidRPr="002B1814">
        <w:rPr>
          <w:lang w:val="mk-MK"/>
        </w:rPr>
        <w:t xml:space="preserve"> кон професионалната пензиска шема ретроактивно, не дозволува да се избегне плаќање на придонесите за соодветниот период на членство.   </w:t>
      </w:r>
    </w:p>
    <w:p w:rsidR="00CC6B44" w:rsidRPr="006472AF" w:rsidRDefault="00CC6B44" w:rsidP="004D4B77">
      <w:pPr>
        <w:pStyle w:val="NormalWeb"/>
        <w:jc w:val="both"/>
        <w:rPr>
          <w:lang w:val="ru-RU"/>
        </w:rPr>
      </w:pPr>
      <w:r w:rsidRPr="002B1814">
        <w:rPr>
          <w:lang w:val="mk-MK"/>
        </w:rPr>
        <w:t xml:space="preserve">(19) Гарантирањето еднаков пристап до вработување и </w:t>
      </w:r>
      <w:r>
        <w:rPr>
          <w:lang w:val="mk-MK"/>
        </w:rPr>
        <w:t xml:space="preserve">стручната обука </w:t>
      </w:r>
      <w:r w:rsidRPr="002B1814">
        <w:rPr>
          <w:lang w:val="mk-MK"/>
        </w:rPr>
        <w:t xml:space="preserve">што води до вработување е основа за примена на принципот на еднаков третман на мажите и жените во </w:t>
      </w:r>
      <w:r>
        <w:rPr>
          <w:lang w:val="mk-MK"/>
        </w:rPr>
        <w:t>областа</w:t>
      </w:r>
      <w:r w:rsidRPr="002B1814">
        <w:rPr>
          <w:lang w:val="mk-MK"/>
        </w:rPr>
        <w:t xml:space="preserve"> на вработувањето и професијата. Поради ова секој исклучок од овој принцип треба да се ограничи на професионалните активности што наложуваат вработување на лице од одреден пол поради природата или содржината во кои тие се изведуваат, доколку објективната цел е законска и е во согласност со принципот на пропорционалност.   </w:t>
      </w:r>
    </w:p>
    <w:p w:rsidR="00CC6B44" w:rsidRPr="006472AF" w:rsidRDefault="00CC6B44" w:rsidP="004D4B77">
      <w:pPr>
        <w:pStyle w:val="NormalWeb"/>
        <w:jc w:val="both"/>
        <w:rPr>
          <w:lang w:val="ru-RU"/>
        </w:rPr>
      </w:pPr>
      <w:r w:rsidRPr="002B1814">
        <w:rPr>
          <w:lang w:val="mk-MK"/>
        </w:rPr>
        <w:t xml:space="preserve">(20) Оваа директива не е во спротивност со слободата </w:t>
      </w:r>
      <w:r>
        <w:rPr>
          <w:lang w:val="mk-MK"/>
        </w:rPr>
        <w:t>н</w:t>
      </w:r>
      <w:r w:rsidRPr="002B1814">
        <w:rPr>
          <w:lang w:val="mk-MK"/>
        </w:rPr>
        <w:t>а здружување, вклучувајќи го правото за основање на здруженија и пристапување кон здруженија заради заштита на сопствените интерес</w:t>
      </w:r>
      <w:r>
        <w:rPr>
          <w:lang w:val="mk-MK"/>
        </w:rPr>
        <w:t xml:space="preserve">и. </w:t>
      </w:r>
      <w:r w:rsidRPr="002B1814">
        <w:rPr>
          <w:lang w:val="mk-MK"/>
        </w:rPr>
        <w:t xml:space="preserve">Мерките во смисла на членот 141(4) од Договорот можат да вклучат членство или продолжување на </w:t>
      </w:r>
      <w:r w:rsidRPr="002B1814">
        <w:rPr>
          <w:lang w:val="mk-MK"/>
        </w:rPr>
        <w:lastRenderedPageBreak/>
        <w:t xml:space="preserve">активноста на организациите или здруженијата чијашто главна цел е промоција на принципот на еднаков третман помеѓу мажите и жените во практика.   </w:t>
      </w:r>
    </w:p>
    <w:p w:rsidR="00CC6B44" w:rsidRPr="006472AF" w:rsidRDefault="00CC6B44" w:rsidP="00E77800">
      <w:pPr>
        <w:pStyle w:val="NormalWeb"/>
        <w:jc w:val="both"/>
        <w:rPr>
          <w:lang w:val="ru-RU"/>
        </w:rPr>
      </w:pPr>
      <w:r w:rsidRPr="00F73F3B">
        <w:rPr>
          <w:lang w:val="mk-MK"/>
        </w:rPr>
        <w:t xml:space="preserve">(21) Забраната на дискриминација не треба да го засега одржувањето или донесувањето на мерките наменети за заштита или компензирање на неповолностите што ги </w:t>
      </w:r>
      <w:r>
        <w:rPr>
          <w:lang w:val="mk-MK"/>
        </w:rPr>
        <w:t>имала</w:t>
      </w:r>
      <w:r w:rsidRPr="00F73F3B">
        <w:rPr>
          <w:lang w:val="mk-MK"/>
        </w:rPr>
        <w:t xml:space="preserve"> одредена група лица од ист пол.  </w:t>
      </w:r>
      <w:r w:rsidRPr="006472AF">
        <w:rPr>
          <w:lang w:val="ru-RU"/>
        </w:rPr>
        <w:t xml:space="preserve"> </w:t>
      </w:r>
      <w:r w:rsidRPr="00F73F3B">
        <w:rPr>
          <w:lang w:val="mk-MK"/>
        </w:rPr>
        <w:t xml:space="preserve">Ваквите мерки дозволуваат организации на лица од ист пол чија главна цел е промоција на нивните посебни потреби и промоција на еднаквоста помеѓу мажите и жените. </w:t>
      </w:r>
    </w:p>
    <w:p w:rsidR="00CC6B44" w:rsidRPr="006472AF" w:rsidRDefault="00CC6B44" w:rsidP="00E77800">
      <w:pPr>
        <w:pStyle w:val="NormalWeb"/>
        <w:jc w:val="both"/>
        <w:rPr>
          <w:lang w:val="ru-RU"/>
        </w:rPr>
      </w:pPr>
      <w:r w:rsidRPr="00F73F3B">
        <w:rPr>
          <w:lang w:val="mk-MK"/>
        </w:rPr>
        <w:t xml:space="preserve">(22) Во согласност со членот 141(4) од Договорот, со цел за гарантирање на потполна еднаквост </w:t>
      </w:r>
      <w:r>
        <w:rPr>
          <w:lang w:val="mk-MK"/>
        </w:rPr>
        <w:t xml:space="preserve">во практика </w:t>
      </w:r>
      <w:r w:rsidRPr="00F73F3B">
        <w:rPr>
          <w:lang w:val="mk-MK"/>
        </w:rPr>
        <w:t xml:space="preserve">помеѓу мажите и жените во професионалниот живот, принципот на еднаков третман не ги </w:t>
      </w:r>
      <w:r>
        <w:rPr>
          <w:lang w:val="mk-MK"/>
        </w:rPr>
        <w:t>спречува</w:t>
      </w:r>
      <w:r w:rsidRPr="00F73F3B">
        <w:rPr>
          <w:lang w:val="mk-MK"/>
        </w:rPr>
        <w:t xml:space="preserve"> земјите-членки од одржување или донесување на мерки со кои се утврдуваат посебни привилегии за помалку застапениот пол што му овозможуваат полесно да ја извршува професионалната активност и да се заштити или да компензира за негативностите во професионалната кариера.</w:t>
      </w:r>
      <w:r>
        <w:rPr>
          <w:lang w:val="mk-MK"/>
        </w:rPr>
        <w:t xml:space="preserve"> </w:t>
      </w:r>
      <w:r w:rsidRPr="00F73F3B">
        <w:rPr>
          <w:lang w:val="mk-MK"/>
        </w:rPr>
        <w:t xml:space="preserve">Со оглед на актуелната ситуација и имајќи ја предвид Декларацијата бр. 28 од Договорот од Амстердам, земјите-членки треба на прво место да се стремат кон подобрување на ситуацијата на жените во професионалниот живот. </w:t>
      </w:r>
    </w:p>
    <w:p w:rsidR="00CC6B44" w:rsidRPr="006472AF" w:rsidRDefault="00CC6B44" w:rsidP="00E77800">
      <w:pPr>
        <w:pStyle w:val="NormalWeb"/>
        <w:jc w:val="both"/>
        <w:rPr>
          <w:lang w:val="ru-RU"/>
        </w:rPr>
      </w:pPr>
      <w:r w:rsidRPr="00F73F3B">
        <w:rPr>
          <w:lang w:val="mk-MK"/>
        </w:rPr>
        <w:t xml:space="preserve">(23) Од прецидентното право на Судот на правдата јасно е дека неповолниот третман на жената </w:t>
      </w:r>
      <w:r>
        <w:rPr>
          <w:lang w:val="mk-MK"/>
        </w:rPr>
        <w:t>поврзан со</w:t>
      </w:r>
      <w:r w:rsidRPr="00F73F3B">
        <w:rPr>
          <w:lang w:val="mk-MK"/>
        </w:rPr>
        <w:t xml:space="preserve"> бременост или мајчинство претставува директна дискриминација</w:t>
      </w:r>
      <w:r>
        <w:rPr>
          <w:lang w:val="mk-MK"/>
        </w:rPr>
        <w:t xml:space="preserve"> врз основ на пол.</w:t>
      </w:r>
      <w:r w:rsidRPr="00F73F3B">
        <w:rPr>
          <w:lang w:val="mk-MK"/>
        </w:rPr>
        <w:t xml:space="preserve"> </w:t>
      </w:r>
      <w:r w:rsidRPr="006472AF">
        <w:rPr>
          <w:lang w:val="ru-RU"/>
        </w:rPr>
        <w:t xml:space="preserve"> </w:t>
      </w:r>
      <w:r w:rsidRPr="00F73F3B">
        <w:rPr>
          <w:lang w:val="mk-MK"/>
        </w:rPr>
        <w:t xml:space="preserve">Затоа, </w:t>
      </w:r>
      <w:r>
        <w:rPr>
          <w:lang w:val="mk-MK"/>
        </w:rPr>
        <w:t>ваквиот</w:t>
      </w:r>
      <w:r w:rsidRPr="00F73F3B">
        <w:rPr>
          <w:lang w:val="mk-MK"/>
        </w:rPr>
        <w:t xml:space="preserve"> третман треба категорично да се опфати со оваа директива. </w:t>
      </w:r>
    </w:p>
    <w:p w:rsidR="00CC6B44" w:rsidRPr="006472AF" w:rsidRDefault="00CC6B44" w:rsidP="00F320DF">
      <w:pPr>
        <w:pStyle w:val="NormalWeb"/>
        <w:jc w:val="both"/>
        <w:rPr>
          <w:lang w:val="ru-RU"/>
        </w:rPr>
      </w:pPr>
      <w:r w:rsidRPr="00F73F3B">
        <w:rPr>
          <w:lang w:val="mk-MK"/>
        </w:rPr>
        <w:t>(24) Судот на правдата</w:t>
      </w:r>
      <w:r>
        <w:rPr>
          <w:lang w:val="mk-MK"/>
        </w:rPr>
        <w:t>,</w:t>
      </w:r>
      <w:r w:rsidRPr="00690E01">
        <w:rPr>
          <w:lang w:val="mk-MK"/>
        </w:rPr>
        <w:t xml:space="preserve"> </w:t>
      </w:r>
      <w:r w:rsidRPr="00F73F3B">
        <w:rPr>
          <w:lang w:val="mk-MK"/>
        </w:rPr>
        <w:t xml:space="preserve">во поглед на принципот на еднаков третман конзистентно ја признава легитимноста, на заштита на биолошката состојба на жената при бременост и мајчинство и воведува мерки за заштита при мајчинството како средство за постигнување на суштествена еднаквост. </w:t>
      </w:r>
      <w:r w:rsidRPr="006472AF">
        <w:rPr>
          <w:lang w:val="ru-RU"/>
        </w:rPr>
        <w:t xml:space="preserve"> </w:t>
      </w:r>
      <w:r w:rsidRPr="00F320DF">
        <w:rPr>
          <w:lang w:val="mk-MK"/>
        </w:rPr>
        <w:t xml:space="preserve">Поради тоа оваа директива треба да не е во спротивност со Директивата 92/85/ЕЕЗ на Советот од 19 октомври 1992 за воведување на мерки за подобрување на </w:t>
      </w:r>
      <w:r>
        <w:rPr>
          <w:lang w:val="mk-MK"/>
        </w:rPr>
        <w:t xml:space="preserve">безбедноста </w:t>
      </w:r>
      <w:r w:rsidRPr="00F320DF">
        <w:rPr>
          <w:lang w:val="mk-MK"/>
        </w:rPr>
        <w:t xml:space="preserve">и здравјето при работа на бремените работнички и работничките </w:t>
      </w:r>
      <w:r>
        <w:rPr>
          <w:lang w:val="mk-MK"/>
        </w:rPr>
        <w:t>што неодамна родиле или дојат</w:t>
      </w:r>
      <w:r>
        <w:rPr>
          <w:rStyle w:val="FootnoteReference"/>
          <w:lang w:val="mk-MK"/>
        </w:rPr>
        <w:footnoteReference w:id="12"/>
      </w:r>
      <w:r w:rsidRPr="00F320DF">
        <w:rPr>
          <w:lang w:val="mk-MK"/>
        </w:rPr>
        <w:t xml:space="preserve">. </w:t>
      </w:r>
      <w:r w:rsidRPr="006472AF">
        <w:rPr>
          <w:lang w:val="ru-RU"/>
        </w:rPr>
        <w:t xml:space="preserve"> </w:t>
      </w:r>
      <w:r w:rsidRPr="00F320DF">
        <w:rPr>
          <w:lang w:val="mk-MK"/>
        </w:rPr>
        <w:t>Понатаму оваа директива не треба да е во спротивност со Директивата 96/34/ЕЗ на Советот од 2 јуни 1996 за рамковен договор за родителско отсуство, склучен помеѓу  UNICE, CEEP и ETUC</w:t>
      </w:r>
      <w:r>
        <w:rPr>
          <w:rStyle w:val="FootnoteReference"/>
          <w:lang w:val="mk-MK"/>
        </w:rPr>
        <w:footnoteReference w:id="13"/>
      </w:r>
      <w:r w:rsidRPr="00F320DF">
        <w:rPr>
          <w:lang w:val="mk-MK"/>
        </w:rPr>
        <w:t xml:space="preserve">. </w:t>
      </w:r>
    </w:p>
    <w:p w:rsidR="00CC6B44" w:rsidRPr="006472AF" w:rsidRDefault="00CC6B44" w:rsidP="00E77800">
      <w:pPr>
        <w:pStyle w:val="NormalWeb"/>
        <w:jc w:val="both"/>
        <w:rPr>
          <w:lang w:val="ru-RU"/>
        </w:rPr>
      </w:pPr>
      <w:r w:rsidRPr="00F320DF">
        <w:rPr>
          <w:lang w:val="mk-MK"/>
        </w:rPr>
        <w:t>(25) За да биде појасно, неопходно е исто така да се предвиди јасна одредба за заштита на работничките права на жените што се на породилно отсуство, а особено нивното право да се вратат на исто или е</w:t>
      </w:r>
      <w:r>
        <w:rPr>
          <w:lang w:val="mk-MK"/>
        </w:rPr>
        <w:t>квивалентно</w:t>
      </w:r>
      <w:r w:rsidRPr="00F320DF">
        <w:rPr>
          <w:lang w:val="mk-MK"/>
        </w:rPr>
        <w:t xml:space="preserve"> работно место, да не се подложени на влошување на нивните услови како резултат на користењето на таквото отсуство и да имаат </w:t>
      </w:r>
      <w:r>
        <w:rPr>
          <w:lang w:val="mk-MK"/>
        </w:rPr>
        <w:t xml:space="preserve">корист </w:t>
      </w:r>
      <w:r w:rsidRPr="00F320DF">
        <w:rPr>
          <w:lang w:val="mk-MK"/>
        </w:rPr>
        <w:t xml:space="preserve">од секое подобрување на работните услови на кои би имале право во време на нивното отсуство.     </w:t>
      </w:r>
    </w:p>
    <w:p w:rsidR="00CC6B44" w:rsidRPr="006472AF" w:rsidRDefault="00CC6B44" w:rsidP="005E43A0">
      <w:pPr>
        <w:pStyle w:val="NormalWeb"/>
        <w:jc w:val="both"/>
        <w:rPr>
          <w:lang w:val="ru-RU"/>
        </w:rPr>
      </w:pPr>
      <w:r w:rsidRPr="00F320DF">
        <w:rPr>
          <w:lang w:val="mk-MK"/>
        </w:rPr>
        <w:t xml:space="preserve">(26) Во Резолуцијата на Советот и на министрите за вработување и социјална политика, кои заседаваат во рамки на Советот, </w:t>
      </w:r>
      <w:r>
        <w:rPr>
          <w:lang w:val="mk-MK"/>
        </w:rPr>
        <w:t>од</w:t>
      </w:r>
      <w:r w:rsidRPr="00F320DF">
        <w:rPr>
          <w:lang w:val="mk-MK"/>
        </w:rPr>
        <w:t xml:space="preserve"> 29 јуни 2000</w:t>
      </w:r>
      <w:r>
        <w:rPr>
          <w:lang w:val="mk-MK"/>
        </w:rPr>
        <w:t xml:space="preserve"> год.</w:t>
      </w:r>
      <w:r w:rsidRPr="00F320DF">
        <w:rPr>
          <w:lang w:val="mk-MK"/>
        </w:rPr>
        <w:t xml:space="preserve"> во однос на балансирано учество на жените и мажите во семејниот и професиона</w:t>
      </w:r>
      <w:r>
        <w:rPr>
          <w:lang w:val="mk-MK"/>
        </w:rPr>
        <w:t xml:space="preserve">лниот </w:t>
      </w:r>
      <w:r>
        <w:rPr>
          <w:lang w:val="mk-MK"/>
        </w:rPr>
        <w:lastRenderedPageBreak/>
        <w:t>живот</w:t>
      </w:r>
      <w:r>
        <w:rPr>
          <w:rStyle w:val="FootnoteReference"/>
          <w:lang w:val="mk-MK"/>
        </w:rPr>
        <w:footnoteReference w:id="14"/>
      </w:r>
      <w:r w:rsidRPr="00F320DF">
        <w:rPr>
          <w:lang w:val="mk-MK"/>
        </w:rPr>
        <w:t>, земјите-членки беа поттикнати да го разгледаат оп</w:t>
      </w:r>
      <w:r>
        <w:rPr>
          <w:lang w:val="mk-MK"/>
        </w:rPr>
        <w:t>фатот</w:t>
      </w:r>
      <w:r w:rsidRPr="00F320DF">
        <w:rPr>
          <w:lang w:val="mk-MK"/>
        </w:rPr>
        <w:t xml:space="preserve"> на </w:t>
      </w:r>
      <w:r>
        <w:rPr>
          <w:lang w:val="mk-MK"/>
        </w:rPr>
        <w:t xml:space="preserve">нивните </w:t>
      </w:r>
      <w:r w:rsidRPr="00F320DF">
        <w:rPr>
          <w:lang w:val="mk-MK"/>
        </w:rPr>
        <w:t xml:space="preserve">соодветни правни системи во однос на доделување на индивидуално и непреносиво право на татковско отсуство на </w:t>
      </w:r>
      <w:r>
        <w:rPr>
          <w:lang w:val="mk-MK"/>
        </w:rPr>
        <w:t>работниците-</w:t>
      </w:r>
      <w:r w:rsidRPr="00F320DF">
        <w:rPr>
          <w:lang w:val="mk-MK"/>
        </w:rPr>
        <w:t xml:space="preserve">мажи, при тоа задржувајќи ги нивните работнички права.  </w:t>
      </w:r>
    </w:p>
    <w:p w:rsidR="00CC6B44" w:rsidRPr="006472AF" w:rsidRDefault="00CC6B44" w:rsidP="00CA3EBF">
      <w:pPr>
        <w:pStyle w:val="NormalWeb"/>
        <w:jc w:val="both"/>
        <w:rPr>
          <w:lang w:val="ru-RU"/>
        </w:rPr>
      </w:pPr>
      <w:r w:rsidRPr="00F320DF">
        <w:rPr>
          <w:lang w:val="mk-MK"/>
        </w:rPr>
        <w:t xml:space="preserve">(27) Слични гледишта се применуваат и во однос на доделување на мажите и жените индивидуално и непреносиво право на отсуство, од страна на земјите-ченки, по посвојување на дете.   Земјите-членки имаат право да одредат дали да го доделат правото на татковско отсуство и/или отсуство по посвојување и исто така да ги определат сите други услови, со исклучок на отпуштање и враќање на работа, кои се надвор од опфатот на оваа директива.   </w:t>
      </w:r>
    </w:p>
    <w:p w:rsidR="00CC6B44" w:rsidRPr="006472AF" w:rsidRDefault="00CC6B44" w:rsidP="00CA3EBF">
      <w:pPr>
        <w:pStyle w:val="NormalWeb"/>
        <w:jc w:val="both"/>
        <w:rPr>
          <w:lang w:val="ru-RU"/>
        </w:rPr>
      </w:pPr>
      <w:r w:rsidRPr="00F320DF">
        <w:rPr>
          <w:lang w:val="mk-MK"/>
        </w:rPr>
        <w:t>(28) Ефективната примена на принципот на еднаков третман бара во</w:t>
      </w:r>
      <w:r>
        <w:rPr>
          <w:lang w:val="mk-MK"/>
        </w:rPr>
        <w:t>споставување</w:t>
      </w:r>
      <w:r w:rsidRPr="00F320DF">
        <w:rPr>
          <w:lang w:val="mk-MK"/>
        </w:rPr>
        <w:t xml:space="preserve"> на соодветни постапки </w:t>
      </w:r>
      <w:r>
        <w:rPr>
          <w:lang w:val="mk-MK"/>
        </w:rPr>
        <w:t xml:space="preserve">од страна на </w:t>
      </w:r>
      <w:r w:rsidRPr="00F320DF">
        <w:rPr>
          <w:lang w:val="mk-MK"/>
        </w:rPr>
        <w:t xml:space="preserve">земјите-членки.  </w:t>
      </w:r>
    </w:p>
    <w:p w:rsidR="00CC6B44" w:rsidRPr="006472AF" w:rsidRDefault="00CC6B44" w:rsidP="00656BD7">
      <w:pPr>
        <w:pStyle w:val="NormalWeb"/>
        <w:jc w:val="both"/>
        <w:rPr>
          <w:lang w:val="ru-RU"/>
        </w:rPr>
      </w:pPr>
      <w:r w:rsidRPr="00F320DF">
        <w:rPr>
          <w:lang w:val="mk-MK"/>
        </w:rPr>
        <w:t xml:space="preserve">(29) Одредбите за соодветни судски или административни постапки за </w:t>
      </w:r>
      <w:r>
        <w:rPr>
          <w:lang w:val="mk-MK"/>
        </w:rPr>
        <w:t>спроведување</w:t>
      </w:r>
      <w:r w:rsidRPr="00F320DF">
        <w:rPr>
          <w:lang w:val="mk-MK"/>
        </w:rPr>
        <w:t xml:space="preserve"> на обврските </w:t>
      </w:r>
      <w:r>
        <w:rPr>
          <w:lang w:val="mk-MK"/>
        </w:rPr>
        <w:t>утврдени</w:t>
      </w:r>
      <w:r w:rsidRPr="00F320DF">
        <w:rPr>
          <w:lang w:val="mk-MK"/>
        </w:rPr>
        <w:t xml:space="preserve"> со оваа Директива</w:t>
      </w:r>
      <w:r>
        <w:rPr>
          <w:lang w:val="mk-MK"/>
        </w:rPr>
        <w:t>,</w:t>
      </w:r>
      <w:r w:rsidRPr="00F320DF">
        <w:rPr>
          <w:lang w:val="mk-MK"/>
        </w:rPr>
        <w:t xml:space="preserve"> се </w:t>
      </w:r>
      <w:r>
        <w:rPr>
          <w:lang w:val="mk-MK"/>
        </w:rPr>
        <w:t xml:space="preserve">од суштинско значење </w:t>
      </w:r>
      <w:r w:rsidRPr="00F320DF">
        <w:rPr>
          <w:lang w:val="mk-MK"/>
        </w:rPr>
        <w:t xml:space="preserve">за ефикасна примена на принципот на еднаков третман. </w:t>
      </w:r>
    </w:p>
    <w:p w:rsidR="00CC6B44" w:rsidRPr="006472AF" w:rsidRDefault="00CC6B44" w:rsidP="003D73F8">
      <w:pPr>
        <w:pStyle w:val="NormalWeb"/>
        <w:jc w:val="both"/>
        <w:rPr>
          <w:lang w:val="ru-RU"/>
        </w:rPr>
      </w:pPr>
      <w:r w:rsidRPr="00F320DF">
        <w:rPr>
          <w:lang w:val="mk-MK"/>
        </w:rPr>
        <w:t xml:space="preserve">(30) Донесувањето на </w:t>
      </w:r>
      <w:r>
        <w:rPr>
          <w:lang w:val="mk-MK"/>
        </w:rPr>
        <w:t>правила</w:t>
      </w:r>
      <w:r w:rsidRPr="00F320DF">
        <w:rPr>
          <w:lang w:val="mk-MK"/>
        </w:rPr>
        <w:t xml:space="preserve"> во однос на </w:t>
      </w:r>
      <w:r>
        <w:rPr>
          <w:lang w:val="mk-MK"/>
        </w:rPr>
        <w:t xml:space="preserve">товарот на </w:t>
      </w:r>
      <w:r w:rsidRPr="00F320DF">
        <w:rPr>
          <w:lang w:val="mk-MK"/>
        </w:rPr>
        <w:t xml:space="preserve">докажување игра значајна улога за гарантирање дека принципот на еднаков третман може ефикасно да се спроведува.  </w:t>
      </w:r>
      <w:r w:rsidRPr="006472AF">
        <w:rPr>
          <w:lang w:val="ru-RU"/>
        </w:rPr>
        <w:t xml:space="preserve"> </w:t>
      </w:r>
      <w:r w:rsidRPr="00F320DF">
        <w:rPr>
          <w:lang w:val="mk-MK"/>
        </w:rPr>
        <w:t xml:space="preserve">Според Судот на правдата, треба да се предвиди одредба со која ќе се гарантира </w:t>
      </w:r>
      <w:r>
        <w:rPr>
          <w:lang w:val="mk-MK"/>
        </w:rPr>
        <w:t xml:space="preserve">дека товарот на </w:t>
      </w:r>
      <w:r w:rsidRPr="00F320DF">
        <w:rPr>
          <w:lang w:val="mk-MK"/>
        </w:rPr>
        <w:t>докажување</w:t>
      </w:r>
      <w:r>
        <w:rPr>
          <w:lang w:val="mk-MK"/>
        </w:rPr>
        <w:t xml:space="preserve"> се префрла на тужениот</w:t>
      </w:r>
      <w:r w:rsidRPr="00F320DF">
        <w:rPr>
          <w:lang w:val="mk-MK"/>
        </w:rPr>
        <w:t xml:space="preserve"> во </w:t>
      </w:r>
      <w:r w:rsidRPr="00F320DF">
        <w:rPr>
          <w:i/>
          <w:iCs/>
          <w:lang w:val="mk-MK"/>
        </w:rPr>
        <w:t>prima facie</w:t>
      </w:r>
      <w:r w:rsidRPr="00F320DF">
        <w:rPr>
          <w:lang w:val="mk-MK"/>
        </w:rPr>
        <w:t xml:space="preserve"> случаи на дискриминација, со исклучок на постапки во кои фактите ги истражува</w:t>
      </w:r>
      <w:r>
        <w:rPr>
          <w:lang w:val="mk-MK"/>
        </w:rPr>
        <w:t xml:space="preserve"> судот или друг надлежен орган. </w:t>
      </w:r>
      <w:r w:rsidRPr="00F320DF">
        <w:rPr>
          <w:lang w:val="mk-MK"/>
        </w:rPr>
        <w:t xml:space="preserve">Како и да е, неопходно е да се разјасни дека оценувањето на фактите од кои може да се претпостави дека се случила директна или индиректна дискриминација останува </w:t>
      </w:r>
      <w:r>
        <w:rPr>
          <w:lang w:val="mk-MK"/>
        </w:rPr>
        <w:t xml:space="preserve">во надлежност на </w:t>
      </w:r>
      <w:r w:rsidRPr="00F320DF">
        <w:rPr>
          <w:lang w:val="mk-MK"/>
        </w:rPr>
        <w:t>соодветното национално тело во согласност со националното законодавство или практика. Освен тоа, земјите-членки располагаат со слобода во која било соодветна фаза од постапката да вклучат пр</w:t>
      </w:r>
      <w:r>
        <w:rPr>
          <w:lang w:val="mk-MK"/>
        </w:rPr>
        <w:t xml:space="preserve">авила за </w:t>
      </w:r>
      <w:r w:rsidRPr="00F320DF">
        <w:rPr>
          <w:lang w:val="mk-MK"/>
        </w:rPr>
        <w:t xml:space="preserve">докази што се поповолни за тужителот.  </w:t>
      </w:r>
    </w:p>
    <w:p w:rsidR="00CC6B44" w:rsidRPr="006472AF" w:rsidRDefault="00CC6B44" w:rsidP="003D73F8">
      <w:pPr>
        <w:pStyle w:val="NormalWeb"/>
        <w:jc w:val="both"/>
        <w:rPr>
          <w:lang w:val="ru-RU"/>
        </w:rPr>
      </w:pPr>
      <w:r w:rsidRPr="00F320DF">
        <w:rPr>
          <w:lang w:val="mk-MK"/>
        </w:rPr>
        <w:t xml:space="preserve">(31) </w:t>
      </w:r>
      <w:r>
        <w:rPr>
          <w:lang w:val="mk-MK"/>
        </w:rPr>
        <w:t xml:space="preserve">Со цел </w:t>
      </w:r>
      <w:r w:rsidRPr="00F320DF">
        <w:rPr>
          <w:lang w:val="mk-MK"/>
        </w:rPr>
        <w:t xml:space="preserve">на понатамошно подобрување на степенот на заштита што </w:t>
      </w:r>
      <w:r>
        <w:rPr>
          <w:lang w:val="mk-MK"/>
        </w:rPr>
        <w:t>го</w:t>
      </w:r>
      <w:r w:rsidRPr="00F320DF">
        <w:rPr>
          <w:lang w:val="mk-MK"/>
        </w:rPr>
        <w:t xml:space="preserve"> нуди оваа директива, здруженијата, организациите и другите правни лица треба, исто така да се овластат да </w:t>
      </w:r>
      <w:r>
        <w:rPr>
          <w:lang w:val="mk-MK"/>
        </w:rPr>
        <w:t xml:space="preserve">можат да </w:t>
      </w:r>
      <w:r w:rsidRPr="00F320DF">
        <w:rPr>
          <w:lang w:val="mk-MK"/>
        </w:rPr>
        <w:t xml:space="preserve">се вклучат во постапките, во согласност со определеното од земјите-членки, или во име на или како поддршка на </w:t>
      </w:r>
      <w:r>
        <w:rPr>
          <w:lang w:val="mk-MK"/>
        </w:rPr>
        <w:t>подносителот на жалба</w:t>
      </w:r>
      <w:r w:rsidRPr="00F320DF">
        <w:rPr>
          <w:lang w:val="mk-MK"/>
        </w:rPr>
        <w:t>,</w:t>
      </w:r>
      <w:r>
        <w:rPr>
          <w:lang w:val="mk-MK"/>
        </w:rPr>
        <w:t xml:space="preserve"> </w:t>
      </w:r>
      <w:r w:rsidRPr="00F320DF">
        <w:rPr>
          <w:lang w:val="mk-MK"/>
        </w:rPr>
        <w:t>без да се повредуваат националните прописи во поглед на претставување</w:t>
      </w:r>
      <w:r>
        <w:rPr>
          <w:lang w:val="mk-MK"/>
        </w:rPr>
        <w:t>то</w:t>
      </w:r>
      <w:r w:rsidRPr="00F320DF">
        <w:rPr>
          <w:lang w:val="mk-MK"/>
        </w:rPr>
        <w:t xml:space="preserve"> и одбрана</w:t>
      </w:r>
      <w:r>
        <w:rPr>
          <w:lang w:val="mk-MK"/>
        </w:rPr>
        <w:t>та</w:t>
      </w:r>
      <w:r w:rsidRPr="00F320DF">
        <w:rPr>
          <w:lang w:val="mk-MK"/>
        </w:rPr>
        <w:t xml:space="preserve">. </w:t>
      </w:r>
    </w:p>
    <w:p w:rsidR="00CC6B44" w:rsidRPr="006472AF" w:rsidRDefault="00CC6B44" w:rsidP="00746FEC">
      <w:pPr>
        <w:pStyle w:val="NormalWeb"/>
        <w:jc w:val="both"/>
        <w:rPr>
          <w:lang w:val="ru-RU"/>
        </w:rPr>
      </w:pPr>
      <w:r w:rsidRPr="00F320DF">
        <w:rPr>
          <w:lang w:val="mk-MK"/>
        </w:rPr>
        <w:t>(32) Имајќи го предвид основ</w:t>
      </w:r>
      <w:r>
        <w:rPr>
          <w:lang w:val="mk-MK"/>
        </w:rPr>
        <w:t>ниот</w:t>
      </w:r>
      <w:r w:rsidRPr="00F320DF">
        <w:rPr>
          <w:lang w:val="mk-MK"/>
        </w:rPr>
        <w:t xml:space="preserve"> карактер на правото на ефикасна правна заштита, неопходно е да се гарантира дека работниците продолжуваат да уживаат таква заштита дури и кога односот што довел до наводно прекршување на принципот на еднаков третман е завршен. Вработениот што </w:t>
      </w:r>
      <w:r>
        <w:rPr>
          <w:lang w:val="mk-MK"/>
        </w:rPr>
        <w:t xml:space="preserve">го </w:t>
      </w:r>
      <w:r w:rsidRPr="00F320DF">
        <w:rPr>
          <w:lang w:val="mk-MK"/>
        </w:rPr>
        <w:t xml:space="preserve">брани или што презентира докази во име на лице што е заштитено во </w:t>
      </w:r>
      <w:r w:rsidRPr="002B1814">
        <w:rPr>
          <w:lang w:val="mk-MK"/>
        </w:rPr>
        <w:t>согласност со оваа директива</w:t>
      </w:r>
      <w:r w:rsidRPr="00F320DF">
        <w:rPr>
          <w:lang w:val="mk-MK"/>
        </w:rPr>
        <w:t xml:space="preserve"> треба да го има  истото право на заштита.  </w:t>
      </w:r>
    </w:p>
    <w:p w:rsidR="00CC6B44" w:rsidRPr="006472AF" w:rsidRDefault="00CC6B44" w:rsidP="005F0291">
      <w:pPr>
        <w:pStyle w:val="NormalWeb"/>
        <w:jc w:val="both"/>
        <w:rPr>
          <w:lang w:val="ru-RU"/>
        </w:rPr>
      </w:pPr>
      <w:r w:rsidRPr="00F320DF">
        <w:rPr>
          <w:lang w:val="mk-MK"/>
        </w:rPr>
        <w:lastRenderedPageBreak/>
        <w:t>(33) Судот на правдата јасно установил дека за да биде ефикасен, принципот на еднаков третман наметнува дека компензацијата доделена за прекршок</w:t>
      </w:r>
      <w:r>
        <w:rPr>
          <w:lang w:val="mk-MK"/>
        </w:rPr>
        <w:t>от</w:t>
      </w:r>
      <w:r w:rsidRPr="00F320DF">
        <w:rPr>
          <w:lang w:val="mk-MK"/>
        </w:rPr>
        <w:t xml:space="preserve"> мора да е соодветна на претрпената повреда. Затоа неопходно е да се исклучи претходно одредување на горната граница за таква компензација, освен кога работодав</w:t>
      </w:r>
      <w:r>
        <w:rPr>
          <w:lang w:val="mk-MK"/>
        </w:rPr>
        <w:t>ачот</w:t>
      </w:r>
      <w:r w:rsidRPr="00F320DF">
        <w:rPr>
          <w:lang w:val="mk-MK"/>
        </w:rPr>
        <w:t xml:space="preserve"> може да докаже дека единствената повреда што ја претрпел кандидатот </w:t>
      </w:r>
      <w:r>
        <w:rPr>
          <w:lang w:val="mk-MK"/>
        </w:rPr>
        <w:t>како</w:t>
      </w:r>
      <w:r w:rsidRPr="00F320DF">
        <w:rPr>
          <w:lang w:val="mk-MK"/>
        </w:rPr>
        <w:t xml:space="preserve"> резултат на дискриминација во смисла на оваа директива, </w:t>
      </w:r>
      <w:r>
        <w:rPr>
          <w:lang w:val="mk-MK"/>
        </w:rPr>
        <w:t>е</w:t>
      </w:r>
      <w:r w:rsidRPr="00F320DF">
        <w:rPr>
          <w:lang w:val="mk-MK"/>
        </w:rPr>
        <w:t xml:space="preserve"> одбивање</w:t>
      </w:r>
      <w:r>
        <w:rPr>
          <w:lang w:val="mk-MK"/>
        </w:rPr>
        <w:t>то</w:t>
      </w:r>
      <w:r w:rsidRPr="00F320DF">
        <w:rPr>
          <w:lang w:val="mk-MK"/>
        </w:rPr>
        <w:t xml:space="preserve"> да се разгледаат </w:t>
      </w:r>
      <w:r>
        <w:rPr>
          <w:lang w:val="mk-MK"/>
        </w:rPr>
        <w:t xml:space="preserve">неговите/нејзините </w:t>
      </w:r>
      <w:r w:rsidRPr="00F320DF">
        <w:rPr>
          <w:lang w:val="mk-MK"/>
        </w:rPr>
        <w:t xml:space="preserve">документи со кои се конкурира за работното место.  </w:t>
      </w:r>
    </w:p>
    <w:p w:rsidR="00CC6B44" w:rsidRPr="006472AF" w:rsidRDefault="00CC6B44" w:rsidP="00F320DF">
      <w:pPr>
        <w:pStyle w:val="NormalWeb"/>
        <w:jc w:val="both"/>
        <w:rPr>
          <w:lang w:val="ru-RU"/>
        </w:rPr>
      </w:pPr>
      <w:r w:rsidRPr="00F320DF">
        <w:rPr>
          <w:lang w:val="mk-MK"/>
        </w:rPr>
        <w:t xml:space="preserve">(34) Со цел да се зголеми ефикасноста на примената на принципот на еднаков третман, земјите-членки треба да поттикнуваат дијалог помеѓу социјалните партнери и, во рамки на националната практика, со невладините организации. </w:t>
      </w:r>
    </w:p>
    <w:p w:rsidR="00CC6B44" w:rsidRPr="006472AF" w:rsidRDefault="00CC6B44" w:rsidP="00F320DF">
      <w:pPr>
        <w:pStyle w:val="NormalWeb"/>
        <w:jc w:val="both"/>
        <w:rPr>
          <w:lang w:val="ru-RU"/>
        </w:rPr>
      </w:pPr>
      <w:r w:rsidRPr="00F320DF">
        <w:rPr>
          <w:lang w:val="mk-MK"/>
        </w:rPr>
        <w:t xml:space="preserve">(35) Земјите-членки треба да предвидат ефективни, пропорционални и разубедувачки казни за прекршување на обврските што се утврдени со оваа директива. </w:t>
      </w:r>
    </w:p>
    <w:p w:rsidR="00CC6B44" w:rsidRPr="006472AF" w:rsidRDefault="00CC6B44" w:rsidP="005F0291">
      <w:pPr>
        <w:pStyle w:val="NormalWeb"/>
        <w:jc w:val="both"/>
        <w:rPr>
          <w:lang w:val="ru-RU"/>
        </w:rPr>
      </w:pPr>
      <w:r w:rsidRPr="00F320DF">
        <w:rPr>
          <w:lang w:val="mk-MK"/>
        </w:rPr>
        <w:t xml:space="preserve">(36) Бидејќи земјите-членки не можат </w:t>
      </w:r>
      <w:r>
        <w:rPr>
          <w:lang w:val="mk-MK"/>
        </w:rPr>
        <w:t xml:space="preserve">во доволна мера </w:t>
      </w:r>
      <w:r w:rsidRPr="00F320DF">
        <w:rPr>
          <w:lang w:val="mk-MK"/>
        </w:rPr>
        <w:t>да ги постигнат целите на оваа директива и поради тоа истите можат подобро да се постигнат на ниво на Заедницата, Заедницата може да донесе мерки во согласност со принципот на субсидијарност што е утврден во членот 5 од Договорот.</w:t>
      </w:r>
      <w:r>
        <w:rPr>
          <w:lang w:val="mk-MK"/>
        </w:rPr>
        <w:t xml:space="preserve"> </w:t>
      </w:r>
      <w:r w:rsidRPr="00F320DF">
        <w:rPr>
          <w:lang w:val="mk-MK"/>
        </w:rPr>
        <w:t xml:space="preserve">Во согласност со принципот на пропорцијалност, предвиден со тој член, оваа директива не излегува надвор од она што е нужно за да се постигнат тие цели. </w:t>
      </w:r>
    </w:p>
    <w:p w:rsidR="00CC6B44" w:rsidRPr="006472AF" w:rsidRDefault="00CC6B44" w:rsidP="005F0291">
      <w:pPr>
        <w:pStyle w:val="NormalWeb"/>
        <w:jc w:val="both"/>
        <w:rPr>
          <w:lang w:val="ru-RU"/>
        </w:rPr>
      </w:pPr>
      <w:r w:rsidRPr="00F320DF">
        <w:rPr>
          <w:lang w:val="mk-MK"/>
        </w:rPr>
        <w:t xml:space="preserve">(37) Заради подобро разбирање на различниот третман на мажите и жените во </w:t>
      </w:r>
      <w:r>
        <w:rPr>
          <w:lang w:val="mk-MK"/>
        </w:rPr>
        <w:t>областа</w:t>
      </w:r>
      <w:r w:rsidRPr="00F320DF">
        <w:rPr>
          <w:lang w:val="mk-MK"/>
        </w:rPr>
        <w:t xml:space="preserve"> на вработување и професија, треба да се продолжи со разработување, анализа и достапност на споредбените статистики, според пол, на соодветни нивоа.  </w:t>
      </w:r>
    </w:p>
    <w:p w:rsidR="00CC6B44" w:rsidRPr="006472AF" w:rsidRDefault="00CC6B44" w:rsidP="005F0291">
      <w:pPr>
        <w:pStyle w:val="NormalWeb"/>
        <w:jc w:val="both"/>
        <w:rPr>
          <w:lang w:val="ru-RU"/>
        </w:rPr>
      </w:pPr>
      <w:r w:rsidRPr="00F320DF">
        <w:rPr>
          <w:lang w:val="mk-MK"/>
        </w:rPr>
        <w:t>(38) Еднаквиот третман на мажите и жените во поглед на вработување</w:t>
      </w:r>
      <w:r>
        <w:rPr>
          <w:lang w:val="mk-MK"/>
        </w:rPr>
        <w:t>то</w:t>
      </w:r>
      <w:r w:rsidRPr="00F320DF">
        <w:rPr>
          <w:lang w:val="mk-MK"/>
        </w:rPr>
        <w:t xml:space="preserve"> и професија</w:t>
      </w:r>
      <w:r>
        <w:rPr>
          <w:lang w:val="mk-MK"/>
        </w:rPr>
        <w:t>та</w:t>
      </w:r>
      <w:r w:rsidRPr="00F320DF">
        <w:rPr>
          <w:lang w:val="mk-MK"/>
        </w:rPr>
        <w:t xml:space="preserve"> не може да се ограничи на законодавни мерки. </w:t>
      </w:r>
      <w:r w:rsidRPr="006472AF">
        <w:rPr>
          <w:lang w:val="ru-RU"/>
        </w:rPr>
        <w:t xml:space="preserve"> </w:t>
      </w:r>
      <w:r w:rsidRPr="00F320DF">
        <w:rPr>
          <w:lang w:val="mk-MK"/>
        </w:rPr>
        <w:t xml:space="preserve">Наместо тоа, Европската заедница и земјите-членки треба да продолжат со промоција на подигање на </w:t>
      </w:r>
      <w:r>
        <w:rPr>
          <w:lang w:val="mk-MK"/>
        </w:rPr>
        <w:t xml:space="preserve">јавната </w:t>
      </w:r>
      <w:r w:rsidRPr="00F320DF">
        <w:rPr>
          <w:lang w:val="mk-MK"/>
        </w:rPr>
        <w:t xml:space="preserve">свест </w:t>
      </w:r>
      <w:r>
        <w:rPr>
          <w:lang w:val="mk-MK"/>
        </w:rPr>
        <w:t xml:space="preserve">за </w:t>
      </w:r>
      <w:r w:rsidRPr="00F320DF">
        <w:rPr>
          <w:lang w:val="mk-MK"/>
        </w:rPr>
        <w:t xml:space="preserve">дискриминација </w:t>
      </w:r>
      <w:r>
        <w:rPr>
          <w:lang w:val="mk-MK"/>
        </w:rPr>
        <w:t>во платата</w:t>
      </w:r>
      <w:r w:rsidRPr="00F320DF">
        <w:rPr>
          <w:lang w:val="mk-MK"/>
        </w:rPr>
        <w:t xml:space="preserve"> и промена на јавното мислење на највисоко можно ниво, вклучувајќи ги сите засегнати страни на ниво на јавни и приватни претпријатија.</w:t>
      </w:r>
      <w:r>
        <w:rPr>
          <w:lang w:val="mk-MK"/>
        </w:rPr>
        <w:t xml:space="preserve"> </w:t>
      </w:r>
      <w:r w:rsidRPr="00F320DF">
        <w:rPr>
          <w:lang w:val="mk-MK"/>
        </w:rPr>
        <w:t xml:space="preserve">Дијалогот помеѓу социјалните партнери може да игра важна улога во тој процес. </w:t>
      </w:r>
    </w:p>
    <w:p w:rsidR="00CC6B44" w:rsidRPr="006472AF" w:rsidRDefault="00CC6B44" w:rsidP="00F320DF">
      <w:pPr>
        <w:pStyle w:val="NormalWeb"/>
        <w:jc w:val="both"/>
        <w:rPr>
          <w:lang w:val="ru-RU"/>
        </w:rPr>
      </w:pPr>
      <w:r w:rsidRPr="00F320DF">
        <w:rPr>
          <w:lang w:val="mk-MK"/>
        </w:rPr>
        <w:t>(39) Обврската за транспонирање на оваа директива во националното законодавство треба да се ограничи на одредбите што претставуваат значителна промена во однос на претходните директиви.</w:t>
      </w:r>
      <w:r>
        <w:rPr>
          <w:lang w:val="mk-MK"/>
        </w:rPr>
        <w:t xml:space="preserve"> </w:t>
      </w:r>
      <w:r w:rsidRPr="00F320DF">
        <w:rPr>
          <w:lang w:val="mk-MK"/>
        </w:rPr>
        <w:t xml:space="preserve">Обврската за транспонирање на одредбите што се суштествено непроменети произлегуваат од претходните директиви. </w:t>
      </w:r>
    </w:p>
    <w:p w:rsidR="00CC6B44" w:rsidRPr="006472AF" w:rsidRDefault="00CC6B44" w:rsidP="00F320DF">
      <w:pPr>
        <w:pStyle w:val="NormalWeb"/>
        <w:jc w:val="both"/>
        <w:rPr>
          <w:lang w:val="ru-RU"/>
        </w:rPr>
      </w:pPr>
      <w:r w:rsidRPr="00F320DF">
        <w:rPr>
          <w:lang w:val="mk-MK"/>
        </w:rPr>
        <w:t xml:space="preserve">(40) Оваа директива не треба да е во спротивност со обврските на земјите-членки во однос на роковите за транспонирање во националното законодавство и примената на директивите, наведени во Анексот I, Дел B.  </w:t>
      </w:r>
    </w:p>
    <w:p w:rsidR="00CC6B44" w:rsidRPr="006472AF" w:rsidRDefault="00CC6B44" w:rsidP="00F1648E">
      <w:pPr>
        <w:pStyle w:val="NormalWeb"/>
        <w:jc w:val="both"/>
        <w:rPr>
          <w:lang w:val="ru-RU"/>
        </w:rPr>
      </w:pPr>
      <w:r w:rsidRPr="00F320DF">
        <w:rPr>
          <w:lang w:val="mk-MK"/>
        </w:rPr>
        <w:lastRenderedPageBreak/>
        <w:t>(41) Во согласност со ставот 34 од Меѓуинституционалниот договор за подобро креирање на законите</w:t>
      </w:r>
      <w:r>
        <w:rPr>
          <w:rStyle w:val="FootnoteReference"/>
          <w:lang w:val="mk-MK"/>
        </w:rPr>
        <w:footnoteReference w:id="15"/>
      </w:r>
      <w:r w:rsidRPr="00F320DF">
        <w:rPr>
          <w:color w:val="993300"/>
          <w:lang w:val="mk-MK"/>
        </w:rPr>
        <w:t>,</w:t>
      </w:r>
      <w:r w:rsidRPr="00F320DF">
        <w:rPr>
          <w:lang w:val="mk-MK"/>
        </w:rPr>
        <w:t xml:space="preserve"> земјите-членки се поттикнуваат да </w:t>
      </w:r>
      <w:r>
        <w:rPr>
          <w:lang w:val="mk-MK"/>
        </w:rPr>
        <w:t>изготват,</w:t>
      </w:r>
      <w:r w:rsidRPr="00F320DF">
        <w:rPr>
          <w:lang w:val="mk-MK"/>
        </w:rPr>
        <w:t xml:space="preserve"> за себе и во интерес на Заедницата, </w:t>
      </w:r>
      <w:r>
        <w:rPr>
          <w:lang w:val="mk-MK"/>
        </w:rPr>
        <w:t xml:space="preserve">свои </w:t>
      </w:r>
      <w:r w:rsidRPr="00F320DF">
        <w:rPr>
          <w:lang w:val="mk-MK"/>
        </w:rPr>
        <w:t xml:space="preserve">сопствени табели, во кои колку што е можно ќе го илустрираат соодносот помеѓу оваа директива и мерките </w:t>
      </w:r>
      <w:r>
        <w:rPr>
          <w:lang w:val="mk-MK"/>
        </w:rPr>
        <w:t xml:space="preserve">на транспонирање, </w:t>
      </w:r>
      <w:r w:rsidRPr="00F320DF">
        <w:rPr>
          <w:lang w:val="mk-MK"/>
        </w:rPr>
        <w:t xml:space="preserve">и </w:t>
      </w:r>
      <w:r>
        <w:rPr>
          <w:lang w:val="mk-MK"/>
        </w:rPr>
        <w:t xml:space="preserve">истите ќе ги </w:t>
      </w:r>
      <w:r w:rsidRPr="00F320DF">
        <w:rPr>
          <w:lang w:val="mk-MK"/>
        </w:rPr>
        <w:t>објав</w:t>
      </w:r>
      <w:r>
        <w:rPr>
          <w:lang w:val="mk-MK"/>
        </w:rPr>
        <w:t>ат</w:t>
      </w:r>
      <w:r w:rsidRPr="00F320DF">
        <w:rPr>
          <w:lang w:val="mk-MK"/>
        </w:rPr>
        <w:t xml:space="preserve">,   </w:t>
      </w:r>
    </w:p>
    <w:p w:rsidR="00CC6B44" w:rsidRDefault="00CC6B44" w:rsidP="00F320DF">
      <w:pPr>
        <w:pStyle w:val="NormalWeb"/>
        <w:jc w:val="both"/>
        <w:rPr>
          <w:lang w:val="mk-MK"/>
        </w:rPr>
      </w:pPr>
    </w:p>
    <w:p w:rsidR="00CC6B44" w:rsidRDefault="00CC6B44" w:rsidP="00F320DF">
      <w:pPr>
        <w:pStyle w:val="NormalWeb"/>
        <w:jc w:val="both"/>
        <w:rPr>
          <w:lang w:val="mk-MK"/>
        </w:rPr>
      </w:pPr>
    </w:p>
    <w:p w:rsidR="00CC6B44" w:rsidRDefault="00CC6B44" w:rsidP="00F320DF">
      <w:pPr>
        <w:pStyle w:val="NormalWeb"/>
        <w:jc w:val="both"/>
        <w:rPr>
          <w:lang w:val="mk-MK"/>
        </w:rPr>
      </w:pPr>
      <w:r w:rsidRPr="00F320DF">
        <w:rPr>
          <w:lang w:val="mk-MK"/>
        </w:rPr>
        <w:t xml:space="preserve">ЈА ДОНЕСОА СЛЕДНАТА ДИРЕКТИВА: </w:t>
      </w:r>
    </w:p>
    <w:p w:rsidR="00CC6B44" w:rsidRPr="006472AF" w:rsidRDefault="00CC6B44" w:rsidP="00F320DF">
      <w:pPr>
        <w:pStyle w:val="NormalWeb"/>
        <w:jc w:val="both"/>
        <w:rPr>
          <w:lang w:val="ru-RU"/>
        </w:rPr>
      </w:pPr>
    </w:p>
    <w:p w:rsidR="00CC6B44" w:rsidRPr="006472AF" w:rsidRDefault="00CC6B44" w:rsidP="000E037A">
      <w:pPr>
        <w:pStyle w:val="NormalWeb"/>
        <w:jc w:val="center"/>
        <w:rPr>
          <w:lang w:val="ru-RU"/>
        </w:rPr>
      </w:pPr>
      <w:r w:rsidRPr="00F320DF">
        <w:rPr>
          <w:lang w:val="mk-MK"/>
        </w:rPr>
        <w:t>ГЛАВА I</w:t>
      </w:r>
    </w:p>
    <w:p w:rsidR="00CC6B44" w:rsidRPr="00F1648E" w:rsidRDefault="00CC6B44" w:rsidP="000E037A">
      <w:pPr>
        <w:pStyle w:val="NormalWeb"/>
        <w:jc w:val="center"/>
        <w:rPr>
          <w:b/>
          <w:bCs/>
          <w:lang w:val="ru-RU"/>
        </w:rPr>
      </w:pPr>
      <w:r w:rsidRPr="00F1648E">
        <w:rPr>
          <w:b/>
          <w:bCs/>
          <w:lang w:val="mk-MK"/>
        </w:rPr>
        <w:t>ОПШТИ ОДРЕДБИ</w:t>
      </w:r>
    </w:p>
    <w:p w:rsidR="00CC6B44" w:rsidRPr="006472AF" w:rsidRDefault="00CC6B44" w:rsidP="000E037A">
      <w:pPr>
        <w:pStyle w:val="NormalWeb"/>
        <w:jc w:val="center"/>
        <w:rPr>
          <w:i/>
          <w:iCs/>
          <w:lang w:val="ru-RU"/>
        </w:rPr>
      </w:pPr>
      <w:r w:rsidRPr="000E037A">
        <w:rPr>
          <w:i/>
          <w:iCs/>
          <w:lang w:val="mk-MK"/>
        </w:rPr>
        <w:t>Член 1</w:t>
      </w:r>
    </w:p>
    <w:p w:rsidR="00CC6B44" w:rsidRPr="00F1648E" w:rsidRDefault="00CC6B44" w:rsidP="000E037A">
      <w:pPr>
        <w:pStyle w:val="NormalWeb"/>
        <w:jc w:val="center"/>
        <w:rPr>
          <w:b/>
          <w:bCs/>
          <w:i/>
          <w:iCs/>
          <w:lang w:val="ru-RU"/>
        </w:rPr>
      </w:pPr>
      <w:r w:rsidRPr="00F1648E">
        <w:rPr>
          <w:b/>
          <w:bCs/>
          <w:i/>
          <w:iCs/>
          <w:lang w:val="mk-MK"/>
        </w:rPr>
        <w:t>Цел</w:t>
      </w:r>
    </w:p>
    <w:p w:rsidR="00CC6B44" w:rsidRPr="006472AF" w:rsidRDefault="00CC6B44" w:rsidP="007835FE">
      <w:pPr>
        <w:pStyle w:val="NormalWeb"/>
        <w:jc w:val="both"/>
        <w:rPr>
          <w:lang w:val="ru-RU"/>
        </w:rPr>
      </w:pPr>
      <w:r w:rsidRPr="00F320DF">
        <w:rPr>
          <w:lang w:val="mk-MK"/>
        </w:rPr>
        <w:t>Целта на оваа директива е да</w:t>
      </w:r>
      <w:r w:rsidRPr="007835FE">
        <w:rPr>
          <w:lang w:val="mk-MK"/>
        </w:rPr>
        <w:t xml:space="preserve"> обезбеди примена на принципот на еднакви можности и еднаков третман на мажите и жените во областа на вработувањето и професијата. </w:t>
      </w:r>
    </w:p>
    <w:p w:rsidR="00CC6B44" w:rsidRPr="006472AF" w:rsidRDefault="00CC6B44" w:rsidP="007835FE">
      <w:pPr>
        <w:pStyle w:val="NormalWeb"/>
        <w:jc w:val="both"/>
        <w:rPr>
          <w:lang w:val="ru-RU"/>
        </w:rPr>
      </w:pPr>
      <w:r w:rsidRPr="007835FE">
        <w:rPr>
          <w:lang w:val="mk-MK"/>
        </w:rPr>
        <w:t xml:space="preserve">За таа цел таа содржи одредби за примена на принципот на еднаков третман во однос на: </w:t>
      </w:r>
    </w:p>
    <w:p w:rsidR="00CC6B44" w:rsidRPr="006472AF" w:rsidRDefault="00CC6B44" w:rsidP="00401D9E">
      <w:pPr>
        <w:pStyle w:val="NormalWeb"/>
        <w:jc w:val="both"/>
        <w:rPr>
          <w:lang w:val="ru-RU"/>
        </w:rPr>
      </w:pPr>
      <w:r w:rsidRPr="007835FE">
        <w:rPr>
          <w:lang w:val="mk-MK"/>
        </w:rPr>
        <w:t xml:space="preserve">(а) </w:t>
      </w:r>
      <w:r>
        <w:rPr>
          <w:lang w:val="mk-MK"/>
        </w:rPr>
        <w:t>пристапот</w:t>
      </w:r>
      <w:r w:rsidRPr="007835FE">
        <w:rPr>
          <w:lang w:val="mk-MK"/>
        </w:rPr>
        <w:t xml:space="preserve"> до вработување, вклучувајќи напред</w:t>
      </w:r>
      <w:r>
        <w:rPr>
          <w:lang w:val="mk-MK"/>
        </w:rPr>
        <w:t>ување</w:t>
      </w:r>
      <w:r w:rsidRPr="007835FE">
        <w:rPr>
          <w:lang w:val="mk-MK"/>
        </w:rPr>
        <w:t xml:space="preserve"> и</w:t>
      </w:r>
      <w:r>
        <w:rPr>
          <w:lang w:val="mk-MK"/>
        </w:rPr>
        <w:t xml:space="preserve"> стручна обука </w:t>
      </w:r>
      <w:r w:rsidRPr="007835FE">
        <w:rPr>
          <w:lang w:val="mk-MK"/>
        </w:rPr>
        <w:t xml:space="preserve">; </w:t>
      </w:r>
    </w:p>
    <w:p w:rsidR="00CC6B44" w:rsidRPr="006472AF" w:rsidRDefault="00CC6B44" w:rsidP="007835FE">
      <w:pPr>
        <w:pStyle w:val="NormalWeb"/>
        <w:jc w:val="both"/>
        <w:rPr>
          <w:lang w:val="ru-RU"/>
        </w:rPr>
      </w:pPr>
      <w:r w:rsidRPr="007835FE">
        <w:rPr>
          <w:lang w:val="mk-MK"/>
        </w:rPr>
        <w:t xml:space="preserve">(б) работни услови, вклучувајќи </w:t>
      </w:r>
      <w:r>
        <w:rPr>
          <w:lang w:val="mk-MK"/>
        </w:rPr>
        <w:t>плаќање</w:t>
      </w:r>
      <w:r w:rsidRPr="007835FE">
        <w:rPr>
          <w:lang w:val="mk-MK"/>
        </w:rPr>
        <w:t xml:space="preserve">; </w:t>
      </w:r>
    </w:p>
    <w:p w:rsidR="00CC6B44" w:rsidRPr="006472AF" w:rsidRDefault="00CC6B44" w:rsidP="007835FE">
      <w:pPr>
        <w:pStyle w:val="NormalWeb"/>
        <w:jc w:val="both"/>
        <w:rPr>
          <w:lang w:val="ru-RU"/>
        </w:rPr>
      </w:pPr>
      <w:r w:rsidRPr="00F320DF">
        <w:rPr>
          <w:lang w:val="mk-MK"/>
        </w:rPr>
        <w:t xml:space="preserve">(в) професионални </w:t>
      </w:r>
      <w:r>
        <w:rPr>
          <w:lang w:val="mk-MK"/>
        </w:rPr>
        <w:t xml:space="preserve">шеми за социјална сигурност </w:t>
      </w:r>
      <w:r w:rsidRPr="00F320DF">
        <w:rPr>
          <w:lang w:val="mk-MK"/>
        </w:rPr>
        <w:t xml:space="preserve">. </w:t>
      </w:r>
    </w:p>
    <w:p w:rsidR="00CC6B44" w:rsidRPr="006472AF" w:rsidRDefault="00CC6B44" w:rsidP="007835FE">
      <w:pPr>
        <w:pStyle w:val="NormalWeb"/>
        <w:jc w:val="both"/>
        <w:rPr>
          <w:lang w:val="ru-RU"/>
        </w:rPr>
      </w:pPr>
      <w:r w:rsidRPr="00F320DF">
        <w:rPr>
          <w:lang w:val="mk-MK"/>
        </w:rPr>
        <w:t>Исто така, таа содржи одредби со кои се гарантира дека</w:t>
      </w:r>
      <w:r w:rsidRPr="007835FE">
        <w:rPr>
          <w:lang w:val="mk-MK"/>
        </w:rPr>
        <w:t xml:space="preserve"> таквата примена е поефикасна со воведување на соодветни постапки.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2</w:t>
      </w:r>
    </w:p>
    <w:p w:rsidR="00CC6B44" w:rsidRPr="00F1648E" w:rsidRDefault="00CC6B44" w:rsidP="000E037A">
      <w:pPr>
        <w:pStyle w:val="NormalWeb"/>
        <w:jc w:val="center"/>
        <w:rPr>
          <w:b/>
          <w:bCs/>
          <w:i/>
          <w:iCs/>
          <w:lang w:val="ru-RU"/>
        </w:rPr>
      </w:pPr>
      <w:r w:rsidRPr="00F1648E">
        <w:rPr>
          <w:b/>
          <w:bCs/>
          <w:i/>
          <w:iCs/>
          <w:lang w:val="mk-MK"/>
        </w:rPr>
        <w:t>Дефиниции</w:t>
      </w:r>
    </w:p>
    <w:p w:rsidR="00CC6B44" w:rsidRPr="006472AF" w:rsidRDefault="00CC6B44" w:rsidP="007835FE">
      <w:pPr>
        <w:pStyle w:val="NormalWeb"/>
        <w:jc w:val="both"/>
        <w:rPr>
          <w:lang w:val="ru-RU"/>
        </w:rPr>
      </w:pPr>
      <w:r w:rsidRPr="006472AF">
        <w:rPr>
          <w:lang w:val="ru-RU"/>
        </w:rPr>
        <w:t xml:space="preserve">1. </w:t>
      </w:r>
      <w:r w:rsidRPr="007835FE">
        <w:rPr>
          <w:lang w:val="mk-MK"/>
        </w:rPr>
        <w:t xml:space="preserve">За целите на </w:t>
      </w:r>
      <w:r w:rsidRPr="00F320DF">
        <w:rPr>
          <w:lang w:val="mk-MK"/>
        </w:rPr>
        <w:t>оваа директива</w:t>
      </w:r>
      <w:r w:rsidRPr="007835FE">
        <w:rPr>
          <w:lang w:val="mk-MK"/>
        </w:rPr>
        <w:t xml:space="preserve"> се применуваат следните дефиниции: </w:t>
      </w:r>
    </w:p>
    <w:p w:rsidR="00CC6B44" w:rsidRPr="006472AF" w:rsidRDefault="00CC6B44" w:rsidP="00584DB7">
      <w:pPr>
        <w:pStyle w:val="NormalWeb"/>
        <w:jc w:val="both"/>
        <w:rPr>
          <w:lang w:val="ru-RU"/>
        </w:rPr>
      </w:pPr>
      <w:r w:rsidRPr="007835FE">
        <w:rPr>
          <w:lang w:val="mk-MK"/>
        </w:rPr>
        <w:lastRenderedPageBreak/>
        <w:t xml:space="preserve">(а) „директна дискриминација“: </w:t>
      </w:r>
      <w:r w:rsidRPr="006472AF">
        <w:rPr>
          <w:lang w:val="ru-RU"/>
        </w:rPr>
        <w:t xml:space="preserve"> </w:t>
      </w:r>
      <w:r w:rsidRPr="007835FE">
        <w:rPr>
          <w:lang w:val="mk-MK"/>
        </w:rPr>
        <w:t>кога едно лице</w:t>
      </w:r>
      <w:r>
        <w:rPr>
          <w:lang w:val="mk-MK"/>
        </w:rPr>
        <w:t>,</w:t>
      </w:r>
      <w:r w:rsidRPr="007835FE">
        <w:rPr>
          <w:lang w:val="mk-MK"/>
        </w:rPr>
        <w:t xml:space="preserve"> поради полот</w:t>
      </w:r>
      <w:r>
        <w:rPr>
          <w:lang w:val="mk-MK"/>
        </w:rPr>
        <w:t>,</w:t>
      </w:r>
      <w:r w:rsidRPr="007835FE">
        <w:rPr>
          <w:lang w:val="mk-MK"/>
        </w:rPr>
        <w:t xml:space="preserve"> е понеповолно третирано о</w:t>
      </w:r>
      <w:r>
        <w:rPr>
          <w:lang w:val="mk-MK"/>
        </w:rPr>
        <w:t>тколку</w:t>
      </w:r>
      <w:r w:rsidRPr="007835FE">
        <w:rPr>
          <w:lang w:val="mk-MK"/>
        </w:rPr>
        <w:t xml:space="preserve"> </w:t>
      </w:r>
      <w:r>
        <w:rPr>
          <w:lang w:val="mk-MK"/>
        </w:rPr>
        <w:t xml:space="preserve">што </w:t>
      </w:r>
      <w:r w:rsidRPr="007835FE">
        <w:rPr>
          <w:lang w:val="mk-MK"/>
        </w:rPr>
        <w:t>друго лице</w:t>
      </w:r>
      <w:r>
        <w:rPr>
          <w:lang w:val="mk-MK"/>
        </w:rPr>
        <w:t xml:space="preserve"> е</w:t>
      </w:r>
      <w:r w:rsidRPr="007835FE">
        <w:rPr>
          <w:lang w:val="mk-MK"/>
        </w:rPr>
        <w:t xml:space="preserve">, било или би било третирано во слична ситуација; </w:t>
      </w:r>
    </w:p>
    <w:p w:rsidR="00CC6B44" w:rsidRPr="006472AF" w:rsidRDefault="00CC6B44" w:rsidP="00584DB7">
      <w:pPr>
        <w:pStyle w:val="NormalWeb"/>
        <w:jc w:val="both"/>
        <w:rPr>
          <w:lang w:val="ru-RU"/>
        </w:rPr>
      </w:pPr>
      <w:r w:rsidRPr="00E2652B">
        <w:rPr>
          <w:lang w:val="mk-MK"/>
        </w:rPr>
        <w:t>(</w:t>
      </w:r>
      <w:r>
        <w:rPr>
          <w:lang w:val="mk-MK"/>
        </w:rPr>
        <w:t>б</w:t>
      </w:r>
      <w:r w:rsidRPr="00E2652B">
        <w:rPr>
          <w:lang w:val="mk-MK"/>
        </w:rPr>
        <w:t>) „индиректна дискриминација“:</w:t>
      </w:r>
      <w:r>
        <w:rPr>
          <w:lang w:val="mk-MK"/>
        </w:rPr>
        <w:t xml:space="preserve"> </w:t>
      </w:r>
      <w:r w:rsidRPr="00E2652B">
        <w:rPr>
          <w:lang w:val="mk-MK"/>
        </w:rPr>
        <w:t xml:space="preserve">кога </w:t>
      </w:r>
      <w:r>
        <w:rPr>
          <w:lang w:val="mk-MK"/>
        </w:rPr>
        <w:t>навидум</w:t>
      </w:r>
      <w:r w:rsidRPr="00E2652B">
        <w:rPr>
          <w:lang w:val="mk-MK"/>
        </w:rPr>
        <w:t xml:space="preserve"> неутрална одредба, критериум или практика би ставила лица од еден пол во </w:t>
      </w:r>
      <w:r>
        <w:rPr>
          <w:lang w:val="mk-MK"/>
        </w:rPr>
        <w:t xml:space="preserve">определена </w:t>
      </w:r>
      <w:r w:rsidRPr="00E2652B">
        <w:rPr>
          <w:lang w:val="mk-MK"/>
        </w:rPr>
        <w:t>поне</w:t>
      </w:r>
      <w:r>
        <w:rPr>
          <w:lang w:val="mk-MK"/>
        </w:rPr>
        <w:t>поволна</w:t>
      </w:r>
      <w:r w:rsidRPr="00E2652B">
        <w:rPr>
          <w:lang w:val="mk-MK"/>
        </w:rPr>
        <w:t xml:space="preserve"> ситуација </w:t>
      </w:r>
      <w:r>
        <w:rPr>
          <w:lang w:val="mk-MK"/>
        </w:rPr>
        <w:t>во однос на</w:t>
      </w:r>
      <w:r w:rsidRPr="00E2652B">
        <w:rPr>
          <w:lang w:val="mk-MK"/>
        </w:rPr>
        <w:t xml:space="preserve"> лица од другиот пол, освен ако таа одредба, критериум или практика е објективно основана на </w:t>
      </w:r>
      <w:r>
        <w:rPr>
          <w:lang w:val="mk-MK"/>
        </w:rPr>
        <w:t>легитимна</w:t>
      </w:r>
      <w:r w:rsidRPr="00E2652B">
        <w:rPr>
          <w:lang w:val="mk-MK"/>
        </w:rPr>
        <w:t xml:space="preserve"> цел, и ако начините за постигнување на таа цел се соодветни и неопходни. </w:t>
      </w:r>
    </w:p>
    <w:p w:rsidR="00CC6B44" w:rsidRPr="006472AF" w:rsidRDefault="00CC6B44" w:rsidP="00E2652B">
      <w:pPr>
        <w:pStyle w:val="NormalWeb"/>
        <w:jc w:val="both"/>
        <w:rPr>
          <w:lang w:val="ru-RU"/>
        </w:rPr>
      </w:pPr>
      <w:r w:rsidRPr="00E2652B">
        <w:rPr>
          <w:lang w:val="mk-MK"/>
        </w:rPr>
        <w:t>(в) „</w:t>
      </w:r>
      <w:r>
        <w:rPr>
          <w:lang w:val="mk-MK"/>
        </w:rPr>
        <w:t>вознемирување</w:t>
      </w:r>
      <w:r w:rsidRPr="00E2652B">
        <w:rPr>
          <w:lang w:val="mk-MK"/>
        </w:rPr>
        <w:t>“:</w:t>
      </w:r>
      <w:r w:rsidRPr="006472AF">
        <w:rPr>
          <w:lang w:val="ru-RU"/>
        </w:rPr>
        <w:t xml:space="preserve"> </w:t>
      </w:r>
      <w:r w:rsidRPr="00E2652B">
        <w:rPr>
          <w:lang w:val="mk-MK"/>
        </w:rPr>
        <w:t xml:space="preserve">несакано однесување поврзано со полот на лицето, чија цел </w:t>
      </w:r>
      <w:r>
        <w:rPr>
          <w:lang w:val="mk-MK"/>
        </w:rPr>
        <w:t xml:space="preserve">или ефект </w:t>
      </w:r>
      <w:r w:rsidRPr="00E2652B">
        <w:rPr>
          <w:lang w:val="mk-MK"/>
        </w:rPr>
        <w:t xml:space="preserve">е нарушување на достоинството на лицето и создавање на </w:t>
      </w:r>
      <w:r>
        <w:rPr>
          <w:lang w:val="mk-MK"/>
        </w:rPr>
        <w:t xml:space="preserve">застрашувачка, непријателска, </w:t>
      </w:r>
      <w:r w:rsidRPr="00E2652B">
        <w:rPr>
          <w:lang w:val="mk-MK"/>
        </w:rPr>
        <w:t xml:space="preserve">деградирачка </w:t>
      </w:r>
      <w:r>
        <w:rPr>
          <w:lang w:val="mk-MK"/>
        </w:rPr>
        <w:t>,</w:t>
      </w:r>
      <w:r w:rsidRPr="00E2652B">
        <w:rPr>
          <w:lang w:val="mk-MK"/>
        </w:rPr>
        <w:t xml:space="preserve">понижувачка </w:t>
      </w:r>
      <w:r>
        <w:rPr>
          <w:lang w:val="mk-MK"/>
        </w:rPr>
        <w:t>или непријатна</w:t>
      </w:r>
      <w:r w:rsidRPr="006F64FA">
        <w:rPr>
          <w:lang w:val="mk-MK"/>
        </w:rPr>
        <w:t xml:space="preserve"> </w:t>
      </w:r>
      <w:r w:rsidRPr="00E2652B">
        <w:rPr>
          <w:lang w:val="mk-MK"/>
        </w:rPr>
        <w:t xml:space="preserve">ситуација;   </w:t>
      </w:r>
    </w:p>
    <w:p w:rsidR="00CC6B44" w:rsidRPr="006472AF" w:rsidRDefault="00CC6B44" w:rsidP="00584DB7">
      <w:pPr>
        <w:pStyle w:val="NormalWeb"/>
        <w:jc w:val="both"/>
        <w:rPr>
          <w:lang w:val="ru-RU"/>
        </w:rPr>
      </w:pPr>
      <w:r w:rsidRPr="00E2652B">
        <w:rPr>
          <w:lang w:val="mk-MK"/>
        </w:rPr>
        <w:t xml:space="preserve">(г) „сексуално </w:t>
      </w:r>
      <w:r>
        <w:rPr>
          <w:lang w:val="mk-MK"/>
        </w:rPr>
        <w:t>вознемирување</w:t>
      </w:r>
      <w:r w:rsidRPr="00E2652B">
        <w:rPr>
          <w:lang w:val="mk-MK"/>
        </w:rPr>
        <w:t>“:</w:t>
      </w:r>
      <w:r w:rsidRPr="006472AF">
        <w:rPr>
          <w:lang w:val="ru-RU"/>
        </w:rPr>
        <w:t xml:space="preserve"> </w:t>
      </w:r>
      <w:r w:rsidRPr="00E2652B">
        <w:rPr>
          <w:lang w:val="mk-MK"/>
        </w:rPr>
        <w:t>секоја форма на несакано</w:t>
      </w:r>
      <w:r>
        <w:rPr>
          <w:lang w:val="mk-MK"/>
        </w:rPr>
        <w:t xml:space="preserve"> вербално, невербално</w:t>
      </w:r>
      <w:r w:rsidRPr="00E2652B">
        <w:rPr>
          <w:lang w:val="mk-MK"/>
        </w:rPr>
        <w:t xml:space="preserve"> или физичко однесување од сексуален карактер, к</w:t>
      </w:r>
      <w:r>
        <w:rPr>
          <w:lang w:val="mk-MK"/>
        </w:rPr>
        <w:t xml:space="preserve">чија цел или ефект е </w:t>
      </w:r>
      <w:r w:rsidRPr="00E2652B">
        <w:rPr>
          <w:lang w:val="mk-MK"/>
        </w:rPr>
        <w:t>нарушување на достоинството на лицето и создавање на</w:t>
      </w:r>
      <w:r>
        <w:rPr>
          <w:lang w:val="mk-MK"/>
        </w:rPr>
        <w:t xml:space="preserve"> застрашувачка, непријателска, </w:t>
      </w:r>
      <w:r w:rsidRPr="00E2652B">
        <w:rPr>
          <w:lang w:val="mk-MK"/>
        </w:rPr>
        <w:t xml:space="preserve">деградирачка </w:t>
      </w:r>
      <w:r>
        <w:rPr>
          <w:lang w:val="mk-MK"/>
        </w:rPr>
        <w:t>,</w:t>
      </w:r>
      <w:r w:rsidRPr="00E2652B">
        <w:rPr>
          <w:lang w:val="mk-MK"/>
        </w:rPr>
        <w:t>понижувачка</w:t>
      </w:r>
      <w:r>
        <w:rPr>
          <w:lang w:val="mk-MK"/>
        </w:rPr>
        <w:t xml:space="preserve"> или непријатна</w:t>
      </w:r>
      <w:r w:rsidRPr="00E2652B">
        <w:rPr>
          <w:lang w:val="mk-MK"/>
        </w:rPr>
        <w:t xml:space="preserve"> ситуација; </w:t>
      </w:r>
    </w:p>
    <w:p w:rsidR="00CC6B44" w:rsidRPr="006472AF" w:rsidRDefault="00CC6B44" w:rsidP="00584DB7">
      <w:pPr>
        <w:pStyle w:val="NormalWeb"/>
        <w:jc w:val="both"/>
        <w:rPr>
          <w:lang w:val="ru-RU"/>
        </w:rPr>
      </w:pPr>
      <w:r w:rsidRPr="00E2652B">
        <w:rPr>
          <w:lang w:val="mk-MK"/>
        </w:rPr>
        <w:t>(д) „</w:t>
      </w:r>
      <w:r>
        <w:rPr>
          <w:lang w:val="mk-MK"/>
        </w:rPr>
        <w:t>плаќање</w:t>
      </w:r>
      <w:r w:rsidRPr="00E2652B">
        <w:rPr>
          <w:lang w:val="mk-MK"/>
        </w:rPr>
        <w:t xml:space="preserve">“: </w:t>
      </w:r>
      <w:r w:rsidRPr="006472AF">
        <w:rPr>
          <w:lang w:val="ru-RU"/>
        </w:rPr>
        <w:t xml:space="preserve"> </w:t>
      </w:r>
      <w:r w:rsidRPr="00F320DF">
        <w:rPr>
          <w:lang w:val="mk-MK"/>
        </w:rPr>
        <w:t>нормална основна или минимална плата или каква било награда, било да е во готово или во натура, што работникот ја прима директно или индиректно</w:t>
      </w:r>
      <w:r>
        <w:rPr>
          <w:lang w:val="mk-MK"/>
        </w:rPr>
        <w:t xml:space="preserve">, во врска со </w:t>
      </w:r>
      <w:r w:rsidRPr="00F320DF">
        <w:rPr>
          <w:lang w:val="mk-MK"/>
        </w:rPr>
        <w:t>негов</w:t>
      </w:r>
      <w:r>
        <w:rPr>
          <w:lang w:val="mk-MK"/>
        </w:rPr>
        <w:t>ата</w:t>
      </w:r>
      <w:r w:rsidRPr="00F320DF">
        <w:rPr>
          <w:lang w:val="mk-MK"/>
        </w:rPr>
        <w:t>/нејзин</w:t>
      </w:r>
      <w:r>
        <w:rPr>
          <w:lang w:val="mk-MK"/>
        </w:rPr>
        <w:t>ата</w:t>
      </w:r>
      <w:r w:rsidRPr="00F320DF">
        <w:rPr>
          <w:lang w:val="mk-MK"/>
        </w:rPr>
        <w:t xml:space="preserve"> </w:t>
      </w:r>
      <w:r>
        <w:rPr>
          <w:lang w:val="mk-MK"/>
        </w:rPr>
        <w:t>работа</w:t>
      </w:r>
      <w:r w:rsidRPr="00F320DF">
        <w:rPr>
          <w:lang w:val="mk-MK"/>
        </w:rPr>
        <w:t xml:space="preserve"> </w:t>
      </w:r>
      <w:r>
        <w:rPr>
          <w:lang w:val="mk-MK"/>
        </w:rPr>
        <w:t xml:space="preserve">од </w:t>
      </w:r>
      <w:r w:rsidRPr="00F320DF">
        <w:rPr>
          <w:lang w:val="mk-MK"/>
        </w:rPr>
        <w:t>неговиот/нејзиниот</w:t>
      </w:r>
      <w:r w:rsidRPr="00E2652B">
        <w:rPr>
          <w:lang w:val="mk-MK"/>
        </w:rPr>
        <w:t xml:space="preserve"> работодав</w:t>
      </w:r>
      <w:r>
        <w:rPr>
          <w:lang w:val="mk-MK"/>
        </w:rPr>
        <w:t>ач</w:t>
      </w:r>
      <w:r w:rsidRPr="00E2652B">
        <w:rPr>
          <w:lang w:val="mk-MK"/>
        </w:rPr>
        <w:t xml:space="preserve">;   </w:t>
      </w:r>
    </w:p>
    <w:p w:rsidR="00CC6B44" w:rsidRPr="006472AF" w:rsidRDefault="00CC6B44" w:rsidP="00053F33">
      <w:pPr>
        <w:pStyle w:val="NormalWeb"/>
        <w:jc w:val="both"/>
        <w:rPr>
          <w:lang w:val="ru-RU"/>
        </w:rPr>
      </w:pPr>
      <w:r w:rsidRPr="00E2652B">
        <w:rPr>
          <w:lang w:val="mk-MK"/>
        </w:rPr>
        <w:t>(в) „професионалн</w:t>
      </w:r>
      <w:r>
        <w:rPr>
          <w:lang w:val="mk-MK"/>
        </w:rPr>
        <w:t xml:space="preserve">и шеми за социјална сигурност“: </w:t>
      </w:r>
      <w:r w:rsidRPr="00E2652B">
        <w:rPr>
          <w:lang w:val="mk-MK"/>
        </w:rPr>
        <w:t>шеми што не се регулирани со Директивата 79/7/ЕЕЗ на Советот од 19 декември 1978</w:t>
      </w:r>
      <w:r>
        <w:rPr>
          <w:lang w:val="mk-MK"/>
        </w:rPr>
        <w:t xml:space="preserve"> год.</w:t>
      </w:r>
      <w:r w:rsidRPr="00E2652B">
        <w:rPr>
          <w:lang w:val="mk-MK"/>
        </w:rPr>
        <w:t xml:space="preserve"> за постепеното </w:t>
      </w:r>
      <w:r w:rsidRPr="00F320DF">
        <w:rPr>
          <w:lang w:val="mk-MK"/>
        </w:rPr>
        <w:t>спроведување на принципот на еднаков третман на мажите и жените во по</w:t>
      </w:r>
      <w:r>
        <w:rPr>
          <w:lang w:val="mk-MK"/>
        </w:rPr>
        <w:t>глед на социјалната сигурност</w:t>
      </w:r>
      <w:r>
        <w:rPr>
          <w:rStyle w:val="FootnoteReference"/>
          <w:lang w:val="mk-MK"/>
        </w:rPr>
        <w:footnoteReference w:id="16"/>
      </w:r>
      <w:r w:rsidRPr="00F320DF">
        <w:rPr>
          <w:lang w:val="mk-MK"/>
        </w:rPr>
        <w:t>, чија цел е да им обезбед</w:t>
      </w:r>
      <w:r>
        <w:rPr>
          <w:lang w:val="mk-MK"/>
        </w:rPr>
        <w:t>и</w:t>
      </w:r>
      <w:r w:rsidRPr="00F320DF">
        <w:rPr>
          <w:lang w:val="mk-MK"/>
        </w:rPr>
        <w:t xml:space="preserve"> на </w:t>
      </w:r>
      <w:r>
        <w:rPr>
          <w:lang w:val="mk-MK"/>
        </w:rPr>
        <w:t xml:space="preserve">работниците, </w:t>
      </w:r>
      <w:r w:rsidRPr="00F320DF">
        <w:rPr>
          <w:lang w:val="mk-MK"/>
        </w:rPr>
        <w:t xml:space="preserve">вработени или </w:t>
      </w:r>
      <w:r>
        <w:rPr>
          <w:lang w:val="mk-MK"/>
        </w:rPr>
        <w:t>с</w:t>
      </w:r>
      <w:r w:rsidRPr="00F320DF">
        <w:rPr>
          <w:lang w:val="mk-MK"/>
        </w:rPr>
        <w:t>амовработени</w:t>
      </w:r>
      <w:r>
        <w:rPr>
          <w:lang w:val="mk-MK"/>
        </w:rPr>
        <w:t>,</w:t>
      </w:r>
      <w:r w:rsidRPr="00F320DF">
        <w:rPr>
          <w:lang w:val="mk-MK"/>
        </w:rPr>
        <w:t xml:space="preserve"> во рамки на едно претпријатие или група од претпријатија, област на економска активност, професионален сектор или група сектори, бенефиции наменети </w:t>
      </w:r>
      <w:r>
        <w:rPr>
          <w:lang w:val="mk-MK"/>
        </w:rPr>
        <w:t>да ги на</w:t>
      </w:r>
      <w:r w:rsidRPr="00F320DF">
        <w:rPr>
          <w:lang w:val="mk-MK"/>
        </w:rPr>
        <w:t>дополн</w:t>
      </w:r>
      <w:r>
        <w:rPr>
          <w:lang w:val="mk-MK"/>
        </w:rPr>
        <w:t>ат</w:t>
      </w:r>
      <w:r w:rsidRPr="00F320DF">
        <w:rPr>
          <w:lang w:val="mk-MK"/>
        </w:rPr>
        <w:t xml:space="preserve"> бенифициите </w:t>
      </w:r>
      <w:r>
        <w:rPr>
          <w:lang w:val="mk-MK"/>
        </w:rPr>
        <w:t xml:space="preserve">обезбедени од </w:t>
      </w:r>
      <w:r w:rsidRPr="00F320DF">
        <w:rPr>
          <w:lang w:val="mk-MK"/>
        </w:rPr>
        <w:t xml:space="preserve">законски утврдените </w:t>
      </w:r>
      <w:r>
        <w:rPr>
          <w:lang w:val="mk-MK"/>
        </w:rPr>
        <w:t>ш</w:t>
      </w:r>
      <w:r w:rsidRPr="00F320DF">
        <w:rPr>
          <w:lang w:val="mk-MK"/>
        </w:rPr>
        <w:t>еми</w:t>
      </w:r>
      <w:r>
        <w:rPr>
          <w:lang w:val="mk-MK"/>
        </w:rPr>
        <w:t xml:space="preserve"> за социјална сигурност</w:t>
      </w:r>
      <w:r w:rsidRPr="00F320DF">
        <w:rPr>
          <w:lang w:val="mk-MK"/>
        </w:rPr>
        <w:t xml:space="preserve"> или истите да </w:t>
      </w:r>
      <w:r>
        <w:rPr>
          <w:lang w:val="mk-MK"/>
        </w:rPr>
        <w:t xml:space="preserve">ги </w:t>
      </w:r>
      <w:r w:rsidRPr="00F320DF">
        <w:rPr>
          <w:lang w:val="mk-MK"/>
        </w:rPr>
        <w:t xml:space="preserve">заменат, без разлика дали членството во таквите шеми е задолжително или </w:t>
      </w:r>
      <w:r>
        <w:rPr>
          <w:lang w:val="mk-MK"/>
        </w:rPr>
        <w:t xml:space="preserve">по </w:t>
      </w:r>
      <w:r w:rsidRPr="00F320DF">
        <w:rPr>
          <w:lang w:val="mk-MK"/>
        </w:rPr>
        <w:t xml:space="preserve">избор. </w:t>
      </w:r>
    </w:p>
    <w:p w:rsidR="00CC6B44" w:rsidRPr="006472AF" w:rsidRDefault="00CC6B44" w:rsidP="00E2652B">
      <w:pPr>
        <w:pStyle w:val="NormalWeb"/>
        <w:jc w:val="both"/>
        <w:rPr>
          <w:lang w:val="ru-RU"/>
        </w:rPr>
      </w:pPr>
      <w:r w:rsidRPr="006472AF">
        <w:rPr>
          <w:lang w:val="ru-RU"/>
        </w:rPr>
        <w:t xml:space="preserve">2. </w:t>
      </w:r>
      <w:r>
        <w:rPr>
          <w:lang w:val="mk-MK"/>
        </w:rPr>
        <w:t xml:space="preserve">За целите на </w:t>
      </w:r>
      <w:r w:rsidRPr="00F320DF">
        <w:rPr>
          <w:lang w:val="mk-MK"/>
        </w:rPr>
        <w:t>оваа директива дискриминацијата</w:t>
      </w:r>
      <w:r w:rsidRPr="00E2652B">
        <w:rPr>
          <w:lang w:val="mk-MK"/>
        </w:rPr>
        <w:t xml:space="preserve"> вклучува: </w:t>
      </w:r>
    </w:p>
    <w:p w:rsidR="00CC6B44" w:rsidRPr="006472AF" w:rsidRDefault="00CC6B44" w:rsidP="00053F33">
      <w:pPr>
        <w:pStyle w:val="NormalWeb"/>
        <w:jc w:val="both"/>
        <w:rPr>
          <w:lang w:val="ru-RU"/>
        </w:rPr>
      </w:pPr>
      <w:r w:rsidRPr="00F320DF">
        <w:rPr>
          <w:lang w:val="mk-MK"/>
        </w:rPr>
        <w:t>(а) вознемирување и сексуално вознемирување, како и секој понеповолен третман заснован</w:t>
      </w:r>
      <w:r>
        <w:rPr>
          <w:lang w:val="mk-MK"/>
        </w:rPr>
        <w:t xml:space="preserve"> на </w:t>
      </w:r>
      <w:r w:rsidRPr="00F320DF">
        <w:rPr>
          <w:lang w:val="mk-MK"/>
        </w:rPr>
        <w:t>отфрлање</w:t>
      </w:r>
      <w:r>
        <w:rPr>
          <w:lang w:val="mk-MK"/>
        </w:rPr>
        <w:t>то</w:t>
      </w:r>
      <w:r w:rsidRPr="00E2652B">
        <w:rPr>
          <w:lang w:val="mk-MK"/>
        </w:rPr>
        <w:t xml:space="preserve"> или поднесување</w:t>
      </w:r>
      <w:r>
        <w:rPr>
          <w:lang w:val="mk-MK"/>
        </w:rPr>
        <w:t xml:space="preserve">то од страна на лицето </w:t>
      </w:r>
      <w:r w:rsidRPr="00E2652B">
        <w:rPr>
          <w:lang w:val="mk-MK"/>
        </w:rPr>
        <w:t xml:space="preserve">на таквото однесување;  </w:t>
      </w:r>
    </w:p>
    <w:p w:rsidR="00CC6B44" w:rsidRPr="006472AF" w:rsidRDefault="00CC6B44" w:rsidP="005C2A4E">
      <w:pPr>
        <w:pStyle w:val="NormalWeb"/>
        <w:jc w:val="both"/>
        <w:rPr>
          <w:lang w:val="ru-RU"/>
        </w:rPr>
      </w:pPr>
      <w:r w:rsidRPr="00E2652B">
        <w:rPr>
          <w:lang w:val="mk-MK"/>
        </w:rPr>
        <w:t>(б) инструирање на дискриминација</w:t>
      </w:r>
      <w:r>
        <w:rPr>
          <w:lang w:val="mk-MK"/>
        </w:rPr>
        <w:t xml:space="preserve"> на лица по основ на полот</w:t>
      </w:r>
      <w:r w:rsidRPr="00E2652B">
        <w:rPr>
          <w:lang w:val="mk-MK"/>
        </w:rPr>
        <w:t xml:space="preserve">;  </w:t>
      </w:r>
    </w:p>
    <w:p w:rsidR="00CC6B44" w:rsidRPr="006472AF" w:rsidRDefault="00CC6B44" w:rsidP="00E2652B">
      <w:pPr>
        <w:pStyle w:val="NormalWeb"/>
        <w:jc w:val="both"/>
        <w:rPr>
          <w:lang w:val="ru-RU"/>
        </w:rPr>
      </w:pPr>
      <w:r w:rsidRPr="00E2652B">
        <w:rPr>
          <w:lang w:val="mk-MK"/>
        </w:rPr>
        <w:t xml:space="preserve">(в) секој понеповолен третман на жена, поврзан </w:t>
      </w:r>
      <w:r>
        <w:rPr>
          <w:lang w:val="mk-MK"/>
        </w:rPr>
        <w:t xml:space="preserve">со </w:t>
      </w:r>
      <w:r w:rsidRPr="00E2652B">
        <w:rPr>
          <w:lang w:val="mk-MK"/>
        </w:rPr>
        <w:t xml:space="preserve">бременост или со отсуство поради мајчинство во смисла на Директивата 92/85/ЕЕЗ.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lastRenderedPageBreak/>
        <w:t>Член 3</w:t>
      </w:r>
    </w:p>
    <w:p w:rsidR="00CC6B44" w:rsidRPr="00F1648E" w:rsidRDefault="00CC6B44" w:rsidP="000E037A">
      <w:pPr>
        <w:pStyle w:val="NormalWeb"/>
        <w:jc w:val="center"/>
        <w:rPr>
          <w:b/>
          <w:bCs/>
          <w:i/>
          <w:iCs/>
          <w:lang w:val="ru-RU"/>
        </w:rPr>
      </w:pPr>
      <w:r w:rsidRPr="00F1648E">
        <w:rPr>
          <w:b/>
          <w:bCs/>
          <w:i/>
          <w:iCs/>
          <w:lang w:val="mk-MK"/>
        </w:rPr>
        <w:t>Позитивни мерки</w:t>
      </w:r>
    </w:p>
    <w:p w:rsidR="00CC6B44" w:rsidRPr="006472AF" w:rsidRDefault="00CC6B44" w:rsidP="00053F33">
      <w:pPr>
        <w:pStyle w:val="NormalWeb"/>
        <w:jc w:val="both"/>
        <w:rPr>
          <w:lang w:val="ru-RU"/>
        </w:rPr>
      </w:pPr>
      <w:r w:rsidRPr="00807B00">
        <w:rPr>
          <w:lang w:val="mk-MK"/>
        </w:rPr>
        <w:t xml:space="preserve">Земјите-членки можат да </w:t>
      </w:r>
      <w:r>
        <w:rPr>
          <w:lang w:val="mk-MK"/>
        </w:rPr>
        <w:t xml:space="preserve">задржат или да </w:t>
      </w:r>
      <w:r w:rsidRPr="00807B00">
        <w:rPr>
          <w:lang w:val="mk-MK"/>
        </w:rPr>
        <w:t>донес</w:t>
      </w:r>
      <w:r>
        <w:rPr>
          <w:lang w:val="mk-MK"/>
        </w:rPr>
        <w:t>ат</w:t>
      </w:r>
      <w:r w:rsidRPr="00807B00">
        <w:rPr>
          <w:lang w:val="mk-MK"/>
        </w:rPr>
        <w:t xml:space="preserve"> мерки во смисла на членот 141(4) од Договорот со цел за обезбедување потполна еднаквост помеѓу мажите и жените во професионалниот живот.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ГЛАВА II</w:t>
      </w:r>
    </w:p>
    <w:p w:rsidR="00CC6B44" w:rsidRPr="00F1648E" w:rsidRDefault="00CC6B44" w:rsidP="000E037A">
      <w:pPr>
        <w:pStyle w:val="NormalWeb"/>
        <w:jc w:val="center"/>
        <w:rPr>
          <w:b/>
          <w:bCs/>
          <w:i/>
          <w:iCs/>
          <w:lang w:val="ru-RU"/>
        </w:rPr>
      </w:pPr>
      <w:r w:rsidRPr="00F1648E">
        <w:rPr>
          <w:b/>
          <w:bCs/>
          <w:i/>
          <w:iCs/>
          <w:lang w:val="mk-MK"/>
        </w:rPr>
        <w:t>ПОСЕБНИ ОДРЕДБИ</w:t>
      </w:r>
    </w:p>
    <w:p w:rsidR="00CC6B44" w:rsidRPr="006472AF" w:rsidRDefault="00CC6B44" w:rsidP="000E037A">
      <w:pPr>
        <w:pStyle w:val="NormalWeb"/>
        <w:jc w:val="center"/>
        <w:rPr>
          <w:i/>
          <w:iCs/>
          <w:lang w:val="ru-RU"/>
        </w:rPr>
      </w:pPr>
      <w:r w:rsidRPr="000E037A">
        <w:rPr>
          <w:i/>
          <w:iCs/>
          <w:lang w:val="mk-MK"/>
        </w:rPr>
        <w:t>Поглавје 1</w:t>
      </w:r>
    </w:p>
    <w:p w:rsidR="00CC6B44" w:rsidRPr="00F1648E" w:rsidRDefault="00CC6B44" w:rsidP="000E037A">
      <w:pPr>
        <w:pStyle w:val="NormalWeb"/>
        <w:jc w:val="center"/>
        <w:rPr>
          <w:b/>
          <w:bCs/>
          <w:i/>
          <w:iCs/>
          <w:lang w:val="ru-RU"/>
        </w:rPr>
      </w:pPr>
      <w:r w:rsidRPr="00F1648E">
        <w:rPr>
          <w:b/>
          <w:bCs/>
          <w:i/>
          <w:iCs/>
          <w:lang w:val="mk-MK"/>
        </w:rPr>
        <w:t>Еднакво плаќање</w:t>
      </w:r>
    </w:p>
    <w:p w:rsidR="00CC6B44" w:rsidRPr="006472AF" w:rsidRDefault="00CC6B44" w:rsidP="000E037A">
      <w:pPr>
        <w:pStyle w:val="NormalWeb"/>
        <w:jc w:val="center"/>
        <w:rPr>
          <w:i/>
          <w:iCs/>
          <w:lang w:val="ru-RU"/>
        </w:rPr>
      </w:pPr>
      <w:r w:rsidRPr="000E037A">
        <w:rPr>
          <w:i/>
          <w:iCs/>
          <w:lang w:val="mk-MK"/>
        </w:rPr>
        <w:t>Член 4</w:t>
      </w:r>
    </w:p>
    <w:p w:rsidR="00CC6B44" w:rsidRPr="00F1648E" w:rsidRDefault="00CC6B44" w:rsidP="00F1648E">
      <w:pPr>
        <w:pStyle w:val="NormalWeb"/>
        <w:jc w:val="center"/>
        <w:rPr>
          <w:b/>
          <w:bCs/>
          <w:i/>
          <w:iCs/>
          <w:lang w:val="ru-RU"/>
        </w:rPr>
      </w:pPr>
      <w:r w:rsidRPr="00F1648E">
        <w:rPr>
          <w:b/>
          <w:bCs/>
          <w:i/>
          <w:iCs/>
          <w:lang w:val="mk-MK"/>
        </w:rPr>
        <w:t>Забрана на дискриминација</w:t>
      </w:r>
    </w:p>
    <w:p w:rsidR="00CC6B44" w:rsidRPr="006472AF" w:rsidRDefault="00CC6B44" w:rsidP="00542655">
      <w:pPr>
        <w:pStyle w:val="NormalWeb"/>
        <w:jc w:val="both"/>
        <w:rPr>
          <w:lang w:val="ru-RU"/>
        </w:rPr>
      </w:pPr>
      <w:r w:rsidRPr="00807B00">
        <w:rPr>
          <w:lang w:val="mk-MK"/>
        </w:rPr>
        <w:t xml:space="preserve">За иста работа или за работа која е со иста вредност, се елиминира директна и индиректна дискриминација на полова основа во однос на сите аспекти и </w:t>
      </w:r>
      <w:r>
        <w:rPr>
          <w:lang w:val="mk-MK"/>
        </w:rPr>
        <w:t>услови</w:t>
      </w:r>
      <w:r w:rsidRPr="00807B00">
        <w:rPr>
          <w:lang w:val="mk-MK"/>
        </w:rPr>
        <w:t xml:space="preserve"> на </w:t>
      </w:r>
      <w:r>
        <w:rPr>
          <w:lang w:val="mk-MK"/>
        </w:rPr>
        <w:t>плаќањето</w:t>
      </w:r>
      <w:r w:rsidRPr="00807B00">
        <w:rPr>
          <w:lang w:val="mk-MK"/>
        </w:rPr>
        <w:t xml:space="preserve">.  </w:t>
      </w:r>
    </w:p>
    <w:p w:rsidR="00CC6B44" w:rsidRPr="006472AF" w:rsidRDefault="00CC6B44" w:rsidP="000D1B42">
      <w:pPr>
        <w:pStyle w:val="NormalWeb"/>
        <w:jc w:val="both"/>
        <w:rPr>
          <w:lang w:val="ru-RU"/>
        </w:rPr>
      </w:pPr>
      <w:r>
        <w:rPr>
          <w:lang w:val="mk-MK"/>
        </w:rPr>
        <w:t>Особено</w:t>
      </w:r>
      <w:r w:rsidRPr="00807B00">
        <w:rPr>
          <w:lang w:val="mk-MK"/>
        </w:rPr>
        <w:t xml:space="preserve">, кога за определување на </w:t>
      </w:r>
      <w:r>
        <w:rPr>
          <w:lang w:val="mk-MK"/>
        </w:rPr>
        <w:t>плаќањето</w:t>
      </w:r>
      <w:r w:rsidRPr="00807B00">
        <w:rPr>
          <w:lang w:val="mk-MK"/>
        </w:rPr>
        <w:t xml:space="preserve"> се применува системот на класификација на работни места</w:t>
      </w:r>
      <w:r>
        <w:rPr>
          <w:lang w:val="mk-MK"/>
        </w:rPr>
        <w:t>,</w:t>
      </w:r>
      <w:r w:rsidRPr="00807B00">
        <w:rPr>
          <w:lang w:val="mk-MK"/>
        </w:rPr>
        <w:t xml:space="preserve"> тој </w:t>
      </w:r>
      <w:r>
        <w:rPr>
          <w:lang w:val="mk-MK"/>
        </w:rPr>
        <w:t xml:space="preserve">треба да </w:t>
      </w:r>
      <w:r w:rsidRPr="00807B00">
        <w:rPr>
          <w:lang w:val="mk-MK"/>
        </w:rPr>
        <w:t xml:space="preserve">се </w:t>
      </w:r>
      <w:r w:rsidRPr="00F320DF">
        <w:rPr>
          <w:lang w:val="mk-MK"/>
        </w:rPr>
        <w:t>заснова врз истите критериуми</w:t>
      </w:r>
      <w:r w:rsidRPr="00807B00">
        <w:rPr>
          <w:lang w:val="mk-MK"/>
        </w:rPr>
        <w:t xml:space="preserve"> и за мажите и за жените и тој е </w:t>
      </w:r>
      <w:r>
        <w:rPr>
          <w:lang w:val="mk-MK"/>
        </w:rPr>
        <w:t>изграден</w:t>
      </w:r>
      <w:r w:rsidRPr="00807B00">
        <w:rPr>
          <w:lang w:val="mk-MK"/>
        </w:rPr>
        <w:t xml:space="preserve"> така што исклучува секаква дискриминација</w:t>
      </w:r>
      <w:r>
        <w:rPr>
          <w:lang w:val="mk-MK"/>
        </w:rPr>
        <w:t xml:space="preserve"> по основ на полот</w:t>
      </w:r>
      <w:r w:rsidRPr="00807B00">
        <w:rPr>
          <w:lang w:val="mk-MK"/>
        </w:rPr>
        <w:t xml:space="preserve">.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ПОГЛАВЈЕ 2</w:t>
      </w:r>
    </w:p>
    <w:p w:rsidR="00CC6B44" w:rsidRPr="00F1648E" w:rsidRDefault="00CC6B44" w:rsidP="000E037A">
      <w:pPr>
        <w:pStyle w:val="NormalWeb"/>
        <w:jc w:val="center"/>
        <w:rPr>
          <w:b/>
          <w:bCs/>
          <w:i/>
          <w:iCs/>
          <w:lang w:val="ru-RU"/>
        </w:rPr>
      </w:pPr>
      <w:r w:rsidRPr="00F1648E">
        <w:rPr>
          <w:b/>
          <w:bCs/>
          <w:i/>
          <w:iCs/>
          <w:lang w:val="mk-MK"/>
        </w:rPr>
        <w:t>Еднаков третман во професионалните шеми за социјална сигурност.</w:t>
      </w:r>
    </w:p>
    <w:p w:rsidR="00CC6B44" w:rsidRPr="006472AF" w:rsidRDefault="00CC6B44" w:rsidP="000E037A">
      <w:pPr>
        <w:pStyle w:val="NormalWeb"/>
        <w:jc w:val="center"/>
        <w:rPr>
          <w:i/>
          <w:iCs/>
          <w:lang w:val="ru-RU"/>
        </w:rPr>
      </w:pPr>
      <w:r w:rsidRPr="000E037A">
        <w:rPr>
          <w:i/>
          <w:iCs/>
          <w:lang w:val="mk-MK"/>
        </w:rPr>
        <w:t>Член 5</w:t>
      </w:r>
    </w:p>
    <w:p w:rsidR="00CC6B44" w:rsidRPr="00F1648E" w:rsidRDefault="00CC6B44" w:rsidP="000E037A">
      <w:pPr>
        <w:pStyle w:val="NormalWeb"/>
        <w:jc w:val="center"/>
        <w:rPr>
          <w:b/>
          <w:bCs/>
          <w:i/>
          <w:iCs/>
          <w:lang w:val="ru-RU"/>
        </w:rPr>
      </w:pPr>
      <w:r w:rsidRPr="00F1648E">
        <w:rPr>
          <w:b/>
          <w:bCs/>
          <w:i/>
          <w:iCs/>
          <w:lang w:val="mk-MK"/>
        </w:rPr>
        <w:t>Забрана на дискриминација</w:t>
      </w:r>
    </w:p>
    <w:p w:rsidR="00CC6B44" w:rsidRPr="006472AF" w:rsidRDefault="00CC6B44" w:rsidP="00FB6113">
      <w:pPr>
        <w:pStyle w:val="NormalWeb"/>
        <w:jc w:val="both"/>
        <w:rPr>
          <w:lang w:val="ru-RU"/>
        </w:rPr>
      </w:pPr>
      <w:r w:rsidRPr="00807B00">
        <w:rPr>
          <w:lang w:val="mk-MK"/>
        </w:rPr>
        <w:t>Без повреда на членот 4</w:t>
      </w:r>
      <w:r>
        <w:rPr>
          <w:lang w:val="mk-MK"/>
        </w:rPr>
        <w:t>,</w:t>
      </w:r>
      <w:r w:rsidRPr="00807B00">
        <w:rPr>
          <w:lang w:val="mk-MK"/>
        </w:rPr>
        <w:t xml:space="preserve"> не</w:t>
      </w:r>
      <w:r>
        <w:rPr>
          <w:lang w:val="mk-MK"/>
        </w:rPr>
        <w:t xml:space="preserve"> се дозволува </w:t>
      </w:r>
      <w:r w:rsidRPr="00807B00">
        <w:rPr>
          <w:lang w:val="mk-MK"/>
        </w:rPr>
        <w:t xml:space="preserve">директна или индиректна полова дискриминација во професионалните </w:t>
      </w:r>
      <w:r>
        <w:rPr>
          <w:lang w:val="mk-MK"/>
        </w:rPr>
        <w:t>шеми за социјална сигурност</w:t>
      </w:r>
      <w:r w:rsidRPr="00807B00">
        <w:rPr>
          <w:lang w:val="mk-MK"/>
        </w:rPr>
        <w:t xml:space="preserve">, а особено во поглед на: </w:t>
      </w:r>
    </w:p>
    <w:p w:rsidR="00CC6B44" w:rsidRPr="006472AF" w:rsidRDefault="00CC6B44" w:rsidP="0052163D">
      <w:pPr>
        <w:pStyle w:val="NormalWeb"/>
        <w:jc w:val="both"/>
        <w:rPr>
          <w:lang w:val="ru-RU"/>
        </w:rPr>
      </w:pPr>
      <w:r w:rsidRPr="0052163D">
        <w:rPr>
          <w:lang w:val="mk-MK"/>
        </w:rPr>
        <w:t xml:space="preserve">(а) опфатот на таквите шеми и условите за пристап до нив; </w:t>
      </w:r>
    </w:p>
    <w:p w:rsidR="00CC6B44" w:rsidRPr="006472AF" w:rsidRDefault="00CC6B44" w:rsidP="0052163D">
      <w:pPr>
        <w:pStyle w:val="NormalWeb"/>
        <w:jc w:val="both"/>
        <w:rPr>
          <w:lang w:val="ru-RU"/>
        </w:rPr>
      </w:pPr>
      <w:r w:rsidRPr="0052163D">
        <w:rPr>
          <w:lang w:val="mk-MK"/>
        </w:rPr>
        <w:t xml:space="preserve">(б) обврската за плаќање придонеси и пресметката на придонесите;  </w:t>
      </w:r>
    </w:p>
    <w:p w:rsidR="00CC6B44" w:rsidRPr="006472AF" w:rsidRDefault="00CC6B44" w:rsidP="0052163D">
      <w:pPr>
        <w:pStyle w:val="NormalWeb"/>
        <w:jc w:val="both"/>
        <w:rPr>
          <w:lang w:val="ru-RU"/>
        </w:rPr>
      </w:pPr>
      <w:r w:rsidRPr="0052163D">
        <w:rPr>
          <w:lang w:val="mk-MK"/>
        </w:rPr>
        <w:lastRenderedPageBreak/>
        <w:t xml:space="preserve">(в) пресметување на бенифициите, вклучувајќи дополнителни бенифиции за сопруг/а или зависни лица, и условите со кои се регулира времетраењето и времето на задржување на правото на бенифициите.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6</w:t>
      </w:r>
    </w:p>
    <w:p w:rsidR="00CC6B44" w:rsidRPr="00F1648E" w:rsidRDefault="00CC6B44" w:rsidP="000E037A">
      <w:pPr>
        <w:pStyle w:val="NormalWeb"/>
        <w:jc w:val="center"/>
        <w:rPr>
          <w:b/>
          <w:bCs/>
          <w:i/>
          <w:iCs/>
          <w:lang w:val="ru-RU"/>
        </w:rPr>
      </w:pPr>
      <w:r w:rsidRPr="00F1648E">
        <w:rPr>
          <w:b/>
          <w:bCs/>
          <w:i/>
          <w:iCs/>
          <w:lang w:val="mk-MK"/>
        </w:rPr>
        <w:t>Личен опфат</w:t>
      </w:r>
    </w:p>
    <w:p w:rsidR="00CC6B44" w:rsidRPr="006472AF" w:rsidRDefault="00CC6B44" w:rsidP="0052163D">
      <w:pPr>
        <w:pStyle w:val="NormalWeb"/>
        <w:jc w:val="both"/>
        <w:rPr>
          <w:lang w:val="ru-RU"/>
        </w:rPr>
      </w:pPr>
      <w:r w:rsidRPr="0052163D">
        <w:rPr>
          <w:lang w:val="mk-MK"/>
        </w:rPr>
        <w:t xml:space="preserve">Ова поглавје се применува за членовите на работоспособното население, </w:t>
      </w:r>
      <w:r w:rsidRPr="00F320DF">
        <w:rPr>
          <w:lang w:val="mk-MK"/>
        </w:rPr>
        <w:t xml:space="preserve">вклучувајќи самовработени лица, лица чија активност е прекината поради болест, мајчинство, несреќен случај или принудна </w:t>
      </w:r>
      <w:r>
        <w:rPr>
          <w:lang w:val="mk-MK"/>
        </w:rPr>
        <w:t>невработеност</w:t>
      </w:r>
      <w:r w:rsidRPr="00F320DF">
        <w:rPr>
          <w:lang w:val="mk-MK"/>
        </w:rPr>
        <w:t xml:space="preserve"> и лица кои бараат вработување, за пензионирани и  работници</w:t>
      </w:r>
      <w:r>
        <w:rPr>
          <w:lang w:val="mk-MK"/>
        </w:rPr>
        <w:t xml:space="preserve"> со инвалидност</w:t>
      </w:r>
      <w:r w:rsidRPr="00F320DF">
        <w:rPr>
          <w:lang w:val="mk-MK"/>
        </w:rPr>
        <w:t xml:space="preserve">, како и за лица што ги бараат истите права, во согласност со националното законодавство и/или практика.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7</w:t>
      </w:r>
    </w:p>
    <w:p w:rsidR="00CC6B44" w:rsidRPr="00F1648E" w:rsidRDefault="00CC6B44" w:rsidP="000E037A">
      <w:pPr>
        <w:pStyle w:val="NormalWeb"/>
        <w:jc w:val="center"/>
        <w:rPr>
          <w:b/>
          <w:bCs/>
          <w:i/>
          <w:iCs/>
          <w:lang w:val="ru-RU"/>
        </w:rPr>
      </w:pPr>
      <w:r w:rsidRPr="00F1648E">
        <w:rPr>
          <w:b/>
          <w:bCs/>
          <w:i/>
          <w:iCs/>
          <w:lang w:val="mk-MK"/>
        </w:rPr>
        <w:t>Материјален опфат</w:t>
      </w:r>
    </w:p>
    <w:p w:rsidR="00CC6B44" w:rsidRPr="006472AF" w:rsidRDefault="00CC6B44" w:rsidP="0052163D">
      <w:pPr>
        <w:pStyle w:val="NormalWeb"/>
        <w:jc w:val="both"/>
        <w:rPr>
          <w:lang w:val="ru-RU"/>
        </w:rPr>
      </w:pPr>
      <w:r w:rsidRPr="006472AF">
        <w:rPr>
          <w:lang w:val="ru-RU"/>
        </w:rPr>
        <w:t xml:space="preserve">1. </w:t>
      </w:r>
      <w:r w:rsidRPr="0052163D">
        <w:rPr>
          <w:lang w:val="mk-MK"/>
        </w:rPr>
        <w:t xml:space="preserve">Ова поглавје се применува за: </w:t>
      </w:r>
    </w:p>
    <w:p w:rsidR="00CC6B44" w:rsidRPr="006472AF" w:rsidRDefault="00CC6B44" w:rsidP="0052163D">
      <w:pPr>
        <w:pStyle w:val="NormalWeb"/>
        <w:jc w:val="both"/>
        <w:rPr>
          <w:lang w:val="ru-RU"/>
        </w:rPr>
      </w:pPr>
      <w:r w:rsidRPr="0052163D">
        <w:rPr>
          <w:lang w:val="mk-MK"/>
        </w:rPr>
        <w:t xml:space="preserve">(а) професионалните </w:t>
      </w:r>
      <w:r>
        <w:rPr>
          <w:lang w:val="mk-MK"/>
        </w:rPr>
        <w:t>шеми за социјална сигурност</w:t>
      </w:r>
      <w:r w:rsidRPr="0052163D">
        <w:rPr>
          <w:lang w:val="mk-MK"/>
        </w:rPr>
        <w:t xml:space="preserve"> што обезбедуваат заштита од следните ризици: </w:t>
      </w:r>
    </w:p>
    <w:p w:rsidR="00CC6B44" w:rsidRPr="006472AF" w:rsidRDefault="00CC6B44" w:rsidP="00716B90">
      <w:pPr>
        <w:pStyle w:val="NormalWeb"/>
        <w:ind w:left="240"/>
        <w:jc w:val="both"/>
        <w:rPr>
          <w:lang w:val="ru-RU"/>
        </w:rPr>
      </w:pPr>
      <w:r w:rsidRPr="0052163D">
        <w:rPr>
          <w:lang w:val="mk-MK"/>
        </w:rPr>
        <w:t>(i) болест,</w:t>
      </w:r>
    </w:p>
    <w:p w:rsidR="00CC6B44" w:rsidRPr="006472AF" w:rsidRDefault="00CC6B44" w:rsidP="00716B90">
      <w:pPr>
        <w:pStyle w:val="NormalWeb"/>
        <w:ind w:left="240"/>
        <w:jc w:val="both"/>
        <w:rPr>
          <w:lang w:val="ru-RU"/>
        </w:rPr>
      </w:pPr>
      <w:r w:rsidRPr="0052163D">
        <w:rPr>
          <w:lang w:val="mk-MK"/>
        </w:rPr>
        <w:t xml:space="preserve">(ii) инвалидност, </w:t>
      </w:r>
    </w:p>
    <w:p w:rsidR="00CC6B44" w:rsidRPr="006472AF" w:rsidRDefault="00CC6B44" w:rsidP="00716B90">
      <w:pPr>
        <w:pStyle w:val="NormalWeb"/>
        <w:ind w:left="240"/>
        <w:jc w:val="both"/>
        <w:rPr>
          <w:lang w:val="ru-RU"/>
        </w:rPr>
      </w:pPr>
      <w:r w:rsidRPr="0052163D">
        <w:rPr>
          <w:lang w:val="mk-MK"/>
        </w:rPr>
        <w:t xml:space="preserve">(iii) старост, вклучувајќи предвремено пензионирање, </w:t>
      </w:r>
    </w:p>
    <w:p w:rsidR="00CC6B44" w:rsidRPr="006472AF" w:rsidRDefault="00CC6B44" w:rsidP="00716B90">
      <w:pPr>
        <w:pStyle w:val="NormalWeb"/>
        <w:ind w:left="240"/>
        <w:jc w:val="both"/>
        <w:rPr>
          <w:lang w:val="ru-RU"/>
        </w:rPr>
      </w:pPr>
      <w:r w:rsidRPr="0052163D">
        <w:rPr>
          <w:lang w:val="mk-MK"/>
        </w:rPr>
        <w:t xml:space="preserve">(iv) повреди на работно место и професионални </w:t>
      </w:r>
      <w:r>
        <w:rPr>
          <w:lang w:val="mk-MK"/>
        </w:rPr>
        <w:t>заболувања</w:t>
      </w:r>
      <w:r w:rsidRPr="0052163D">
        <w:rPr>
          <w:lang w:val="mk-MK"/>
        </w:rPr>
        <w:t xml:space="preserve">; </w:t>
      </w:r>
    </w:p>
    <w:p w:rsidR="00CC6B44" w:rsidRPr="006472AF" w:rsidRDefault="00CC6B44" w:rsidP="00716B90">
      <w:pPr>
        <w:pStyle w:val="NormalWeb"/>
        <w:ind w:left="240"/>
        <w:jc w:val="both"/>
        <w:rPr>
          <w:lang w:val="ru-RU"/>
        </w:rPr>
      </w:pPr>
      <w:r w:rsidRPr="0052163D">
        <w:rPr>
          <w:lang w:val="mk-MK"/>
        </w:rPr>
        <w:t xml:space="preserve">(v) невработеност; </w:t>
      </w:r>
    </w:p>
    <w:p w:rsidR="00CC6B44" w:rsidRPr="006472AF" w:rsidRDefault="00CC6B44" w:rsidP="0052163D">
      <w:pPr>
        <w:pStyle w:val="NormalWeb"/>
        <w:jc w:val="both"/>
        <w:rPr>
          <w:lang w:val="ru-RU"/>
        </w:rPr>
      </w:pPr>
      <w:r w:rsidRPr="0052163D">
        <w:rPr>
          <w:lang w:val="mk-MK"/>
        </w:rPr>
        <w:t xml:space="preserve">(б) </w:t>
      </w:r>
      <w:r w:rsidRPr="00F320DF">
        <w:rPr>
          <w:lang w:val="mk-MK"/>
        </w:rPr>
        <w:t>професионални шеми</w:t>
      </w:r>
      <w:r>
        <w:rPr>
          <w:lang w:val="mk-MK"/>
        </w:rPr>
        <w:t xml:space="preserve"> за социјална сигурност</w:t>
      </w:r>
      <w:r w:rsidRPr="00F320DF">
        <w:rPr>
          <w:lang w:val="mk-MK"/>
        </w:rPr>
        <w:t xml:space="preserve"> што предвидуваат други социјални бенифиции, во готово или во натура, а особено </w:t>
      </w:r>
      <w:r>
        <w:rPr>
          <w:lang w:val="mk-MK"/>
        </w:rPr>
        <w:t>семејни пензии</w:t>
      </w:r>
      <w:r w:rsidRPr="00F320DF">
        <w:rPr>
          <w:lang w:val="mk-MK"/>
        </w:rPr>
        <w:t xml:space="preserve"> и семејни надоместоци, доколку таквите бенефиции</w:t>
      </w:r>
      <w:r w:rsidRPr="0052163D">
        <w:rPr>
          <w:lang w:val="mk-MK"/>
        </w:rPr>
        <w:t xml:space="preserve"> претставуваат надомест исплатен од работодав</w:t>
      </w:r>
      <w:r>
        <w:rPr>
          <w:lang w:val="mk-MK"/>
        </w:rPr>
        <w:t>ачот</w:t>
      </w:r>
      <w:r w:rsidRPr="0052163D">
        <w:rPr>
          <w:lang w:val="mk-MK"/>
        </w:rPr>
        <w:t xml:space="preserve"> на работникот за работа што тој ја извршил.      </w:t>
      </w:r>
    </w:p>
    <w:p w:rsidR="00CC6B44" w:rsidRPr="006472AF" w:rsidRDefault="00CC6B44" w:rsidP="00B05101">
      <w:pPr>
        <w:pStyle w:val="NormalWeb"/>
        <w:jc w:val="both"/>
        <w:rPr>
          <w:lang w:val="ru-RU"/>
        </w:rPr>
      </w:pPr>
      <w:r w:rsidRPr="006472AF">
        <w:rPr>
          <w:lang w:val="ru-RU"/>
        </w:rPr>
        <w:t xml:space="preserve">2. </w:t>
      </w:r>
      <w:r w:rsidRPr="0052163D">
        <w:rPr>
          <w:lang w:val="mk-MK"/>
        </w:rPr>
        <w:t>Ова поглавје, исто така се применува за пензиските шеми за одредена категорија работници како што се државни</w:t>
      </w:r>
      <w:r>
        <w:rPr>
          <w:lang w:val="mk-MK"/>
        </w:rPr>
        <w:t>те</w:t>
      </w:r>
      <w:r w:rsidRPr="0052163D">
        <w:rPr>
          <w:lang w:val="mk-MK"/>
        </w:rPr>
        <w:t xml:space="preserve"> службеници, ако бен</w:t>
      </w:r>
      <w:r>
        <w:rPr>
          <w:lang w:val="mk-MK"/>
        </w:rPr>
        <w:t>е</w:t>
      </w:r>
      <w:r w:rsidRPr="0052163D">
        <w:rPr>
          <w:lang w:val="mk-MK"/>
        </w:rPr>
        <w:t xml:space="preserve">фициите </w:t>
      </w:r>
      <w:r w:rsidRPr="00F320DF">
        <w:rPr>
          <w:lang w:val="mk-MK"/>
        </w:rPr>
        <w:t xml:space="preserve">што се плаќаат во </w:t>
      </w:r>
      <w:r>
        <w:rPr>
          <w:lang w:val="mk-MK"/>
        </w:rPr>
        <w:t xml:space="preserve">рамки на </w:t>
      </w:r>
      <w:r w:rsidRPr="00F320DF">
        <w:rPr>
          <w:lang w:val="mk-MK"/>
        </w:rPr>
        <w:t>шемата</w:t>
      </w:r>
      <w:r w:rsidRPr="0052163D">
        <w:rPr>
          <w:lang w:val="mk-MK"/>
        </w:rPr>
        <w:t xml:space="preserve"> се пла</w:t>
      </w:r>
      <w:r>
        <w:rPr>
          <w:lang w:val="mk-MK"/>
        </w:rPr>
        <w:t xml:space="preserve">ќаат </w:t>
      </w:r>
      <w:r w:rsidRPr="0052163D">
        <w:rPr>
          <w:lang w:val="mk-MK"/>
        </w:rPr>
        <w:t>како резултат на работниот однос кај државен работодав</w:t>
      </w:r>
      <w:r>
        <w:rPr>
          <w:lang w:val="mk-MK"/>
        </w:rPr>
        <w:t>ач</w:t>
      </w:r>
      <w:r w:rsidRPr="0052163D">
        <w:rPr>
          <w:lang w:val="mk-MK"/>
        </w:rPr>
        <w:t xml:space="preserve">. </w:t>
      </w:r>
      <w:r w:rsidRPr="006472AF">
        <w:rPr>
          <w:lang w:val="ru-RU"/>
        </w:rPr>
        <w:t xml:space="preserve"> </w:t>
      </w:r>
      <w:r w:rsidRPr="0052163D">
        <w:rPr>
          <w:lang w:val="mk-MK"/>
        </w:rPr>
        <w:t xml:space="preserve">Фактот дека таквата шема сочинува дел од општата законски утврдена шема по овој однос нема значење.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lastRenderedPageBreak/>
        <w:t>Член 8</w:t>
      </w:r>
    </w:p>
    <w:p w:rsidR="00CC6B44" w:rsidRPr="00F1648E" w:rsidRDefault="00CC6B44" w:rsidP="000E037A">
      <w:pPr>
        <w:pStyle w:val="NormalWeb"/>
        <w:jc w:val="center"/>
        <w:rPr>
          <w:b/>
          <w:bCs/>
          <w:i/>
          <w:iCs/>
          <w:lang w:val="ru-RU"/>
        </w:rPr>
      </w:pPr>
      <w:r w:rsidRPr="00F1648E">
        <w:rPr>
          <w:b/>
          <w:bCs/>
          <w:i/>
          <w:iCs/>
          <w:lang w:val="mk-MK"/>
        </w:rPr>
        <w:t>Исклучоци од материјалниот опфат</w:t>
      </w:r>
    </w:p>
    <w:p w:rsidR="00CC6B44" w:rsidRPr="006472AF" w:rsidRDefault="00CC6B44" w:rsidP="0052163D">
      <w:pPr>
        <w:pStyle w:val="NormalWeb"/>
        <w:jc w:val="both"/>
        <w:rPr>
          <w:lang w:val="ru-RU"/>
        </w:rPr>
      </w:pPr>
      <w:r w:rsidRPr="006472AF">
        <w:rPr>
          <w:lang w:val="ru-RU"/>
        </w:rPr>
        <w:t xml:space="preserve">1. </w:t>
      </w:r>
      <w:r w:rsidRPr="0052163D">
        <w:rPr>
          <w:lang w:val="mk-MK"/>
        </w:rPr>
        <w:t xml:space="preserve">Ова поглавје не се применува за: </w:t>
      </w:r>
    </w:p>
    <w:p w:rsidR="00CC6B44" w:rsidRPr="006472AF" w:rsidRDefault="00CC6B44" w:rsidP="0052163D">
      <w:pPr>
        <w:pStyle w:val="NormalWeb"/>
        <w:jc w:val="both"/>
        <w:rPr>
          <w:lang w:val="ru-RU"/>
        </w:rPr>
      </w:pPr>
      <w:r w:rsidRPr="0052163D">
        <w:rPr>
          <w:lang w:val="mk-MK"/>
        </w:rPr>
        <w:t xml:space="preserve">(а) индивидуални </w:t>
      </w:r>
      <w:r w:rsidRPr="00F320DF">
        <w:rPr>
          <w:lang w:val="mk-MK"/>
        </w:rPr>
        <w:t>договори за самовработените</w:t>
      </w:r>
      <w:r w:rsidRPr="0052163D">
        <w:rPr>
          <w:lang w:val="mk-MK"/>
        </w:rPr>
        <w:t xml:space="preserve"> лица; </w:t>
      </w:r>
    </w:p>
    <w:p w:rsidR="00CC6B44" w:rsidRPr="006472AF" w:rsidRDefault="00CC6B44" w:rsidP="00B05101">
      <w:pPr>
        <w:pStyle w:val="NormalWeb"/>
        <w:jc w:val="both"/>
        <w:rPr>
          <w:lang w:val="ru-RU"/>
        </w:rPr>
      </w:pPr>
      <w:r w:rsidRPr="0052163D">
        <w:rPr>
          <w:lang w:val="mk-MK"/>
        </w:rPr>
        <w:t xml:space="preserve">(б) шеми </w:t>
      </w:r>
      <w:r>
        <w:rPr>
          <w:lang w:val="mk-MK"/>
        </w:rPr>
        <w:t>со</w:t>
      </w:r>
      <w:r w:rsidRPr="0052163D">
        <w:rPr>
          <w:lang w:val="mk-MK"/>
        </w:rPr>
        <w:t xml:space="preserve"> еден учесник</w:t>
      </w:r>
      <w:r>
        <w:rPr>
          <w:lang w:val="mk-MK"/>
        </w:rPr>
        <w:t xml:space="preserve"> за самовработени лица</w:t>
      </w:r>
      <w:r w:rsidRPr="0052163D">
        <w:rPr>
          <w:lang w:val="mk-MK"/>
        </w:rPr>
        <w:t xml:space="preserve">; </w:t>
      </w:r>
    </w:p>
    <w:p w:rsidR="00CC6B44" w:rsidRPr="006472AF" w:rsidRDefault="00CC6B44" w:rsidP="0052163D">
      <w:pPr>
        <w:pStyle w:val="NormalWeb"/>
        <w:jc w:val="both"/>
        <w:rPr>
          <w:lang w:val="ru-RU"/>
        </w:rPr>
      </w:pPr>
      <w:r w:rsidRPr="00F320DF">
        <w:rPr>
          <w:lang w:val="mk-MK"/>
        </w:rPr>
        <w:t>(в) договори за осигурување во кои работодав</w:t>
      </w:r>
      <w:r>
        <w:rPr>
          <w:lang w:val="mk-MK"/>
        </w:rPr>
        <w:t>ачот</w:t>
      </w:r>
      <w:r w:rsidRPr="00F320DF">
        <w:rPr>
          <w:lang w:val="mk-MK"/>
        </w:rPr>
        <w:t xml:space="preserve"> не е договорна страна, во случај на работници; </w:t>
      </w:r>
    </w:p>
    <w:p w:rsidR="00CC6B44" w:rsidRPr="006472AF" w:rsidRDefault="00CC6B44" w:rsidP="0052163D">
      <w:pPr>
        <w:pStyle w:val="NormalWeb"/>
        <w:jc w:val="both"/>
        <w:rPr>
          <w:lang w:val="ru-RU"/>
        </w:rPr>
      </w:pPr>
      <w:r w:rsidRPr="00F320DF">
        <w:rPr>
          <w:lang w:val="mk-MK"/>
        </w:rPr>
        <w:t xml:space="preserve">(г) факултативни одредби за професионалните </w:t>
      </w:r>
      <w:r>
        <w:rPr>
          <w:lang w:val="mk-MK"/>
        </w:rPr>
        <w:t xml:space="preserve">шеми за </w:t>
      </w:r>
      <w:r w:rsidRPr="00F320DF">
        <w:rPr>
          <w:lang w:val="mk-MK"/>
        </w:rPr>
        <w:t>социјалн</w:t>
      </w:r>
      <w:r>
        <w:rPr>
          <w:lang w:val="mk-MK"/>
        </w:rPr>
        <w:t>а сигурност</w:t>
      </w:r>
      <w:r w:rsidRPr="00F320DF">
        <w:rPr>
          <w:lang w:val="mk-MK"/>
        </w:rPr>
        <w:t xml:space="preserve"> што се нудат поеднинечно на учесниците со цел да им се гарантираат:  </w:t>
      </w:r>
    </w:p>
    <w:p w:rsidR="00CC6B44" w:rsidRPr="006472AF" w:rsidRDefault="00CC6B44" w:rsidP="00B05101">
      <w:pPr>
        <w:pStyle w:val="NormalWeb"/>
        <w:ind w:left="360"/>
        <w:jc w:val="both"/>
        <w:rPr>
          <w:lang w:val="ru-RU"/>
        </w:rPr>
      </w:pPr>
      <w:r w:rsidRPr="00F320DF">
        <w:rPr>
          <w:lang w:val="mk-MK"/>
        </w:rPr>
        <w:t xml:space="preserve">(i) или дополнителни бенифиции, </w:t>
      </w:r>
    </w:p>
    <w:p w:rsidR="00CC6B44" w:rsidRPr="006472AF" w:rsidRDefault="00CC6B44" w:rsidP="00B05101">
      <w:pPr>
        <w:pStyle w:val="NormalWeb"/>
        <w:ind w:left="360"/>
        <w:jc w:val="both"/>
        <w:rPr>
          <w:lang w:val="ru-RU"/>
        </w:rPr>
      </w:pPr>
      <w:r w:rsidRPr="00F320DF">
        <w:rPr>
          <w:lang w:val="mk-MK"/>
        </w:rPr>
        <w:t xml:space="preserve">(ii) или избор на датум на кој вообичаените бенифиции за самовработените лица ќе почнат да се исплаќаат, или избор од неколку бенефиции;  </w:t>
      </w:r>
    </w:p>
    <w:p w:rsidR="00CC6B44" w:rsidRPr="006472AF" w:rsidRDefault="00CC6B44" w:rsidP="0052163D">
      <w:pPr>
        <w:pStyle w:val="NormalWeb"/>
        <w:jc w:val="both"/>
        <w:rPr>
          <w:lang w:val="ru-RU"/>
        </w:rPr>
      </w:pPr>
      <w:r w:rsidRPr="00F320DF">
        <w:rPr>
          <w:lang w:val="mk-MK"/>
        </w:rPr>
        <w:t xml:space="preserve">(д) професионални </w:t>
      </w:r>
      <w:r>
        <w:rPr>
          <w:lang w:val="mk-MK"/>
        </w:rPr>
        <w:t xml:space="preserve">шеми за </w:t>
      </w:r>
      <w:r w:rsidRPr="00F320DF">
        <w:rPr>
          <w:lang w:val="mk-MK"/>
        </w:rPr>
        <w:t>социјалн</w:t>
      </w:r>
      <w:r>
        <w:rPr>
          <w:lang w:val="mk-MK"/>
        </w:rPr>
        <w:t>а сигурност</w:t>
      </w:r>
      <w:r w:rsidRPr="00F320DF">
        <w:rPr>
          <w:lang w:val="mk-MK"/>
        </w:rPr>
        <w:t xml:space="preserve">, доколку бенифициите се финансираат со придонеси што ги плаќа работникот доброволно. </w:t>
      </w:r>
    </w:p>
    <w:p w:rsidR="00CC6B44" w:rsidRPr="006472AF" w:rsidRDefault="00CC6B44" w:rsidP="00412AF7">
      <w:pPr>
        <w:pStyle w:val="NormalWeb"/>
        <w:jc w:val="both"/>
        <w:rPr>
          <w:lang w:val="ru-RU"/>
        </w:rPr>
      </w:pPr>
      <w:r w:rsidRPr="006472AF">
        <w:rPr>
          <w:lang w:val="ru-RU"/>
        </w:rPr>
        <w:t xml:space="preserve">2. </w:t>
      </w:r>
      <w:r w:rsidRPr="00412AF7">
        <w:rPr>
          <w:lang w:val="mk-MK"/>
        </w:rPr>
        <w:t>Ова поглавје не го спречува работодав</w:t>
      </w:r>
      <w:r>
        <w:rPr>
          <w:lang w:val="mk-MK"/>
        </w:rPr>
        <w:t>ачот</w:t>
      </w:r>
      <w:r w:rsidRPr="00412AF7">
        <w:rPr>
          <w:lang w:val="mk-MK"/>
        </w:rPr>
        <w:t xml:space="preserve">, на лицата што веќе ја достигнале возраста за пензионирање со доделување на пензија по сила на професионалните </w:t>
      </w:r>
      <w:r>
        <w:rPr>
          <w:lang w:val="mk-MK"/>
        </w:rPr>
        <w:t xml:space="preserve">шеми за </w:t>
      </w:r>
      <w:r w:rsidRPr="00F320DF">
        <w:rPr>
          <w:lang w:val="mk-MK"/>
        </w:rPr>
        <w:t>социјалн</w:t>
      </w:r>
      <w:r>
        <w:rPr>
          <w:lang w:val="mk-MK"/>
        </w:rPr>
        <w:t>а сигурност</w:t>
      </w:r>
      <w:r w:rsidRPr="00412AF7">
        <w:rPr>
          <w:lang w:val="mk-MK"/>
        </w:rPr>
        <w:t>, но кои сè уште не ја достигнале возраста за доделување на законски утврдената пензија со исполнет работен стаж, да им додели пензи</w:t>
      </w:r>
      <w:r>
        <w:rPr>
          <w:lang w:val="mk-MK"/>
        </w:rPr>
        <w:t>ски додаток</w:t>
      </w:r>
      <w:r w:rsidRPr="00412AF7">
        <w:rPr>
          <w:lang w:val="mk-MK"/>
        </w:rPr>
        <w:t>, со цел да се израмни или приближи вкупната вредност на бенефиции што се исплаќаат на лицата од другиот пол, кои се во иста положба и кои веќе ја достигнале законски утврдената возраст за пензионирање</w:t>
      </w:r>
      <w:r>
        <w:rPr>
          <w:lang w:val="mk-MK"/>
        </w:rPr>
        <w:t>, се додека лицата кои го користат додатокот не ја достигнат законски утврдената возраст за пензионирање</w:t>
      </w:r>
      <w:r w:rsidRPr="00412AF7">
        <w:rPr>
          <w:lang w:val="mk-MK"/>
        </w:rPr>
        <w:t xml:space="preserve">.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9</w:t>
      </w:r>
    </w:p>
    <w:p w:rsidR="00CC6B44" w:rsidRPr="00F1648E" w:rsidRDefault="00CC6B44" w:rsidP="000E037A">
      <w:pPr>
        <w:pStyle w:val="NormalWeb"/>
        <w:jc w:val="center"/>
        <w:rPr>
          <w:b/>
          <w:bCs/>
          <w:i/>
          <w:iCs/>
          <w:lang w:val="ru-RU"/>
        </w:rPr>
      </w:pPr>
      <w:r w:rsidRPr="00F1648E">
        <w:rPr>
          <w:b/>
          <w:bCs/>
          <w:i/>
          <w:iCs/>
          <w:lang w:val="mk-MK"/>
        </w:rPr>
        <w:t>Примери на дискриминација</w:t>
      </w:r>
    </w:p>
    <w:p w:rsidR="00CC6B44" w:rsidRPr="006472AF" w:rsidRDefault="00CC6B44" w:rsidP="00B07E28">
      <w:pPr>
        <w:pStyle w:val="NormalWeb"/>
        <w:jc w:val="both"/>
        <w:rPr>
          <w:lang w:val="ru-RU"/>
        </w:rPr>
      </w:pPr>
      <w:r w:rsidRPr="006472AF">
        <w:rPr>
          <w:lang w:val="ru-RU"/>
        </w:rPr>
        <w:t xml:space="preserve">1. </w:t>
      </w:r>
      <w:r w:rsidRPr="00B07E28">
        <w:rPr>
          <w:lang w:val="mk-MK"/>
        </w:rPr>
        <w:t xml:space="preserve">Одредбите, спротивни на принципот на еднаков третман се оние што се засновани на полот, било директно или индиректно, при: </w:t>
      </w:r>
    </w:p>
    <w:p w:rsidR="00CC6B44" w:rsidRPr="006472AF" w:rsidRDefault="00CC6B44" w:rsidP="00F41CEB">
      <w:pPr>
        <w:pStyle w:val="NormalWeb"/>
        <w:ind w:left="480"/>
        <w:jc w:val="both"/>
        <w:rPr>
          <w:lang w:val="ru-RU"/>
        </w:rPr>
      </w:pPr>
      <w:r w:rsidRPr="00B07E28">
        <w:rPr>
          <w:lang w:val="mk-MK"/>
        </w:rPr>
        <w:t xml:space="preserve">(а) одредување на лица што можат да учествуваат во професионалните </w:t>
      </w:r>
      <w:r>
        <w:rPr>
          <w:lang w:val="mk-MK"/>
        </w:rPr>
        <w:t xml:space="preserve">шеми за </w:t>
      </w:r>
      <w:r w:rsidRPr="00F320DF">
        <w:rPr>
          <w:lang w:val="mk-MK"/>
        </w:rPr>
        <w:t>социјалн</w:t>
      </w:r>
      <w:r>
        <w:rPr>
          <w:lang w:val="mk-MK"/>
        </w:rPr>
        <w:t>а сигурност</w:t>
      </w:r>
      <w:r w:rsidRPr="00B07E28">
        <w:rPr>
          <w:lang w:val="mk-MK"/>
        </w:rPr>
        <w:t xml:space="preserve">;  </w:t>
      </w:r>
    </w:p>
    <w:p w:rsidR="00CC6B44" w:rsidRPr="006472AF" w:rsidRDefault="00CC6B44" w:rsidP="00BE4E60">
      <w:pPr>
        <w:pStyle w:val="NormalWeb"/>
        <w:ind w:left="480"/>
        <w:jc w:val="both"/>
        <w:rPr>
          <w:lang w:val="ru-RU"/>
        </w:rPr>
      </w:pPr>
      <w:r w:rsidRPr="00B07E28">
        <w:rPr>
          <w:lang w:val="mk-MK"/>
        </w:rPr>
        <w:t xml:space="preserve">(б) одредување на задолжителен или доброволен карактер на </w:t>
      </w:r>
      <w:r>
        <w:rPr>
          <w:lang w:val="mk-MK"/>
        </w:rPr>
        <w:t xml:space="preserve">учеството во </w:t>
      </w:r>
      <w:r w:rsidRPr="00B07E28">
        <w:rPr>
          <w:lang w:val="mk-MK"/>
        </w:rPr>
        <w:t>професионалн</w:t>
      </w:r>
      <w:r>
        <w:rPr>
          <w:lang w:val="mk-MK"/>
        </w:rPr>
        <w:t>ите</w:t>
      </w:r>
      <w:r w:rsidRPr="00B07E28">
        <w:rPr>
          <w:lang w:val="mk-MK"/>
        </w:rPr>
        <w:t xml:space="preserve"> </w:t>
      </w:r>
      <w:r>
        <w:rPr>
          <w:lang w:val="mk-MK"/>
        </w:rPr>
        <w:t xml:space="preserve">шеми за </w:t>
      </w:r>
      <w:r w:rsidRPr="00F320DF">
        <w:rPr>
          <w:lang w:val="mk-MK"/>
        </w:rPr>
        <w:t>социјалн</w:t>
      </w:r>
      <w:r>
        <w:rPr>
          <w:lang w:val="mk-MK"/>
        </w:rPr>
        <w:t>а сигурност</w:t>
      </w:r>
      <w:r w:rsidRPr="00B07E28">
        <w:rPr>
          <w:lang w:val="mk-MK"/>
        </w:rPr>
        <w:t xml:space="preserve">; </w:t>
      </w:r>
    </w:p>
    <w:p w:rsidR="00CC6B44" w:rsidRPr="006472AF" w:rsidRDefault="00CC6B44" w:rsidP="00F41CEB">
      <w:pPr>
        <w:pStyle w:val="NormalWeb"/>
        <w:ind w:left="480"/>
        <w:jc w:val="both"/>
        <w:rPr>
          <w:lang w:val="ru-RU"/>
        </w:rPr>
      </w:pPr>
      <w:r w:rsidRPr="00B07E28">
        <w:rPr>
          <w:lang w:val="mk-MK"/>
        </w:rPr>
        <w:lastRenderedPageBreak/>
        <w:t xml:space="preserve">(в) утврдување на различни прописи за возраста на која се пристапува во шемата или минимален период за вработување или членство во шемата што е потребна за да се добијат тие бенифиции; </w:t>
      </w:r>
    </w:p>
    <w:p w:rsidR="00CC6B44" w:rsidRPr="006472AF" w:rsidRDefault="00CC6B44" w:rsidP="00505B33">
      <w:pPr>
        <w:pStyle w:val="NormalWeb"/>
        <w:ind w:left="480"/>
        <w:jc w:val="both"/>
        <w:rPr>
          <w:lang w:val="ru-RU"/>
        </w:rPr>
      </w:pPr>
      <w:r w:rsidRPr="00B07E28">
        <w:rPr>
          <w:lang w:val="mk-MK"/>
        </w:rPr>
        <w:t>(г) утврдување различни прописи, освен оние утврдени во точките (ж) и (</w:t>
      </w:r>
      <w:r>
        <w:rPr>
          <w:lang w:val="mk-MK"/>
        </w:rPr>
        <w:t>ѕ</w:t>
      </w:r>
      <w:r w:rsidRPr="00B07E28">
        <w:rPr>
          <w:lang w:val="mk-MK"/>
        </w:rPr>
        <w:t>) за надомест</w:t>
      </w:r>
      <w:r>
        <w:rPr>
          <w:lang w:val="mk-MK"/>
        </w:rPr>
        <w:t>ување</w:t>
      </w:r>
      <w:r w:rsidRPr="00B07E28">
        <w:rPr>
          <w:lang w:val="mk-MK"/>
        </w:rPr>
        <w:t xml:space="preserve"> на придонесите кога работникот ја напушта шемата без да ги исполни условите со кои му се гарантира право на долготрајни бенифиции; </w:t>
      </w:r>
    </w:p>
    <w:p w:rsidR="00CC6B44" w:rsidRPr="006472AF" w:rsidRDefault="00CC6B44" w:rsidP="00BE4E60">
      <w:pPr>
        <w:pStyle w:val="NormalWeb"/>
        <w:ind w:left="480"/>
        <w:jc w:val="both"/>
        <w:rPr>
          <w:lang w:val="ru-RU"/>
        </w:rPr>
      </w:pPr>
      <w:r w:rsidRPr="00B07E28">
        <w:rPr>
          <w:lang w:val="mk-MK"/>
        </w:rPr>
        <w:t>(</w:t>
      </w:r>
      <w:r>
        <w:rPr>
          <w:lang w:val="mk-MK"/>
        </w:rPr>
        <w:t>д</w:t>
      </w:r>
      <w:r w:rsidRPr="00B07E28">
        <w:rPr>
          <w:lang w:val="mk-MK"/>
        </w:rPr>
        <w:t xml:space="preserve">) утврдување на различни услови за доделување бенифиции или скратување на таквите бенифиции на работници од еден или друг пол; </w:t>
      </w:r>
    </w:p>
    <w:p w:rsidR="00CC6B44" w:rsidRPr="006472AF" w:rsidRDefault="00CC6B44" w:rsidP="00BE4E60">
      <w:pPr>
        <w:pStyle w:val="NormalWeb"/>
        <w:ind w:left="480"/>
        <w:jc w:val="both"/>
        <w:rPr>
          <w:lang w:val="ru-RU"/>
        </w:rPr>
      </w:pPr>
      <w:r w:rsidRPr="00B07E28">
        <w:rPr>
          <w:lang w:val="mk-MK"/>
        </w:rPr>
        <w:t>(</w:t>
      </w:r>
      <w:r>
        <w:rPr>
          <w:lang w:val="mk-MK"/>
        </w:rPr>
        <w:t>ѓ</w:t>
      </w:r>
      <w:r w:rsidRPr="00B07E28">
        <w:rPr>
          <w:lang w:val="mk-MK"/>
        </w:rPr>
        <w:t xml:space="preserve">) утврдување на различни возрасти за пензионирање; </w:t>
      </w:r>
    </w:p>
    <w:p w:rsidR="00CC6B44" w:rsidRPr="006472AF" w:rsidRDefault="00CC6B44" w:rsidP="00F41CEB">
      <w:pPr>
        <w:pStyle w:val="NormalWeb"/>
        <w:ind w:left="480"/>
        <w:jc w:val="both"/>
        <w:rPr>
          <w:lang w:val="ru-RU"/>
        </w:rPr>
      </w:pPr>
      <w:r w:rsidRPr="0086272D">
        <w:rPr>
          <w:lang w:val="mk-MK"/>
        </w:rPr>
        <w:t>(</w:t>
      </w:r>
      <w:r>
        <w:rPr>
          <w:lang w:val="mk-MK"/>
        </w:rPr>
        <w:t>е</w:t>
      </w:r>
      <w:r w:rsidRPr="0086272D">
        <w:rPr>
          <w:lang w:val="mk-MK"/>
        </w:rPr>
        <w:t xml:space="preserve">) </w:t>
      </w:r>
      <w:r w:rsidRPr="00412AF7">
        <w:rPr>
          <w:lang w:val="mk-MK"/>
        </w:rPr>
        <w:t>одложување на задржувањето или стекнувањето</w:t>
      </w:r>
      <w:r w:rsidRPr="0086272D">
        <w:rPr>
          <w:lang w:val="mk-MK"/>
        </w:rPr>
        <w:t xml:space="preserve"> на правото на</w:t>
      </w:r>
      <w:r>
        <w:rPr>
          <w:lang w:val="mk-MK"/>
        </w:rPr>
        <w:t xml:space="preserve"> породилно отсуство или отсуствата по</w:t>
      </w:r>
      <w:r w:rsidRPr="0086272D">
        <w:rPr>
          <w:lang w:val="mk-MK"/>
        </w:rPr>
        <w:t>ради семејни причини</w:t>
      </w:r>
      <w:r>
        <w:rPr>
          <w:lang w:val="mk-MK"/>
        </w:rPr>
        <w:t xml:space="preserve"> што се </w:t>
      </w:r>
      <w:r w:rsidRPr="0086272D">
        <w:rPr>
          <w:lang w:val="mk-MK"/>
        </w:rPr>
        <w:t xml:space="preserve"> до</w:t>
      </w:r>
      <w:r>
        <w:rPr>
          <w:lang w:val="mk-MK"/>
        </w:rPr>
        <w:t xml:space="preserve">делени со закон или спогодба и кои </w:t>
      </w:r>
      <w:r w:rsidRPr="0086272D">
        <w:rPr>
          <w:lang w:val="mk-MK"/>
        </w:rPr>
        <w:t>ги плаќа работодав</w:t>
      </w:r>
      <w:r>
        <w:rPr>
          <w:lang w:val="mk-MK"/>
        </w:rPr>
        <w:t>ачот</w:t>
      </w:r>
      <w:r w:rsidRPr="0086272D">
        <w:rPr>
          <w:lang w:val="mk-MK"/>
        </w:rPr>
        <w:t xml:space="preserve">; </w:t>
      </w:r>
    </w:p>
    <w:p w:rsidR="00CC6B44" w:rsidRPr="006472AF" w:rsidRDefault="00CC6B44" w:rsidP="00BE4E60">
      <w:pPr>
        <w:pStyle w:val="NormalWeb"/>
        <w:ind w:left="480"/>
        <w:jc w:val="both"/>
        <w:rPr>
          <w:lang w:val="ru-RU"/>
        </w:rPr>
      </w:pPr>
      <w:r w:rsidRPr="00AA7269">
        <w:rPr>
          <w:lang w:val="mk-MK"/>
        </w:rPr>
        <w:t>(</w:t>
      </w:r>
      <w:r>
        <w:rPr>
          <w:lang w:val="mk-MK"/>
        </w:rPr>
        <w:t>ж</w:t>
      </w:r>
      <w:r w:rsidRPr="00AA7269">
        <w:rPr>
          <w:lang w:val="mk-MK"/>
        </w:rPr>
        <w:t xml:space="preserve">) определување на различни </w:t>
      </w:r>
      <w:r w:rsidRPr="00412AF7">
        <w:rPr>
          <w:lang w:val="mk-MK"/>
        </w:rPr>
        <w:t xml:space="preserve">нивоа </w:t>
      </w:r>
      <w:r>
        <w:rPr>
          <w:lang w:val="mk-MK"/>
        </w:rPr>
        <w:t>н</w:t>
      </w:r>
      <w:r w:rsidRPr="00412AF7">
        <w:rPr>
          <w:lang w:val="mk-MK"/>
        </w:rPr>
        <w:t xml:space="preserve">а бенифиции, со исклучок на наопходните за пресметување на актуарските фактори што се разликуваат според полот во случај на шеми </w:t>
      </w:r>
      <w:r>
        <w:rPr>
          <w:lang w:val="mk-MK"/>
        </w:rPr>
        <w:t>со дефинирани</w:t>
      </w:r>
      <w:r w:rsidRPr="00412AF7">
        <w:rPr>
          <w:lang w:val="mk-MK"/>
        </w:rPr>
        <w:t xml:space="preserve"> придонеси</w:t>
      </w:r>
      <w:r>
        <w:rPr>
          <w:lang w:val="mk-MK"/>
        </w:rPr>
        <w:t xml:space="preserve">; во случај на финансирани шеми со дефинирани бенефиции, </w:t>
      </w:r>
      <w:r w:rsidRPr="00412AF7">
        <w:rPr>
          <w:lang w:val="mk-MK"/>
        </w:rPr>
        <w:t xml:space="preserve"> одредени елементи можат да бидат нееднакви кога нееднаквоста на сумите произлегува од влијанието на примената на актуарските фактори што се разликуваат според полот, во времето кога се спроведува финансирањето на шемата;  </w:t>
      </w:r>
    </w:p>
    <w:p w:rsidR="00CC6B44" w:rsidRPr="006472AF" w:rsidRDefault="00CC6B44" w:rsidP="00BE4E60">
      <w:pPr>
        <w:pStyle w:val="NormalWeb"/>
        <w:ind w:left="480"/>
        <w:jc w:val="both"/>
        <w:rPr>
          <w:lang w:val="ru-RU"/>
        </w:rPr>
      </w:pPr>
      <w:r w:rsidRPr="00AA7269">
        <w:rPr>
          <w:lang w:val="mk-MK"/>
        </w:rPr>
        <w:t>(</w:t>
      </w:r>
      <w:r>
        <w:rPr>
          <w:lang w:val="mk-MK"/>
        </w:rPr>
        <w:t>з</w:t>
      </w:r>
      <w:r w:rsidRPr="00AA7269">
        <w:rPr>
          <w:lang w:val="mk-MK"/>
        </w:rPr>
        <w:t xml:space="preserve">) определување на </w:t>
      </w:r>
      <w:r w:rsidRPr="00412AF7">
        <w:rPr>
          <w:lang w:val="mk-MK"/>
        </w:rPr>
        <w:t xml:space="preserve">различни нивоа за придонеси на работниците; </w:t>
      </w:r>
    </w:p>
    <w:p w:rsidR="00CC6B44" w:rsidRPr="006472AF" w:rsidRDefault="00CC6B44" w:rsidP="00BE4E60">
      <w:pPr>
        <w:pStyle w:val="NormalWeb"/>
        <w:ind w:left="480"/>
        <w:jc w:val="both"/>
        <w:rPr>
          <w:lang w:val="ru-RU"/>
        </w:rPr>
      </w:pPr>
      <w:r w:rsidRPr="00412AF7">
        <w:rPr>
          <w:lang w:val="mk-MK"/>
        </w:rPr>
        <w:t>(</w:t>
      </w:r>
      <w:r>
        <w:rPr>
          <w:lang w:val="mk-MK"/>
        </w:rPr>
        <w:t>ѕ</w:t>
      </w:r>
      <w:r w:rsidRPr="00412AF7">
        <w:rPr>
          <w:lang w:val="mk-MK"/>
        </w:rPr>
        <w:t xml:space="preserve">) определување на различни нивоа за придонеси на </w:t>
      </w:r>
      <w:r>
        <w:rPr>
          <w:lang w:val="mk-MK"/>
        </w:rPr>
        <w:t>работодавачите</w:t>
      </w:r>
      <w:r w:rsidRPr="00412AF7">
        <w:rPr>
          <w:lang w:val="mk-MK"/>
        </w:rPr>
        <w:t xml:space="preserve">, со исклучок на:  </w:t>
      </w:r>
    </w:p>
    <w:p w:rsidR="00CC6B44" w:rsidRPr="006472AF" w:rsidRDefault="00CC6B44" w:rsidP="00BE4E60">
      <w:pPr>
        <w:pStyle w:val="NormalWeb"/>
        <w:ind w:left="1200"/>
        <w:jc w:val="both"/>
        <w:rPr>
          <w:lang w:val="ru-RU"/>
        </w:rPr>
      </w:pPr>
      <w:r w:rsidRPr="00412AF7">
        <w:rPr>
          <w:lang w:val="mk-MK"/>
        </w:rPr>
        <w:t xml:space="preserve">(i) во случај на шеми </w:t>
      </w:r>
      <w:r>
        <w:rPr>
          <w:lang w:val="mk-MK"/>
        </w:rPr>
        <w:t xml:space="preserve">со дефинирани </w:t>
      </w:r>
      <w:r w:rsidRPr="00412AF7">
        <w:rPr>
          <w:lang w:val="mk-MK"/>
        </w:rPr>
        <w:t xml:space="preserve"> придонеси, ако целта е да се изедначи износот на крајните бениф</w:t>
      </w:r>
      <w:r w:rsidRPr="00AA7269">
        <w:rPr>
          <w:lang w:val="mk-MK"/>
        </w:rPr>
        <w:t xml:space="preserve">иции или износите да бидат приближно еднакви за двата пола;   </w:t>
      </w:r>
    </w:p>
    <w:p w:rsidR="00CC6B44" w:rsidRPr="006472AF" w:rsidRDefault="00CC6B44" w:rsidP="00BE4E60">
      <w:pPr>
        <w:pStyle w:val="NormalWeb"/>
        <w:ind w:left="1200"/>
        <w:jc w:val="both"/>
        <w:rPr>
          <w:lang w:val="ru-RU"/>
        </w:rPr>
      </w:pPr>
      <w:r w:rsidRPr="00AA7269">
        <w:rPr>
          <w:lang w:val="mk-MK"/>
        </w:rPr>
        <w:t>(ii) во случај на капитално-</w:t>
      </w:r>
      <w:r>
        <w:rPr>
          <w:lang w:val="mk-MK"/>
        </w:rPr>
        <w:t>финансирани</w:t>
      </w:r>
      <w:r w:rsidRPr="00AA7269">
        <w:rPr>
          <w:lang w:val="mk-MK"/>
        </w:rPr>
        <w:t xml:space="preserve"> шеми </w:t>
      </w:r>
      <w:r>
        <w:rPr>
          <w:lang w:val="mk-MK"/>
        </w:rPr>
        <w:t xml:space="preserve">со дефинирани </w:t>
      </w:r>
      <w:r w:rsidRPr="00AA7269">
        <w:rPr>
          <w:lang w:val="mk-MK"/>
        </w:rPr>
        <w:t xml:space="preserve">бенифиции во </w:t>
      </w:r>
      <w:r w:rsidRPr="00412AF7">
        <w:rPr>
          <w:lang w:val="mk-MK"/>
        </w:rPr>
        <w:t>кои придонесите</w:t>
      </w:r>
      <w:r w:rsidRPr="00AA7269">
        <w:rPr>
          <w:lang w:val="mk-MK"/>
        </w:rPr>
        <w:t xml:space="preserve"> што ги плаќа работодав</w:t>
      </w:r>
      <w:r>
        <w:rPr>
          <w:lang w:val="mk-MK"/>
        </w:rPr>
        <w:t>ачот</w:t>
      </w:r>
      <w:r w:rsidRPr="00AA7269">
        <w:rPr>
          <w:lang w:val="mk-MK"/>
        </w:rPr>
        <w:t xml:space="preserve"> се наменети за да се обезбеди соодветност на средствата што се неопходни за покривање на трошоците од определените бенифиции;  </w:t>
      </w:r>
    </w:p>
    <w:p w:rsidR="00CC6B44" w:rsidRPr="006472AF" w:rsidRDefault="00CC6B44" w:rsidP="00505B33">
      <w:pPr>
        <w:pStyle w:val="NormalWeb"/>
        <w:jc w:val="both"/>
        <w:rPr>
          <w:lang w:val="ru-RU"/>
        </w:rPr>
      </w:pPr>
      <w:r w:rsidRPr="00AA7269">
        <w:rPr>
          <w:lang w:val="mk-MK"/>
        </w:rPr>
        <w:t>(и) утврдување на различни стандарди или стандарди што се применливи само за работниците од одреден пол, со исклучок на предвиденото во точките (ж) и (</w:t>
      </w:r>
      <w:r>
        <w:rPr>
          <w:lang w:val="mk-MK"/>
        </w:rPr>
        <w:t>ѕ</w:t>
      </w:r>
      <w:r w:rsidRPr="00AA7269">
        <w:rPr>
          <w:lang w:val="mk-MK"/>
        </w:rPr>
        <w:t xml:space="preserve">), во поглед на гаранцијата или запазувањето на правото на бенифициите кога работникот ја напушта шемата.  </w:t>
      </w:r>
    </w:p>
    <w:p w:rsidR="00CC6B44" w:rsidRPr="006472AF" w:rsidRDefault="00CC6B44" w:rsidP="00505B33">
      <w:pPr>
        <w:pStyle w:val="NormalWeb"/>
        <w:jc w:val="both"/>
        <w:rPr>
          <w:lang w:val="ru-RU"/>
        </w:rPr>
      </w:pPr>
      <w:r w:rsidRPr="006472AF">
        <w:rPr>
          <w:lang w:val="ru-RU"/>
        </w:rPr>
        <w:t xml:space="preserve">2. </w:t>
      </w:r>
      <w:r w:rsidRPr="00AA7269">
        <w:rPr>
          <w:lang w:val="mk-MK"/>
        </w:rPr>
        <w:t xml:space="preserve">Кога доделувањето на бенифиции </w:t>
      </w:r>
      <w:r>
        <w:rPr>
          <w:lang w:val="mk-MK"/>
        </w:rPr>
        <w:t xml:space="preserve">во рамки на </w:t>
      </w:r>
      <w:r w:rsidRPr="00AA7269">
        <w:rPr>
          <w:lang w:val="mk-MK"/>
        </w:rPr>
        <w:t xml:space="preserve">опфатот на ова поглавје, се врши по проценка на органите што управуваат со шемата, а тие треба да се сообразни со принципот на еднаков третман.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lastRenderedPageBreak/>
        <w:t>Член 10</w:t>
      </w:r>
    </w:p>
    <w:p w:rsidR="00CC6B44" w:rsidRPr="00F1648E" w:rsidRDefault="00CC6B44" w:rsidP="000E037A">
      <w:pPr>
        <w:pStyle w:val="NormalWeb"/>
        <w:jc w:val="center"/>
        <w:rPr>
          <w:b/>
          <w:bCs/>
          <w:i/>
          <w:iCs/>
          <w:lang w:val="ru-RU"/>
        </w:rPr>
      </w:pPr>
      <w:r w:rsidRPr="00F1648E">
        <w:rPr>
          <w:b/>
          <w:bCs/>
          <w:i/>
          <w:iCs/>
          <w:lang w:val="mk-MK"/>
        </w:rPr>
        <w:t>Спроведување во однос на самовработените лица</w:t>
      </w:r>
    </w:p>
    <w:p w:rsidR="00CC6B44" w:rsidRPr="006472AF" w:rsidRDefault="00CC6B44" w:rsidP="00875E3F">
      <w:pPr>
        <w:pStyle w:val="NormalWeb"/>
        <w:jc w:val="both"/>
        <w:rPr>
          <w:lang w:val="ru-RU"/>
        </w:rPr>
      </w:pPr>
      <w:r w:rsidRPr="006472AF">
        <w:rPr>
          <w:lang w:val="ru-RU"/>
        </w:rPr>
        <w:t xml:space="preserve">1. </w:t>
      </w:r>
      <w:r w:rsidRPr="00412AF7">
        <w:rPr>
          <w:lang w:val="mk-MK"/>
        </w:rPr>
        <w:t>З</w:t>
      </w:r>
      <w:r>
        <w:rPr>
          <w:lang w:val="mk-MK"/>
        </w:rPr>
        <w:t>е</w:t>
      </w:r>
      <w:r w:rsidRPr="00412AF7">
        <w:rPr>
          <w:lang w:val="mk-MK"/>
        </w:rPr>
        <w:t xml:space="preserve">мјите-членки </w:t>
      </w:r>
      <w:r>
        <w:rPr>
          <w:lang w:val="mk-MK"/>
        </w:rPr>
        <w:t xml:space="preserve">ќе </w:t>
      </w:r>
      <w:r w:rsidRPr="00412AF7">
        <w:rPr>
          <w:lang w:val="mk-MK"/>
        </w:rPr>
        <w:t xml:space="preserve">ги преземат неопходните мерки за ревидирање на одредбите за професионалните </w:t>
      </w:r>
      <w:r>
        <w:rPr>
          <w:lang w:val="mk-MK"/>
        </w:rPr>
        <w:t xml:space="preserve">шеми за </w:t>
      </w:r>
      <w:r w:rsidRPr="00F320DF">
        <w:rPr>
          <w:lang w:val="mk-MK"/>
        </w:rPr>
        <w:t>социјалн</w:t>
      </w:r>
      <w:r>
        <w:rPr>
          <w:lang w:val="mk-MK"/>
        </w:rPr>
        <w:t xml:space="preserve">а сигурност </w:t>
      </w:r>
      <w:r w:rsidRPr="00412AF7">
        <w:rPr>
          <w:lang w:val="mk-MK"/>
        </w:rPr>
        <w:t xml:space="preserve">за самовработени лица што се спротивни на принципот на еднаков третман најдоцна до 1 јануари 1993, а земјите-членки што пристапиле по овој датум, на датумот од кој Директивата 86/375/ЕЕЗ се применува на нејзината територија.  </w:t>
      </w:r>
    </w:p>
    <w:p w:rsidR="00CC6B44" w:rsidRPr="006472AF" w:rsidRDefault="00CC6B44" w:rsidP="00E72C88">
      <w:pPr>
        <w:pStyle w:val="NormalWeb"/>
        <w:jc w:val="both"/>
        <w:rPr>
          <w:lang w:val="ru-RU"/>
        </w:rPr>
      </w:pPr>
      <w:r w:rsidRPr="006472AF">
        <w:rPr>
          <w:lang w:val="ru-RU"/>
        </w:rPr>
        <w:t xml:space="preserve">2. </w:t>
      </w:r>
      <w:r w:rsidRPr="00412AF7">
        <w:rPr>
          <w:lang w:val="mk-MK"/>
        </w:rPr>
        <w:t xml:space="preserve">Ова поглавје не ја исклучува можноста правата и обврските што произлегуваат од периодот на членство во одредена професионална </w:t>
      </w:r>
      <w:r>
        <w:rPr>
          <w:lang w:val="mk-MK"/>
        </w:rPr>
        <w:t xml:space="preserve">шема за </w:t>
      </w:r>
      <w:r w:rsidRPr="00F320DF">
        <w:rPr>
          <w:lang w:val="mk-MK"/>
        </w:rPr>
        <w:t>социјалн</w:t>
      </w:r>
      <w:r>
        <w:rPr>
          <w:lang w:val="mk-MK"/>
        </w:rPr>
        <w:t>а сигурност</w:t>
      </w:r>
      <w:r w:rsidRPr="00412AF7">
        <w:rPr>
          <w:lang w:val="mk-MK"/>
        </w:rPr>
        <w:t xml:space="preserve"> за самовработени лица пред ревидирањето на шемата, да останат предмет на шемите што </w:t>
      </w:r>
      <w:r>
        <w:rPr>
          <w:lang w:val="mk-MK"/>
        </w:rPr>
        <w:t>биле</w:t>
      </w:r>
      <w:r w:rsidRPr="00412AF7">
        <w:rPr>
          <w:lang w:val="mk-MK"/>
        </w:rPr>
        <w:t xml:space="preserve"> на сила во тој период.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11</w:t>
      </w:r>
    </w:p>
    <w:p w:rsidR="00CC6B44" w:rsidRPr="00F1648E" w:rsidRDefault="00CC6B44" w:rsidP="000E037A">
      <w:pPr>
        <w:pStyle w:val="NormalWeb"/>
        <w:jc w:val="center"/>
        <w:rPr>
          <w:b/>
          <w:bCs/>
          <w:i/>
          <w:iCs/>
          <w:lang w:val="ru-RU"/>
        </w:rPr>
      </w:pPr>
      <w:r w:rsidRPr="00F1648E">
        <w:rPr>
          <w:b/>
          <w:bCs/>
          <w:i/>
          <w:iCs/>
          <w:lang w:val="mk-MK"/>
        </w:rPr>
        <w:t>Можност за одложување на спроведувањето во однос на самовработените лица</w:t>
      </w:r>
    </w:p>
    <w:p w:rsidR="00CC6B44" w:rsidRPr="006472AF" w:rsidRDefault="00CC6B44" w:rsidP="00E72C88">
      <w:pPr>
        <w:pStyle w:val="NormalWeb"/>
        <w:jc w:val="both"/>
        <w:rPr>
          <w:lang w:val="ru-RU"/>
        </w:rPr>
      </w:pPr>
      <w:r w:rsidRPr="00412AF7">
        <w:rPr>
          <w:lang w:val="mk-MK"/>
        </w:rPr>
        <w:t xml:space="preserve">Во однос на професионалните </w:t>
      </w:r>
      <w:r>
        <w:rPr>
          <w:lang w:val="mk-MK"/>
        </w:rPr>
        <w:t xml:space="preserve">шеми за </w:t>
      </w:r>
      <w:r w:rsidRPr="00F320DF">
        <w:rPr>
          <w:lang w:val="mk-MK"/>
        </w:rPr>
        <w:t>социјалн</w:t>
      </w:r>
      <w:r>
        <w:rPr>
          <w:lang w:val="mk-MK"/>
        </w:rPr>
        <w:t>а сигурност</w:t>
      </w:r>
      <w:r w:rsidRPr="00412AF7">
        <w:rPr>
          <w:lang w:val="mk-MK"/>
        </w:rPr>
        <w:t xml:space="preserve"> за самовработените лица, земјите-членки можат да одложат задолжителна примена на принципот на еднаков третман во поглед на: </w:t>
      </w:r>
    </w:p>
    <w:p w:rsidR="00CC6B44" w:rsidRPr="006472AF" w:rsidRDefault="00CC6B44" w:rsidP="00875E3F">
      <w:pPr>
        <w:pStyle w:val="NormalWeb"/>
        <w:jc w:val="both"/>
        <w:rPr>
          <w:lang w:val="ru-RU"/>
        </w:rPr>
      </w:pPr>
      <w:r w:rsidRPr="00F6599F">
        <w:rPr>
          <w:lang w:val="mk-MK"/>
        </w:rPr>
        <w:t xml:space="preserve">(а) определување на возраста за пензионирање за добивање на старосна пензија или пензија со наполнет стаж, како и евентуални последици кои можат да произлезат </w:t>
      </w:r>
      <w:r>
        <w:rPr>
          <w:lang w:val="mk-MK"/>
        </w:rPr>
        <w:t xml:space="preserve">за </w:t>
      </w:r>
      <w:r w:rsidRPr="00F6599F">
        <w:rPr>
          <w:lang w:val="mk-MK"/>
        </w:rPr>
        <w:t xml:space="preserve">други бенифиции:  </w:t>
      </w:r>
    </w:p>
    <w:p w:rsidR="00CC6B44" w:rsidRPr="006472AF" w:rsidRDefault="00CC6B44" w:rsidP="00875E3F">
      <w:pPr>
        <w:pStyle w:val="NormalWeb"/>
        <w:ind w:left="600"/>
        <w:jc w:val="both"/>
        <w:rPr>
          <w:lang w:val="ru-RU"/>
        </w:rPr>
      </w:pPr>
      <w:r w:rsidRPr="00F6599F">
        <w:rPr>
          <w:lang w:val="mk-MK"/>
        </w:rPr>
        <w:t xml:space="preserve">(i) или до датумот на кој таквата еднаквост е постигната во законски утврдените шеми, </w:t>
      </w:r>
    </w:p>
    <w:p w:rsidR="00CC6B44" w:rsidRPr="006472AF" w:rsidRDefault="00CC6B44" w:rsidP="00875E3F">
      <w:pPr>
        <w:pStyle w:val="NormalWeb"/>
        <w:ind w:left="600"/>
        <w:jc w:val="both"/>
        <w:rPr>
          <w:lang w:val="ru-RU"/>
        </w:rPr>
      </w:pPr>
      <w:r w:rsidRPr="00F6599F">
        <w:rPr>
          <w:lang w:val="mk-MK"/>
        </w:rPr>
        <w:t xml:space="preserve">(ii) </w:t>
      </w:r>
      <w:r w:rsidRPr="00412AF7">
        <w:rPr>
          <w:lang w:val="mk-MK"/>
        </w:rPr>
        <w:t xml:space="preserve">или најдоцна додека таквата еднаквост е пропишана со директива; </w:t>
      </w:r>
    </w:p>
    <w:p w:rsidR="00CC6B44" w:rsidRPr="006472AF" w:rsidRDefault="00CC6B44" w:rsidP="00875E3F">
      <w:pPr>
        <w:pStyle w:val="NormalWeb"/>
        <w:jc w:val="both"/>
        <w:rPr>
          <w:lang w:val="ru-RU"/>
        </w:rPr>
      </w:pPr>
      <w:r w:rsidRPr="00412AF7">
        <w:rPr>
          <w:lang w:val="mk-MK"/>
        </w:rPr>
        <w:t xml:space="preserve">(б) </w:t>
      </w:r>
      <w:r>
        <w:rPr>
          <w:lang w:val="mk-MK"/>
        </w:rPr>
        <w:t>семејните</w:t>
      </w:r>
      <w:r w:rsidRPr="00412AF7">
        <w:rPr>
          <w:lang w:val="mk-MK"/>
        </w:rPr>
        <w:t xml:space="preserve"> пензии, додека зако</w:t>
      </w:r>
      <w:r>
        <w:rPr>
          <w:lang w:val="mk-MK"/>
        </w:rPr>
        <w:t>но</w:t>
      </w:r>
      <w:r w:rsidRPr="00412AF7">
        <w:rPr>
          <w:lang w:val="mk-MK"/>
        </w:rPr>
        <w:t xml:space="preserve">давството на Заедницата не го утврди принципот </w:t>
      </w:r>
      <w:r>
        <w:rPr>
          <w:lang w:val="mk-MK"/>
        </w:rPr>
        <w:t>н</w:t>
      </w:r>
      <w:r w:rsidRPr="00412AF7">
        <w:rPr>
          <w:lang w:val="mk-MK"/>
        </w:rPr>
        <w:t xml:space="preserve">а еднаков третман во законски утврдените </w:t>
      </w:r>
      <w:r>
        <w:rPr>
          <w:lang w:val="mk-MK"/>
        </w:rPr>
        <w:t xml:space="preserve">шеми за </w:t>
      </w:r>
      <w:r w:rsidRPr="00F320DF">
        <w:rPr>
          <w:lang w:val="mk-MK"/>
        </w:rPr>
        <w:t>социјалн</w:t>
      </w:r>
      <w:r>
        <w:rPr>
          <w:lang w:val="mk-MK"/>
        </w:rPr>
        <w:t>а сигурност</w:t>
      </w:r>
      <w:r w:rsidRPr="00412AF7">
        <w:rPr>
          <w:lang w:val="mk-MK"/>
        </w:rPr>
        <w:t xml:space="preserve"> </w:t>
      </w:r>
      <w:r>
        <w:rPr>
          <w:lang w:val="mk-MK"/>
        </w:rPr>
        <w:t>во тој дел</w:t>
      </w:r>
      <w:r w:rsidRPr="00412AF7">
        <w:rPr>
          <w:lang w:val="mk-MK"/>
        </w:rPr>
        <w:t xml:space="preserve">; </w:t>
      </w:r>
    </w:p>
    <w:p w:rsidR="00CC6B44" w:rsidRPr="006472AF" w:rsidRDefault="00CC6B44" w:rsidP="00F6599F">
      <w:pPr>
        <w:pStyle w:val="NormalWeb"/>
        <w:jc w:val="both"/>
        <w:rPr>
          <w:lang w:val="ru-RU"/>
        </w:rPr>
      </w:pPr>
      <w:r w:rsidRPr="00412AF7">
        <w:rPr>
          <w:lang w:val="mk-MK"/>
        </w:rPr>
        <w:t xml:space="preserve">(в) примената на членот 9(1)(i) во врска со употребата на факторите на актуарски пресметки, до 1 јануари 1999 или за земјите-членки што пристапиле по овој датаум, по датумот од кој Директивата 86/378/ЕЕЗ се применува на нејзината територија.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12</w:t>
      </w:r>
    </w:p>
    <w:p w:rsidR="00CC6B44" w:rsidRPr="00F1648E" w:rsidRDefault="00CC6B44" w:rsidP="000E037A">
      <w:pPr>
        <w:pStyle w:val="NormalWeb"/>
        <w:jc w:val="center"/>
        <w:rPr>
          <w:b/>
          <w:bCs/>
          <w:i/>
          <w:iCs/>
          <w:lang w:val="ru-RU"/>
        </w:rPr>
      </w:pPr>
      <w:r w:rsidRPr="00F1648E">
        <w:rPr>
          <w:b/>
          <w:bCs/>
          <w:i/>
          <w:iCs/>
          <w:lang w:val="mk-MK"/>
        </w:rPr>
        <w:t>Ретроактивен ефект</w:t>
      </w:r>
    </w:p>
    <w:p w:rsidR="00CC6B44" w:rsidRPr="006472AF" w:rsidRDefault="00CC6B44" w:rsidP="000D2BF8">
      <w:pPr>
        <w:pStyle w:val="NormalWeb"/>
        <w:jc w:val="both"/>
        <w:rPr>
          <w:lang w:val="ru-RU"/>
        </w:rPr>
      </w:pPr>
      <w:r w:rsidRPr="006472AF">
        <w:rPr>
          <w:lang w:val="ru-RU"/>
        </w:rPr>
        <w:lastRenderedPageBreak/>
        <w:t xml:space="preserve">1. </w:t>
      </w:r>
      <w:r w:rsidRPr="00412AF7">
        <w:rPr>
          <w:lang w:val="mk-MK"/>
        </w:rPr>
        <w:t>Секоја мерка за примена на ова поглавје, во поглед на работници</w:t>
      </w:r>
      <w:r>
        <w:rPr>
          <w:lang w:val="mk-MK"/>
        </w:rPr>
        <w:t>те</w:t>
      </w:r>
      <w:r w:rsidRPr="00412AF7">
        <w:rPr>
          <w:lang w:val="mk-MK"/>
        </w:rPr>
        <w:t xml:space="preserve">, ги опфаќа сите бенифиции </w:t>
      </w:r>
      <w:r>
        <w:rPr>
          <w:lang w:val="mk-MK"/>
        </w:rPr>
        <w:t xml:space="preserve">во рамки на професионалните шеми за социјална сигурност кои произлегуваат од </w:t>
      </w:r>
      <w:r w:rsidRPr="00412AF7">
        <w:rPr>
          <w:lang w:val="mk-MK"/>
        </w:rPr>
        <w:t xml:space="preserve">периодот на вработување по 17 мај 1990 и се применуваат ретроактивно до тој датум, без повреда на правата на работниците или лицата што ги бараат истите и пред тој датум започнале правна постапка или во согласност со националното законодавство </w:t>
      </w:r>
      <w:r>
        <w:rPr>
          <w:lang w:val="mk-MK"/>
        </w:rPr>
        <w:t>поднеле еквивалентно барање</w:t>
      </w:r>
      <w:r w:rsidRPr="00412AF7">
        <w:rPr>
          <w:lang w:val="mk-MK"/>
        </w:rPr>
        <w:t xml:space="preserve">. Во тој случај мерките за спроведување се применуваат ретроактивно до 8 април 1976 и ги опфаќаат сите бенифиции што се однесуваат на периодот на вработување по тој датум. </w:t>
      </w:r>
      <w:r w:rsidRPr="006472AF">
        <w:rPr>
          <w:lang w:val="ru-RU"/>
        </w:rPr>
        <w:t xml:space="preserve"> </w:t>
      </w:r>
      <w:r w:rsidRPr="00F6599F">
        <w:rPr>
          <w:lang w:val="mk-MK"/>
        </w:rPr>
        <w:t xml:space="preserve">За земјите-членки што пристапиле кон </w:t>
      </w:r>
      <w:r w:rsidRPr="00412AF7">
        <w:rPr>
          <w:lang w:val="mk-MK"/>
        </w:rPr>
        <w:t xml:space="preserve">Заедницата по 8 април 1976, а пред 17 мај 1990, овој датум се заменува со датумот на кој членот 141 од Договорот почнува да се применува на нејзината територија. </w:t>
      </w:r>
    </w:p>
    <w:p w:rsidR="00CC6B44" w:rsidRPr="006472AF" w:rsidRDefault="00CC6B44" w:rsidP="00396331">
      <w:pPr>
        <w:pStyle w:val="NormalWeb"/>
        <w:jc w:val="both"/>
        <w:rPr>
          <w:lang w:val="ru-RU"/>
        </w:rPr>
      </w:pPr>
      <w:r w:rsidRPr="006472AF">
        <w:rPr>
          <w:lang w:val="ru-RU"/>
        </w:rPr>
        <w:t xml:space="preserve">2. </w:t>
      </w:r>
      <w:r w:rsidRPr="00396331">
        <w:rPr>
          <w:lang w:val="mk-MK"/>
        </w:rPr>
        <w:t xml:space="preserve">Втората реченица од ставот 1 не забранува националните прописи што се однесуваат на роковите за </w:t>
      </w:r>
      <w:r w:rsidRPr="00412AF7">
        <w:rPr>
          <w:lang w:val="mk-MK"/>
        </w:rPr>
        <w:t>отпочнување дејства во согласност со националното законодавство да се постават против работниците или лицата што ги имаат нивните права и кои почнале правна постапка или во согласност со националното законодавство си побарале еднаквост пред 17 мај 1990</w:t>
      </w:r>
      <w:r>
        <w:rPr>
          <w:lang w:val="mk-MK"/>
        </w:rPr>
        <w:t xml:space="preserve"> година</w:t>
      </w:r>
      <w:r w:rsidRPr="00412AF7">
        <w:rPr>
          <w:lang w:val="mk-MK"/>
        </w:rPr>
        <w:t xml:space="preserve">, под услов правата за тој вид дејство да не се понепријатни од оние за слични дејства од домашен карактер и не го оневозможуваат практицирањето на правата на Заедницата. </w:t>
      </w:r>
    </w:p>
    <w:p w:rsidR="00CC6B44" w:rsidRPr="006472AF" w:rsidRDefault="00CC6B44" w:rsidP="00396331">
      <w:pPr>
        <w:pStyle w:val="NormalWeb"/>
        <w:jc w:val="both"/>
        <w:rPr>
          <w:lang w:val="ru-RU"/>
        </w:rPr>
      </w:pPr>
      <w:r w:rsidRPr="006472AF">
        <w:rPr>
          <w:lang w:val="ru-RU"/>
        </w:rPr>
        <w:t xml:space="preserve">3. </w:t>
      </w:r>
      <w:r w:rsidRPr="00412AF7">
        <w:rPr>
          <w:lang w:val="mk-MK"/>
        </w:rPr>
        <w:t>За земјите-членки што пристапиле по 17 мај 1990</w:t>
      </w:r>
      <w:r>
        <w:rPr>
          <w:lang w:val="mk-MK"/>
        </w:rPr>
        <w:t xml:space="preserve"> година</w:t>
      </w:r>
      <w:r w:rsidRPr="00412AF7">
        <w:rPr>
          <w:lang w:val="mk-MK"/>
        </w:rPr>
        <w:t xml:space="preserve"> и кои на 1 јануари 1994</w:t>
      </w:r>
      <w:r>
        <w:rPr>
          <w:lang w:val="mk-MK"/>
        </w:rPr>
        <w:t xml:space="preserve"> година</w:t>
      </w:r>
      <w:r w:rsidRPr="00412AF7">
        <w:rPr>
          <w:lang w:val="mk-MK"/>
        </w:rPr>
        <w:t xml:space="preserve"> биле д</w:t>
      </w:r>
      <w:r>
        <w:rPr>
          <w:lang w:val="mk-MK"/>
        </w:rPr>
        <w:t>о</w:t>
      </w:r>
      <w:r w:rsidRPr="00412AF7">
        <w:rPr>
          <w:lang w:val="mk-MK"/>
        </w:rPr>
        <w:t xml:space="preserve">говорни страни на Договорот за Европски економски простор, датумот 17 мај 1990 </w:t>
      </w:r>
      <w:r>
        <w:rPr>
          <w:lang w:val="mk-MK"/>
        </w:rPr>
        <w:t xml:space="preserve">година </w:t>
      </w:r>
      <w:r w:rsidRPr="00412AF7">
        <w:rPr>
          <w:lang w:val="mk-MK"/>
        </w:rPr>
        <w:t>во првата реченица од ставот 1 се заменува со датумот 1 јануари 1994</w:t>
      </w:r>
      <w:r>
        <w:rPr>
          <w:lang w:val="mk-MK"/>
        </w:rPr>
        <w:t xml:space="preserve"> година</w:t>
      </w:r>
      <w:r w:rsidRPr="00412AF7">
        <w:rPr>
          <w:lang w:val="mk-MK"/>
        </w:rPr>
        <w:t xml:space="preserve">. </w:t>
      </w:r>
    </w:p>
    <w:p w:rsidR="00CC6B44" w:rsidRPr="006472AF" w:rsidRDefault="00CC6B44" w:rsidP="00E21E89">
      <w:pPr>
        <w:pStyle w:val="NormalWeb"/>
        <w:jc w:val="both"/>
        <w:rPr>
          <w:lang w:val="ru-RU"/>
        </w:rPr>
      </w:pPr>
      <w:r w:rsidRPr="006472AF">
        <w:rPr>
          <w:lang w:val="ru-RU"/>
        </w:rPr>
        <w:t xml:space="preserve">4. </w:t>
      </w:r>
      <w:r w:rsidRPr="00412AF7">
        <w:rPr>
          <w:lang w:val="mk-MK"/>
        </w:rPr>
        <w:t>За другите земји-ченки што пристапиле по 17 мај 1990</w:t>
      </w:r>
      <w:r>
        <w:rPr>
          <w:lang w:val="mk-MK"/>
        </w:rPr>
        <w:t xml:space="preserve"> година</w:t>
      </w:r>
      <w:r w:rsidRPr="00412AF7">
        <w:rPr>
          <w:lang w:val="mk-MK"/>
        </w:rPr>
        <w:t>, датумот 17 јануари 1990</w:t>
      </w:r>
      <w:r>
        <w:rPr>
          <w:lang w:val="mk-MK"/>
        </w:rPr>
        <w:t xml:space="preserve"> година</w:t>
      </w:r>
      <w:r w:rsidRPr="00412AF7">
        <w:rPr>
          <w:lang w:val="mk-MK"/>
        </w:rPr>
        <w:t xml:space="preserve"> во ставовите 1 и 2 се заменува со датумот на кој членот 141 од Договорот почнува да се применува на нивните територии.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13</w:t>
      </w:r>
    </w:p>
    <w:p w:rsidR="00CC6B44" w:rsidRPr="00F1648E" w:rsidRDefault="00CC6B44" w:rsidP="000E037A">
      <w:pPr>
        <w:pStyle w:val="NormalWeb"/>
        <w:jc w:val="center"/>
        <w:rPr>
          <w:b/>
          <w:bCs/>
          <w:i/>
          <w:iCs/>
          <w:lang w:val="ru-RU"/>
        </w:rPr>
      </w:pPr>
      <w:r w:rsidRPr="00F1648E">
        <w:rPr>
          <w:b/>
          <w:bCs/>
          <w:i/>
          <w:iCs/>
          <w:lang w:val="mk-MK"/>
        </w:rPr>
        <w:t>Флексибилна возраст за пензионирање</w:t>
      </w:r>
    </w:p>
    <w:p w:rsidR="00CC6B44" w:rsidRPr="006472AF" w:rsidRDefault="00CC6B44" w:rsidP="00396331">
      <w:pPr>
        <w:pStyle w:val="NormalWeb"/>
        <w:jc w:val="both"/>
        <w:rPr>
          <w:lang w:val="ru-RU"/>
        </w:rPr>
      </w:pPr>
      <w:r w:rsidRPr="00396331">
        <w:rPr>
          <w:lang w:val="mk-MK"/>
        </w:rPr>
        <w:t xml:space="preserve">Кога мажите и жените можат да бараат флексибилна возраст за пензионирање под исти услови, тоа не се смета за спротивно со ова поглавје.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ПОГЛАВЈЕ 3</w:t>
      </w:r>
    </w:p>
    <w:p w:rsidR="00CC6B44" w:rsidRPr="00F1648E" w:rsidRDefault="00CC6B44" w:rsidP="000E037A">
      <w:pPr>
        <w:pStyle w:val="NormalWeb"/>
        <w:jc w:val="center"/>
        <w:rPr>
          <w:b/>
          <w:bCs/>
          <w:i/>
          <w:iCs/>
          <w:lang w:val="ru-RU"/>
        </w:rPr>
      </w:pPr>
      <w:r w:rsidRPr="00F1648E">
        <w:rPr>
          <w:b/>
          <w:bCs/>
          <w:i/>
          <w:iCs/>
          <w:lang w:val="mk-MK"/>
        </w:rPr>
        <w:t>Еднаков третман во однос на пристапот до вработување,стручната обука и напредување</w:t>
      </w:r>
      <w:r>
        <w:rPr>
          <w:b/>
          <w:bCs/>
          <w:i/>
          <w:iCs/>
          <w:lang w:val="mk-MK"/>
        </w:rPr>
        <w:t>то</w:t>
      </w:r>
      <w:r w:rsidRPr="00F1648E">
        <w:rPr>
          <w:b/>
          <w:bCs/>
          <w:i/>
          <w:iCs/>
          <w:lang w:val="mk-MK"/>
        </w:rPr>
        <w:t xml:space="preserve"> и работните услови</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14</w:t>
      </w:r>
    </w:p>
    <w:p w:rsidR="00CC6B44" w:rsidRPr="00F1648E" w:rsidRDefault="00CC6B44" w:rsidP="000E037A">
      <w:pPr>
        <w:pStyle w:val="NormalWeb"/>
        <w:jc w:val="center"/>
        <w:rPr>
          <w:b/>
          <w:bCs/>
          <w:i/>
          <w:iCs/>
          <w:lang w:val="ru-RU"/>
        </w:rPr>
      </w:pPr>
      <w:r w:rsidRPr="00F1648E">
        <w:rPr>
          <w:b/>
          <w:bCs/>
          <w:i/>
          <w:iCs/>
          <w:lang w:val="mk-MK"/>
        </w:rPr>
        <w:lastRenderedPageBreak/>
        <w:t>Забрана на дискриминација</w:t>
      </w:r>
    </w:p>
    <w:p w:rsidR="00CC6B44" w:rsidRPr="006472AF" w:rsidRDefault="00CC6B44" w:rsidP="00DE0908">
      <w:pPr>
        <w:pStyle w:val="NormalWeb"/>
        <w:jc w:val="both"/>
        <w:rPr>
          <w:lang w:val="ru-RU"/>
        </w:rPr>
      </w:pPr>
      <w:r w:rsidRPr="006472AF">
        <w:rPr>
          <w:lang w:val="ru-RU"/>
        </w:rPr>
        <w:t xml:space="preserve">1. </w:t>
      </w:r>
      <w:r w:rsidRPr="000876D3">
        <w:rPr>
          <w:lang w:val="mk-MK"/>
        </w:rPr>
        <w:t>Не се дозволува директна</w:t>
      </w:r>
      <w:r>
        <w:rPr>
          <w:lang w:val="mk-MK"/>
        </w:rPr>
        <w:t xml:space="preserve"> или </w:t>
      </w:r>
      <w:r w:rsidRPr="000876D3">
        <w:rPr>
          <w:lang w:val="mk-MK"/>
        </w:rPr>
        <w:t xml:space="preserve">индиректна дискриминација </w:t>
      </w:r>
      <w:r>
        <w:rPr>
          <w:lang w:val="mk-MK"/>
        </w:rPr>
        <w:t xml:space="preserve">врз </w:t>
      </w:r>
      <w:r w:rsidRPr="000876D3">
        <w:rPr>
          <w:lang w:val="mk-MK"/>
        </w:rPr>
        <w:t xml:space="preserve">основа </w:t>
      </w:r>
      <w:r>
        <w:rPr>
          <w:lang w:val="mk-MK"/>
        </w:rPr>
        <w:t xml:space="preserve">на полот </w:t>
      </w:r>
      <w:r w:rsidRPr="000876D3">
        <w:rPr>
          <w:lang w:val="mk-MK"/>
        </w:rPr>
        <w:t xml:space="preserve">во јавниот и приватниот сектор, вклучувајќи ги </w:t>
      </w:r>
      <w:r>
        <w:rPr>
          <w:lang w:val="mk-MK"/>
        </w:rPr>
        <w:t>јавните</w:t>
      </w:r>
      <w:r w:rsidRPr="000876D3">
        <w:rPr>
          <w:lang w:val="mk-MK"/>
        </w:rPr>
        <w:t xml:space="preserve"> органи, во однос на: </w:t>
      </w:r>
    </w:p>
    <w:p w:rsidR="00CC6B44" w:rsidRPr="006472AF" w:rsidRDefault="00CC6B44" w:rsidP="00DE0908">
      <w:pPr>
        <w:pStyle w:val="NormalWeb"/>
        <w:ind w:left="480"/>
        <w:jc w:val="both"/>
        <w:rPr>
          <w:lang w:val="ru-RU"/>
        </w:rPr>
      </w:pPr>
      <w:r w:rsidRPr="00412AF7">
        <w:rPr>
          <w:lang w:val="mk-MK"/>
        </w:rPr>
        <w:t xml:space="preserve">(а) условите за пристап до вработување, самовработување или професија, вклучувајќи критериуми за избор и услови за вработување, без разлика на гранката на активност и на сите нивоа на професионална хиерархија, вклучувајќи напредување; </w:t>
      </w:r>
    </w:p>
    <w:p w:rsidR="00CC6B44" w:rsidRPr="006472AF" w:rsidRDefault="00CC6B44" w:rsidP="00DE0908">
      <w:pPr>
        <w:pStyle w:val="NormalWeb"/>
        <w:ind w:left="480"/>
        <w:jc w:val="both"/>
        <w:rPr>
          <w:lang w:val="ru-RU"/>
        </w:rPr>
      </w:pPr>
      <w:r w:rsidRPr="00876798">
        <w:rPr>
          <w:lang w:val="mk-MK"/>
        </w:rPr>
        <w:t>(б) пристап до сите видови и до</w:t>
      </w:r>
      <w:r>
        <w:rPr>
          <w:lang w:val="mk-MK"/>
        </w:rPr>
        <w:t xml:space="preserve"> </w:t>
      </w:r>
      <w:r w:rsidRPr="00876798">
        <w:rPr>
          <w:lang w:val="mk-MK"/>
        </w:rPr>
        <w:t xml:space="preserve">сите нивоа на професионална ориентација, </w:t>
      </w:r>
      <w:r>
        <w:rPr>
          <w:lang w:val="mk-MK"/>
        </w:rPr>
        <w:t>стручна обука</w:t>
      </w:r>
      <w:r w:rsidRPr="00876798">
        <w:rPr>
          <w:lang w:val="mk-MK"/>
        </w:rPr>
        <w:t xml:space="preserve">, напредна </w:t>
      </w:r>
      <w:r>
        <w:rPr>
          <w:lang w:val="mk-MK"/>
        </w:rPr>
        <w:t xml:space="preserve">стручна обука </w:t>
      </w:r>
      <w:r w:rsidRPr="00876798">
        <w:rPr>
          <w:lang w:val="mk-MK"/>
        </w:rPr>
        <w:t xml:space="preserve">и преквалификација, вклучувајќи стекнување </w:t>
      </w:r>
      <w:r>
        <w:rPr>
          <w:lang w:val="mk-MK"/>
        </w:rPr>
        <w:t xml:space="preserve">практично </w:t>
      </w:r>
      <w:r w:rsidRPr="00876798">
        <w:rPr>
          <w:lang w:val="mk-MK"/>
        </w:rPr>
        <w:t xml:space="preserve">работно искуство; </w:t>
      </w:r>
    </w:p>
    <w:p w:rsidR="00CC6B44" w:rsidRPr="006472AF" w:rsidRDefault="00CC6B44" w:rsidP="00B5239F">
      <w:pPr>
        <w:pStyle w:val="NormalWeb"/>
        <w:ind w:left="480"/>
        <w:jc w:val="both"/>
        <w:rPr>
          <w:lang w:val="ru-RU"/>
        </w:rPr>
      </w:pPr>
      <w:r w:rsidRPr="00876798">
        <w:rPr>
          <w:lang w:val="mk-MK"/>
        </w:rPr>
        <w:t>(в) услови за вработување и работ</w:t>
      </w:r>
      <w:r>
        <w:rPr>
          <w:lang w:val="mk-MK"/>
        </w:rPr>
        <w:t xml:space="preserve">а, вклучувајќи отпуштања, </w:t>
      </w:r>
      <w:r w:rsidRPr="00876798">
        <w:rPr>
          <w:lang w:val="mk-MK"/>
        </w:rPr>
        <w:t xml:space="preserve">како и </w:t>
      </w:r>
      <w:r>
        <w:rPr>
          <w:lang w:val="mk-MK"/>
        </w:rPr>
        <w:t xml:space="preserve">плаќање </w:t>
      </w:r>
      <w:r w:rsidRPr="00876798">
        <w:rPr>
          <w:lang w:val="mk-MK"/>
        </w:rPr>
        <w:t>наведен</w:t>
      </w:r>
      <w:r>
        <w:rPr>
          <w:lang w:val="mk-MK"/>
        </w:rPr>
        <w:t>о</w:t>
      </w:r>
      <w:r w:rsidRPr="00876798">
        <w:rPr>
          <w:lang w:val="mk-MK"/>
        </w:rPr>
        <w:t xml:space="preserve"> во членот 141 од Договорот; </w:t>
      </w:r>
    </w:p>
    <w:p w:rsidR="00CC6B44" w:rsidRPr="006472AF" w:rsidRDefault="00CC6B44" w:rsidP="00B5239F">
      <w:pPr>
        <w:pStyle w:val="NormalWeb"/>
        <w:ind w:left="480"/>
        <w:jc w:val="both"/>
        <w:rPr>
          <w:lang w:val="ru-RU"/>
        </w:rPr>
      </w:pPr>
      <w:r w:rsidRPr="00876798">
        <w:rPr>
          <w:lang w:val="mk-MK"/>
        </w:rPr>
        <w:t>(г) членство или учество во организации</w:t>
      </w:r>
      <w:r>
        <w:rPr>
          <w:lang w:val="mk-MK"/>
        </w:rPr>
        <w:t xml:space="preserve"> на работници</w:t>
      </w:r>
      <w:r w:rsidRPr="00876798">
        <w:rPr>
          <w:lang w:val="mk-MK"/>
        </w:rPr>
        <w:t xml:space="preserve"> или работодав</w:t>
      </w:r>
      <w:r>
        <w:rPr>
          <w:lang w:val="mk-MK"/>
        </w:rPr>
        <w:t>ачи</w:t>
      </w:r>
      <w:r w:rsidRPr="00876798">
        <w:rPr>
          <w:lang w:val="mk-MK"/>
        </w:rPr>
        <w:t xml:space="preserve">, </w:t>
      </w:r>
      <w:r w:rsidRPr="00412AF7">
        <w:rPr>
          <w:lang w:val="mk-MK"/>
        </w:rPr>
        <w:t>или во какви било организации чии</w:t>
      </w:r>
      <w:r w:rsidRPr="00876798">
        <w:rPr>
          <w:lang w:val="mk-MK"/>
        </w:rPr>
        <w:t xml:space="preserve"> членови извршуваат одредена професија, вклучувајќи ги </w:t>
      </w:r>
      <w:r>
        <w:rPr>
          <w:lang w:val="mk-MK"/>
        </w:rPr>
        <w:t>бенефициите</w:t>
      </w:r>
      <w:r w:rsidRPr="00876798">
        <w:rPr>
          <w:lang w:val="mk-MK"/>
        </w:rPr>
        <w:t xml:space="preserve"> обезбедени </w:t>
      </w:r>
      <w:r>
        <w:rPr>
          <w:lang w:val="mk-MK"/>
        </w:rPr>
        <w:t xml:space="preserve">од </w:t>
      </w:r>
      <w:r w:rsidRPr="00876798">
        <w:rPr>
          <w:lang w:val="mk-MK"/>
        </w:rPr>
        <w:t xml:space="preserve">таквите организации. </w:t>
      </w:r>
    </w:p>
    <w:p w:rsidR="00CC6B44" w:rsidRPr="006472AF" w:rsidRDefault="00CC6B44" w:rsidP="00B5239F">
      <w:pPr>
        <w:pStyle w:val="NormalWeb"/>
        <w:jc w:val="both"/>
        <w:rPr>
          <w:lang w:val="ru-RU"/>
        </w:rPr>
      </w:pPr>
      <w:r w:rsidRPr="006472AF">
        <w:rPr>
          <w:lang w:val="ru-RU"/>
        </w:rPr>
        <w:t xml:space="preserve">2. </w:t>
      </w:r>
      <w:r w:rsidRPr="00876798">
        <w:rPr>
          <w:lang w:val="mk-MK"/>
        </w:rPr>
        <w:t xml:space="preserve">Земјите-членки можат да предвидат, во поглед на пристапот до вработување вклучувајќи ја </w:t>
      </w:r>
      <w:r>
        <w:rPr>
          <w:lang w:val="mk-MK"/>
        </w:rPr>
        <w:t xml:space="preserve">и </w:t>
      </w:r>
      <w:r w:rsidRPr="00876798">
        <w:rPr>
          <w:lang w:val="mk-MK"/>
        </w:rPr>
        <w:t>обуката што води до вработување, дека разликата во третманот што се заснова на карактеристик</w:t>
      </w:r>
      <w:r>
        <w:rPr>
          <w:lang w:val="mk-MK"/>
        </w:rPr>
        <w:t>а поврзана со п</w:t>
      </w:r>
      <w:r w:rsidRPr="00876798">
        <w:rPr>
          <w:lang w:val="mk-MK"/>
        </w:rPr>
        <w:t>олот не претставува дискриминација во случаи кога поради природата на одредени професионални активности или контекстот во кој истите се извршуваат, таквите карактеристики поставуваат суштествено и определувачко професионално барање, при услови кога целта е легитимна и барањето</w:t>
      </w:r>
      <w:r>
        <w:rPr>
          <w:lang w:val="mk-MK"/>
        </w:rPr>
        <w:t xml:space="preserve"> е</w:t>
      </w:r>
      <w:r w:rsidRPr="00876798">
        <w:rPr>
          <w:lang w:val="mk-MK"/>
        </w:rPr>
        <w:t xml:space="preserve"> пропорционално.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15</w:t>
      </w:r>
    </w:p>
    <w:p w:rsidR="00CC6B44" w:rsidRPr="00F1648E" w:rsidRDefault="00CC6B44" w:rsidP="000E037A">
      <w:pPr>
        <w:pStyle w:val="NormalWeb"/>
        <w:jc w:val="center"/>
        <w:rPr>
          <w:b/>
          <w:bCs/>
          <w:i/>
          <w:iCs/>
          <w:lang w:val="ru-RU"/>
        </w:rPr>
      </w:pPr>
      <w:r w:rsidRPr="00F1648E">
        <w:rPr>
          <w:b/>
          <w:bCs/>
          <w:i/>
          <w:iCs/>
          <w:lang w:val="mk-MK"/>
        </w:rPr>
        <w:t>Враќање од породилно отсуство</w:t>
      </w:r>
    </w:p>
    <w:p w:rsidR="00CC6B44" w:rsidRPr="006472AF" w:rsidRDefault="00CC6B44" w:rsidP="00932487">
      <w:pPr>
        <w:pStyle w:val="NormalWeb"/>
        <w:jc w:val="both"/>
        <w:rPr>
          <w:lang w:val="ru-RU"/>
        </w:rPr>
      </w:pPr>
      <w:r w:rsidRPr="00A03512">
        <w:rPr>
          <w:lang w:val="mk-MK"/>
        </w:rPr>
        <w:t>Жена на породилно отсуство има право, по завршувањето на периодот на породилно отсуство, да се врати на нејзиното работно место или на е</w:t>
      </w:r>
      <w:r>
        <w:rPr>
          <w:lang w:val="mk-MK"/>
        </w:rPr>
        <w:t xml:space="preserve">квивалентна </w:t>
      </w:r>
      <w:r w:rsidRPr="00A03512">
        <w:rPr>
          <w:lang w:val="mk-MK"/>
        </w:rPr>
        <w:t xml:space="preserve">позиција под услови </w:t>
      </w:r>
      <w:r>
        <w:rPr>
          <w:lang w:val="mk-MK"/>
        </w:rPr>
        <w:t xml:space="preserve">кои </w:t>
      </w:r>
      <w:r w:rsidRPr="00A03512">
        <w:rPr>
          <w:lang w:val="mk-MK"/>
        </w:rPr>
        <w:t xml:space="preserve">што не се помалку пријатни за неа и да </w:t>
      </w:r>
      <w:r>
        <w:rPr>
          <w:lang w:val="mk-MK"/>
        </w:rPr>
        <w:t xml:space="preserve">го искористи </w:t>
      </w:r>
      <w:r w:rsidRPr="00A03512">
        <w:rPr>
          <w:lang w:val="mk-MK"/>
        </w:rPr>
        <w:t>секое подобрување на работните услови на ко</w:t>
      </w:r>
      <w:r>
        <w:rPr>
          <w:lang w:val="mk-MK"/>
        </w:rPr>
        <w:t xml:space="preserve">е би </w:t>
      </w:r>
      <w:r w:rsidRPr="00A03512">
        <w:rPr>
          <w:lang w:val="mk-MK"/>
        </w:rPr>
        <w:t xml:space="preserve">имала право за време на нејзиното отсуство.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16</w:t>
      </w:r>
    </w:p>
    <w:p w:rsidR="00CC6B44" w:rsidRPr="00F1648E" w:rsidRDefault="00CC6B44" w:rsidP="000E037A">
      <w:pPr>
        <w:pStyle w:val="NormalWeb"/>
        <w:jc w:val="center"/>
        <w:rPr>
          <w:b/>
          <w:bCs/>
          <w:i/>
          <w:iCs/>
          <w:lang w:val="ru-RU"/>
        </w:rPr>
      </w:pPr>
      <w:r w:rsidRPr="00F1648E">
        <w:rPr>
          <w:b/>
          <w:bCs/>
          <w:i/>
          <w:iCs/>
          <w:lang w:val="mk-MK"/>
        </w:rPr>
        <w:t>Отсуство поради татковство или посвојување</w:t>
      </w:r>
    </w:p>
    <w:p w:rsidR="00CC6B44" w:rsidRPr="006472AF" w:rsidRDefault="00CC6B44" w:rsidP="006E6F08">
      <w:pPr>
        <w:pStyle w:val="NormalWeb"/>
        <w:jc w:val="both"/>
        <w:rPr>
          <w:lang w:val="ru-RU"/>
        </w:rPr>
      </w:pPr>
      <w:r w:rsidRPr="00AA61C8">
        <w:rPr>
          <w:lang w:val="mk-MK"/>
        </w:rPr>
        <w:lastRenderedPageBreak/>
        <w:t xml:space="preserve">Оваа директива не го доведува во прашање правото на земјите-членки да признаат одделни права за отсуства поради татковство </w:t>
      </w:r>
      <w:r>
        <w:rPr>
          <w:lang w:val="mk-MK"/>
        </w:rPr>
        <w:t>и/</w:t>
      </w:r>
      <w:r w:rsidRPr="00AA61C8">
        <w:rPr>
          <w:lang w:val="mk-MK"/>
        </w:rPr>
        <w:t xml:space="preserve">или посвојување.  </w:t>
      </w:r>
      <w:r w:rsidRPr="006472AF">
        <w:rPr>
          <w:lang w:val="ru-RU"/>
        </w:rPr>
        <w:t xml:space="preserve"> </w:t>
      </w:r>
      <w:r w:rsidRPr="00651A1D">
        <w:rPr>
          <w:lang w:val="mk-MK"/>
        </w:rPr>
        <w:t>Оние земји-членки што признаваат такви права ги преземаат сите неопходни мерки за заштита на мажите и жените</w:t>
      </w:r>
      <w:r>
        <w:rPr>
          <w:lang w:val="mk-MK"/>
        </w:rPr>
        <w:t xml:space="preserve"> работници</w:t>
      </w:r>
      <w:r w:rsidRPr="00651A1D">
        <w:rPr>
          <w:lang w:val="mk-MK"/>
        </w:rPr>
        <w:t xml:space="preserve"> од отпуштање поради користење на тие права и гарантираат дека, на крајот од ваквото отсуство тие имаат право да се вратат на своите работни места или на е</w:t>
      </w:r>
      <w:r>
        <w:rPr>
          <w:lang w:val="mk-MK"/>
        </w:rPr>
        <w:t xml:space="preserve">квивалентни </w:t>
      </w:r>
      <w:r w:rsidRPr="00651A1D">
        <w:rPr>
          <w:lang w:val="mk-MK"/>
        </w:rPr>
        <w:t>позиции</w:t>
      </w:r>
      <w:r>
        <w:rPr>
          <w:lang w:val="mk-MK"/>
        </w:rPr>
        <w:t xml:space="preserve"> </w:t>
      </w:r>
      <w:r w:rsidRPr="00651A1D">
        <w:rPr>
          <w:lang w:val="mk-MK"/>
        </w:rPr>
        <w:t xml:space="preserve">под услови што не се помалку поволни за нив и да ги користат сите </w:t>
      </w:r>
      <w:r>
        <w:rPr>
          <w:lang w:val="mk-MK"/>
        </w:rPr>
        <w:t>подобрувања на раб</w:t>
      </w:r>
      <w:r w:rsidRPr="00651A1D">
        <w:rPr>
          <w:lang w:val="mk-MK"/>
        </w:rPr>
        <w:t xml:space="preserve">отните услови на кои </w:t>
      </w:r>
      <w:r>
        <w:rPr>
          <w:lang w:val="mk-MK"/>
        </w:rPr>
        <w:t xml:space="preserve">би </w:t>
      </w:r>
      <w:r w:rsidRPr="00651A1D">
        <w:rPr>
          <w:lang w:val="mk-MK"/>
        </w:rPr>
        <w:t xml:space="preserve">имале право за време на нивното отсуство.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ГЛАВА III</w:t>
      </w:r>
    </w:p>
    <w:p w:rsidR="00CC6B44" w:rsidRPr="00F1648E" w:rsidRDefault="00CC6B44" w:rsidP="000E037A">
      <w:pPr>
        <w:pStyle w:val="NormalWeb"/>
        <w:jc w:val="center"/>
        <w:rPr>
          <w:b/>
          <w:bCs/>
          <w:i/>
          <w:iCs/>
          <w:lang w:val="ru-RU"/>
        </w:rPr>
      </w:pPr>
      <w:r w:rsidRPr="00F1648E">
        <w:rPr>
          <w:b/>
          <w:bCs/>
          <w:i/>
          <w:iCs/>
          <w:lang w:val="mk-MK"/>
        </w:rPr>
        <w:t>ХОРИЗОНТАЛНИ ОДРЕДБИ</w:t>
      </w:r>
    </w:p>
    <w:p w:rsidR="00CC6B44" w:rsidRPr="006472AF" w:rsidRDefault="00CC6B44" w:rsidP="000E037A">
      <w:pPr>
        <w:pStyle w:val="NormalWeb"/>
        <w:jc w:val="center"/>
        <w:rPr>
          <w:i/>
          <w:iCs/>
          <w:lang w:val="ru-RU"/>
        </w:rPr>
      </w:pPr>
      <w:r w:rsidRPr="000E037A">
        <w:rPr>
          <w:i/>
          <w:iCs/>
          <w:lang w:val="mk-MK"/>
        </w:rPr>
        <w:t>ПОГЛАВЈЕ 1</w:t>
      </w:r>
    </w:p>
    <w:p w:rsidR="00CC6B44" w:rsidRPr="00F1648E" w:rsidRDefault="00CC6B44" w:rsidP="000E037A">
      <w:pPr>
        <w:pStyle w:val="NormalWeb"/>
        <w:jc w:val="center"/>
        <w:rPr>
          <w:b/>
          <w:bCs/>
          <w:i/>
          <w:iCs/>
          <w:lang w:val="ru-RU"/>
        </w:rPr>
      </w:pPr>
      <w:r w:rsidRPr="00F1648E">
        <w:rPr>
          <w:b/>
          <w:bCs/>
          <w:i/>
          <w:iCs/>
          <w:lang w:val="mk-MK"/>
        </w:rPr>
        <w:t>Средства за правна заштита и спроведување</w:t>
      </w:r>
    </w:p>
    <w:p w:rsidR="00CC6B44" w:rsidRPr="006472AF" w:rsidRDefault="00CC6B44" w:rsidP="000E037A">
      <w:pPr>
        <w:pStyle w:val="NormalWeb"/>
        <w:jc w:val="center"/>
        <w:rPr>
          <w:i/>
          <w:iCs/>
          <w:lang w:val="ru-RU"/>
        </w:rPr>
      </w:pPr>
      <w:r w:rsidRPr="000E037A">
        <w:rPr>
          <w:i/>
          <w:iCs/>
          <w:lang w:val="mk-MK"/>
        </w:rPr>
        <w:t>Дел 1</w:t>
      </w:r>
    </w:p>
    <w:p w:rsidR="00CC6B44" w:rsidRPr="00F1648E" w:rsidRDefault="00CC6B44" w:rsidP="000E037A">
      <w:pPr>
        <w:pStyle w:val="NormalWeb"/>
        <w:jc w:val="center"/>
        <w:rPr>
          <w:b/>
          <w:bCs/>
          <w:i/>
          <w:iCs/>
          <w:lang w:val="ru-RU"/>
        </w:rPr>
      </w:pPr>
      <w:r w:rsidRPr="00F1648E">
        <w:rPr>
          <w:b/>
          <w:bCs/>
          <w:i/>
          <w:iCs/>
          <w:lang w:val="mk-MK"/>
        </w:rPr>
        <w:t>Средства за правна заштита</w:t>
      </w:r>
    </w:p>
    <w:p w:rsidR="00CC6B44" w:rsidRPr="006472AF" w:rsidRDefault="00CC6B44" w:rsidP="000E037A">
      <w:pPr>
        <w:pStyle w:val="NormalWeb"/>
        <w:jc w:val="center"/>
        <w:rPr>
          <w:i/>
          <w:iCs/>
          <w:lang w:val="ru-RU"/>
        </w:rPr>
      </w:pPr>
      <w:r w:rsidRPr="000E037A">
        <w:rPr>
          <w:i/>
          <w:iCs/>
          <w:lang w:val="mk-MK"/>
        </w:rPr>
        <w:t>Член 17</w:t>
      </w:r>
    </w:p>
    <w:p w:rsidR="00CC6B44" w:rsidRPr="00F1648E" w:rsidRDefault="00CC6B44" w:rsidP="000E037A">
      <w:pPr>
        <w:pStyle w:val="NormalWeb"/>
        <w:jc w:val="center"/>
        <w:rPr>
          <w:b/>
          <w:bCs/>
          <w:i/>
          <w:iCs/>
          <w:lang w:val="ru-RU"/>
        </w:rPr>
      </w:pPr>
      <w:r w:rsidRPr="00F1648E">
        <w:rPr>
          <w:b/>
          <w:bCs/>
          <w:i/>
          <w:iCs/>
          <w:lang w:val="mk-MK"/>
        </w:rPr>
        <w:t>Заштита на правата</w:t>
      </w:r>
    </w:p>
    <w:p w:rsidR="00CC6B44" w:rsidRPr="006472AF" w:rsidRDefault="00CC6B44" w:rsidP="0013523C">
      <w:pPr>
        <w:pStyle w:val="NormalWeb"/>
        <w:jc w:val="both"/>
        <w:rPr>
          <w:lang w:val="ru-RU"/>
        </w:rPr>
      </w:pPr>
      <w:r w:rsidRPr="006472AF">
        <w:rPr>
          <w:lang w:val="ru-RU"/>
        </w:rPr>
        <w:t xml:space="preserve">1. </w:t>
      </w:r>
      <w:r w:rsidRPr="0013523C">
        <w:rPr>
          <w:lang w:val="mk-MK"/>
        </w:rPr>
        <w:t xml:space="preserve">Земјите-членки гарантираат </w:t>
      </w:r>
      <w:r w:rsidRPr="00412AF7">
        <w:rPr>
          <w:lang w:val="mk-MK"/>
        </w:rPr>
        <w:t>дека по евентуално барање помош кај други надлежни органи, вклучувајќи прибегнување кон соодветни постапки за помирување, судските постапки за спроведување на обврските што се во согласност со оваа директива се достапни за сите лица што се сметаат себеси за оштетени</w:t>
      </w:r>
      <w:r>
        <w:rPr>
          <w:lang w:val="mk-MK"/>
        </w:rPr>
        <w:t xml:space="preserve"> поради</w:t>
      </w:r>
      <w:r w:rsidRPr="0013523C">
        <w:rPr>
          <w:lang w:val="mk-MK"/>
        </w:rPr>
        <w:t xml:space="preserve"> непочитувањето на принципот на еднаков третман кон нив, дури и</w:t>
      </w:r>
      <w:r>
        <w:rPr>
          <w:lang w:val="mk-MK"/>
        </w:rPr>
        <w:t xml:space="preserve"> </w:t>
      </w:r>
      <w:r w:rsidRPr="0013523C">
        <w:rPr>
          <w:lang w:val="mk-MK"/>
        </w:rPr>
        <w:t>по</w:t>
      </w:r>
      <w:r>
        <w:rPr>
          <w:lang w:val="mk-MK"/>
        </w:rPr>
        <w:t xml:space="preserve"> завршувањето на</w:t>
      </w:r>
      <w:r w:rsidRPr="0013523C">
        <w:rPr>
          <w:lang w:val="mk-MK"/>
        </w:rPr>
        <w:t xml:space="preserve"> односот во кој се тврди д</w:t>
      </w:r>
      <w:r>
        <w:rPr>
          <w:lang w:val="mk-MK"/>
        </w:rPr>
        <w:t>ека се случила дискриминацијата</w:t>
      </w:r>
      <w:r w:rsidRPr="0013523C">
        <w:rPr>
          <w:lang w:val="mk-MK"/>
        </w:rPr>
        <w:t xml:space="preserve">. </w:t>
      </w:r>
    </w:p>
    <w:p w:rsidR="00CC6B44" w:rsidRPr="006472AF" w:rsidRDefault="00CC6B44" w:rsidP="003F366A">
      <w:pPr>
        <w:pStyle w:val="NormalWeb"/>
        <w:jc w:val="both"/>
        <w:rPr>
          <w:lang w:val="ru-RU"/>
        </w:rPr>
      </w:pPr>
      <w:r w:rsidRPr="006472AF">
        <w:rPr>
          <w:lang w:val="ru-RU"/>
        </w:rPr>
        <w:t xml:space="preserve">2. </w:t>
      </w:r>
      <w:r w:rsidRPr="00523CB8">
        <w:rPr>
          <w:lang w:val="mk-MK"/>
        </w:rPr>
        <w:t xml:space="preserve">Земјите-членки гарантираат дека здруженијата, организациите или другите правни </w:t>
      </w:r>
      <w:r>
        <w:rPr>
          <w:lang w:val="mk-MK"/>
        </w:rPr>
        <w:t>субјекти</w:t>
      </w:r>
      <w:r w:rsidRPr="00523CB8">
        <w:rPr>
          <w:lang w:val="mk-MK"/>
        </w:rPr>
        <w:t xml:space="preserve"> што имаат, во согласност со критериумите утврдени со нивното национално законодавство, легитимен интерес </w:t>
      </w:r>
      <w:r>
        <w:rPr>
          <w:lang w:val="mk-MK"/>
        </w:rPr>
        <w:t xml:space="preserve">во обезбедување на почитувањето на </w:t>
      </w:r>
      <w:r w:rsidRPr="00523CB8">
        <w:rPr>
          <w:lang w:val="mk-MK"/>
        </w:rPr>
        <w:t xml:space="preserve">одредбите од оваа директива, може да се вклучат </w:t>
      </w:r>
      <w:r>
        <w:rPr>
          <w:lang w:val="mk-MK"/>
        </w:rPr>
        <w:t xml:space="preserve">и </w:t>
      </w:r>
      <w:r w:rsidRPr="00523CB8">
        <w:rPr>
          <w:lang w:val="mk-MK"/>
        </w:rPr>
        <w:t>да делуваат во име на, или како поддршка на жалителот, со негова/нејзина дозвола во било каква судска или административна постапка наменета за спроведување на обврските од оваа директива.</w:t>
      </w:r>
      <w:r w:rsidRPr="0013523C">
        <w:rPr>
          <w:lang w:val="mk-MK"/>
        </w:rPr>
        <w:t xml:space="preserve">     </w:t>
      </w:r>
    </w:p>
    <w:p w:rsidR="00CC6B44" w:rsidRPr="006472AF" w:rsidRDefault="00CC6B44" w:rsidP="006E35C3">
      <w:pPr>
        <w:pStyle w:val="NormalWeb"/>
        <w:jc w:val="both"/>
        <w:rPr>
          <w:lang w:val="ru-RU"/>
        </w:rPr>
      </w:pPr>
      <w:r w:rsidRPr="006472AF">
        <w:rPr>
          <w:lang w:val="ru-RU"/>
        </w:rPr>
        <w:t xml:space="preserve">3. </w:t>
      </w:r>
      <w:r w:rsidRPr="006E35C3">
        <w:rPr>
          <w:lang w:val="mk-MK"/>
        </w:rPr>
        <w:t>Ставовите 1 и 2 не г</w:t>
      </w:r>
      <w:r>
        <w:rPr>
          <w:lang w:val="mk-MK"/>
        </w:rPr>
        <w:t>и</w:t>
      </w:r>
      <w:r w:rsidRPr="006E35C3">
        <w:rPr>
          <w:lang w:val="mk-MK"/>
        </w:rPr>
        <w:t xml:space="preserve"> доведуваат во прашање национа</w:t>
      </w:r>
      <w:r>
        <w:rPr>
          <w:lang w:val="mk-MK"/>
        </w:rPr>
        <w:t>лните прописи во поглед на временските рокови за преземање постапки во однос на принципот на</w:t>
      </w:r>
      <w:r w:rsidRPr="006E35C3">
        <w:rPr>
          <w:lang w:val="mk-MK"/>
        </w:rPr>
        <w:t xml:space="preserve"> еднаков третман.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lastRenderedPageBreak/>
        <w:t>Член 18</w:t>
      </w:r>
    </w:p>
    <w:p w:rsidR="00CC6B44" w:rsidRPr="00F1648E" w:rsidRDefault="00CC6B44" w:rsidP="000E037A">
      <w:pPr>
        <w:pStyle w:val="NormalWeb"/>
        <w:jc w:val="center"/>
        <w:rPr>
          <w:b/>
          <w:bCs/>
          <w:i/>
          <w:iCs/>
          <w:lang w:val="ru-RU"/>
        </w:rPr>
      </w:pPr>
      <w:r w:rsidRPr="00F1648E">
        <w:rPr>
          <w:b/>
          <w:bCs/>
          <w:i/>
          <w:iCs/>
          <w:lang w:val="mk-MK"/>
        </w:rPr>
        <w:t>Компензација или обештетување</w:t>
      </w:r>
    </w:p>
    <w:p w:rsidR="00CC6B44" w:rsidRPr="006472AF" w:rsidRDefault="00CC6B44" w:rsidP="003F366A">
      <w:pPr>
        <w:pStyle w:val="NormalWeb"/>
        <w:jc w:val="both"/>
        <w:rPr>
          <w:lang w:val="ru-RU"/>
        </w:rPr>
      </w:pPr>
      <w:r w:rsidRPr="00523CB8">
        <w:rPr>
          <w:lang w:val="mk-MK"/>
        </w:rPr>
        <w:t xml:space="preserve">Земјите-членки во своите национални правни системи воведуваат  мерки што се неопходни за гарантирање на вистинска и ефикасна компензација или </w:t>
      </w:r>
      <w:r>
        <w:rPr>
          <w:lang w:val="mk-MK"/>
        </w:rPr>
        <w:t>обештетување</w:t>
      </w:r>
      <w:r w:rsidRPr="00523CB8">
        <w:rPr>
          <w:lang w:val="mk-MK"/>
        </w:rPr>
        <w:t xml:space="preserve">, </w:t>
      </w:r>
      <w:r>
        <w:rPr>
          <w:lang w:val="mk-MK"/>
        </w:rPr>
        <w:t xml:space="preserve">како што ќе определат </w:t>
      </w:r>
      <w:r w:rsidRPr="00523CB8">
        <w:rPr>
          <w:lang w:val="mk-MK"/>
        </w:rPr>
        <w:t>земјите-членки</w:t>
      </w:r>
      <w:r>
        <w:rPr>
          <w:lang w:val="mk-MK"/>
        </w:rPr>
        <w:t xml:space="preserve">, за </w:t>
      </w:r>
      <w:r w:rsidRPr="00523CB8">
        <w:rPr>
          <w:lang w:val="mk-MK"/>
        </w:rPr>
        <w:t xml:space="preserve">губитоците и </w:t>
      </w:r>
      <w:r>
        <w:rPr>
          <w:lang w:val="mk-MK"/>
        </w:rPr>
        <w:t>штетите</w:t>
      </w:r>
      <w:r w:rsidRPr="00523CB8">
        <w:rPr>
          <w:lang w:val="mk-MK"/>
        </w:rPr>
        <w:t xml:space="preserve"> што ги претрпела повредената личност како резултат на полова дискриминација, </w:t>
      </w:r>
      <w:r>
        <w:rPr>
          <w:lang w:val="mk-MK"/>
        </w:rPr>
        <w:t xml:space="preserve">на начин што е </w:t>
      </w:r>
      <w:r w:rsidRPr="00523CB8">
        <w:rPr>
          <w:lang w:val="mk-MK"/>
        </w:rPr>
        <w:t>разубедувачки и пропорционал</w:t>
      </w:r>
      <w:r>
        <w:rPr>
          <w:lang w:val="mk-MK"/>
        </w:rPr>
        <w:t>е</w:t>
      </w:r>
      <w:r w:rsidRPr="00523CB8">
        <w:rPr>
          <w:lang w:val="mk-MK"/>
        </w:rPr>
        <w:t>н на претрпената повреда.</w:t>
      </w:r>
      <w:r>
        <w:rPr>
          <w:lang w:val="mk-MK"/>
        </w:rPr>
        <w:t xml:space="preserve"> </w:t>
      </w:r>
      <w:r w:rsidRPr="008B426D">
        <w:rPr>
          <w:lang w:val="mk-MK"/>
        </w:rPr>
        <w:t xml:space="preserve">Таквата компензација или </w:t>
      </w:r>
      <w:r>
        <w:rPr>
          <w:lang w:val="mk-MK"/>
        </w:rPr>
        <w:t>обештетување</w:t>
      </w:r>
      <w:r w:rsidRPr="008B426D">
        <w:rPr>
          <w:lang w:val="mk-MK"/>
        </w:rPr>
        <w:t xml:space="preserve"> не може да се ограничи со претходно одредување на горната граница, освен во случаи кога работодав</w:t>
      </w:r>
      <w:r>
        <w:rPr>
          <w:lang w:val="mk-MK"/>
        </w:rPr>
        <w:t>ачот</w:t>
      </w:r>
      <w:r w:rsidRPr="008B426D">
        <w:rPr>
          <w:lang w:val="mk-MK"/>
        </w:rPr>
        <w:t xml:space="preserve"> може да докаже дека единствената </w:t>
      </w:r>
      <w:r>
        <w:rPr>
          <w:lang w:val="mk-MK"/>
        </w:rPr>
        <w:t>штета</w:t>
      </w:r>
      <w:r w:rsidRPr="008B426D">
        <w:rPr>
          <w:lang w:val="mk-MK"/>
        </w:rPr>
        <w:t xml:space="preserve"> што ја претрпел барателот </w:t>
      </w:r>
      <w:r>
        <w:rPr>
          <w:lang w:val="mk-MK"/>
        </w:rPr>
        <w:t xml:space="preserve">како </w:t>
      </w:r>
      <w:r w:rsidRPr="008B426D">
        <w:rPr>
          <w:lang w:val="mk-MK"/>
        </w:rPr>
        <w:t>резултат на дискриминација во смисла на оваа Директива</w:t>
      </w:r>
      <w:r>
        <w:rPr>
          <w:lang w:val="mk-MK"/>
        </w:rPr>
        <w:t>,</w:t>
      </w:r>
      <w:r w:rsidRPr="008B426D">
        <w:rPr>
          <w:lang w:val="mk-MK"/>
        </w:rPr>
        <w:t xml:space="preserve"> е на одбивање</w:t>
      </w:r>
      <w:r>
        <w:rPr>
          <w:lang w:val="mk-MK"/>
        </w:rPr>
        <w:t>то</w:t>
      </w:r>
      <w:r w:rsidRPr="008B426D">
        <w:rPr>
          <w:lang w:val="mk-MK"/>
        </w:rPr>
        <w:t xml:space="preserve"> да се се разгледаат и земат предвид документите со кои тој/таа конкурира за работно место.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Дел 2</w:t>
      </w:r>
    </w:p>
    <w:p w:rsidR="00CC6B44" w:rsidRPr="00F1648E" w:rsidRDefault="00CC6B44" w:rsidP="00F1648E">
      <w:pPr>
        <w:pStyle w:val="NormalWeb"/>
        <w:jc w:val="center"/>
        <w:rPr>
          <w:b/>
          <w:bCs/>
          <w:i/>
          <w:iCs/>
          <w:lang w:val="ru-RU"/>
        </w:rPr>
      </w:pPr>
      <w:r>
        <w:rPr>
          <w:b/>
          <w:bCs/>
          <w:i/>
          <w:iCs/>
          <w:lang w:val="mk-MK"/>
        </w:rPr>
        <w:t xml:space="preserve">Товар на </w:t>
      </w:r>
      <w:r w:rsidRPr="00F1648E">
        <w:rPr>
          <w:b/>
          <w:bCs/>
          <w:i/>
          <w:iCs/>
          <w:lang w:val="mk-MK"/>
        </w:rPr>
        <w:t>докажување</w:t>
      </w:r>
    </w:p>
    <w:p w:rsidR="00CC6B44" w:rsidRPr="006472AF" w:rsidRDefault="00CC6B44" w:rsidP="000E037A">
      <w:pPr>
        <w:pStyle w:val="NormalWeb"/>
        <w:jc w:val="center"/>
        <w:rPr>
          <w:i/>
          <w:iCs/>
          <w:lang w:val="ru-RU"/>
        </w:rPr>
      </w:pPr>
      <w:r w:rsidRPr="000E037A">
        <w:rPr>
          <w:i/>
          <w:iCs/>
          <w:lang w:val="mk-MK"/>
        </w:rPr>
        <w:t>Член 19</w:t>
      </w:r>
    </w:p>
    <w:p w:rsidR="00CC6B44" w:rsidRPr="00F1648E" w:rsidRDefault="00CC6B44" w:rsidP="00F1648E">
      <w:pPr>
        <w:pStyle w:val="NormalWeb"/>
        <w:jc w:val="center"/>
        <w:rPr>
          <w:b/>
          <w:bCs/>
          <w:i/>
          <w:iCs/>
          <w:lang w:val="ru-RU"/>
        </w:rPr>
      </w:pPr>
      <w:r w:rsidRPr="00F1648E">
        <w:rPr>
          <w:b/>
          <w:bCs/>
          <w:i/>
          <w:iCs/>
          <w:lang w:val="mk-MK"/>
        </w:rPr>
        <w:t>Товар на докажување</w:t>
      </w:r>
    </w:p>
    <w:p w:rsidR="00CC6B44" w:rsidRPr="006472AF" w:rsidRDefault="00CC6B44" w:rsidP="003F366A">
      <w:pPr>
        <w:pStyle w:val="NormalWeb"/>
        <w:jc w:val="both"/>
        <w:rPr>
          <w:lang w:val="ru-RU"/>
        </w:rPr>
      </w:pPr>
      <w:r w:rsidRPr="006472AF">
        <w:rPr>
          <w:lang w:val="ru-RU"/>
        </w:rPr>
        <w:t xml:space="preserve">1. </w:t>
      </w:r>
      <w:r w:rsidRPr="008B426D">
        <w:rPr>
          <w:lang w:val="mk-MK"/>
        </w:rPr>
        <w:t>Земјите-членки ги преземаат сите неопходни мерки, во согласност со нивните национални судски системи, за да гарантираат дека кога лицата што се сметаат себеси за оштетени поради тоа што кон нив не се применил принципот на еднак</w:t>
      </w:r>
      <w:r>
        <w:rPr>
          <w:lang w:val="mk-MK"/>
        </w:rPr>
        <w:t xml:space="preserve">ов </w:t>
      </w:r>
      <w:r w:rsidRPr="008B426D">
        <w:rPr>
          <w:lang w:val="mk-MK"/>
        </w:rPr>
        <w:t>трет</w:t>
      </w:r>
      <w:r>
        <w:rPr>
          <w:lang w:val="mk-MK"/>
        </w:rPr>
        <w:t>ман,</w:t>
      </w:r>
      <w:r w:rsidRPr="008B426D">
        <w:rPr>
          <w:lang w:val="mk-MK"/>
        </w:rPr>
        <w:t xml:space="preserve"> пред суд или друг надлежен орган</w:t>
      </w:r>
      <w:r>
        <w:rPr>
          <w:lang w:val="mk-MK"/>
        </w:rPr>
        <w:t>,</w:t>
      </w:r>
      <w:r w:rsidRPr="008B426D">
        <w:rPr>
          <w:lang w:val="mk-MK"/>
        </w:rPr>
        <w:t xml:space="preserve"> изнес</w:t>
      </w:r>
      <w:r>
        <w:rPr>
          <w:lang w:val="mk-MK"/>
        </w:rPr>
        <w:t>уваат</w:t>
      </w:r>
      <w:r w:rsidRPr="008B426D">
        <w:rPr>
          <w:lang w:val="mk-MK"/>
        </w:rPr>
        <w:t xml:space="preserve"> факти што можат да укажат дека се случила директна или индиректна дискриминација, </w:t>
      </w:r>
      <w:r>
        <w:rPr>
          <w:lang w:val="mk-MK"/>
        </w:rPr>
        <w:t>тужениот</w:t>
      </w:r>
      <w:r w:rsidRPr="008B426D">
        <w:rPr>
          <w:lang w:val="mk-MK"/>
        </w:rPr>
        <w:t xml:space="preserve"> е тој што ќе </w:t>
      </w:r>
      <w:r>
        <w:rPr>
          <w:lang w:val="mk-MK"/>
        </w:rPr>
        <w:t xml:space="preserve">треба да </w:t>
      </w:r>
      <w:r w:rsidRPr="008B426D">
        <w:rPr>
          <w:lang w:val="mk-MK"/>
        </w:rPr>
        <w:t xml:space="preserve">докаже дека немало нарушување на принципот на еднакво третирање.   </w:t>
      </w:r>
    </w:p>
    <w:p w:rsidR="00CC6B44" w:rsidRPr="006472AF" w:rsidRDefault="00CC6B44" w:rsidP="009D1D18">
      <w:pPr>
        <w:pStyle w:val="NormalWeb"/>
        <w:jc w:val="both"/>
        <w:rPr>
          <w:lang w:val="ru-RU"/>
        </w:rPr>
      </w:pPr>
      <w:r w:rsidRPr="006472AF">
        <w:rPr>
          <w:lang w:val="ru-RU"/>
        </w:rPr>
        <w:t xml:space="preserve">2. </w:t>
      </w:r>
      <w:r w:rsidRPr="00EE3B1A">
        <w:rPr>
          <w:lang w:val="mk-MK"/>
        </w:rPr>
        <w:t xml:space="preserve">Ставот 1 не ги спречува земјите-членки да воведуваат </w:t>
      </w:r>
      <w:r>
        <w:rPr>
          <w:lang w:val="mk-MK"/>
        </w:rPr>
        <w:t>правила</w:t>
      </w:r>
      <w:r w:rsidRPr="00EE3B1A">
        <w:rPr>
          <w:lang w:val="mk-MK"/>
        </w:rPr>
        <w:t xml:space="preserve"> за</w:t>
      </w:r>
      <w:r w:rsidRPr="008B426D">
        <w:rPr>
          <w:lang w:val="mk-MK"/>
        </w:rPr>
        <w:t xml:space="preserve"> докажување што се </w:t>
      </w:r>
      <w:r w:rsidRPr="00EE3B1A">
        <w:rPr>
          <w:lang w:val="mk-MK"/>
        </w:rPr>
        <w:t xml:space="preserve">поповолни за жалителите. </w:t>
      </w:r>
    </w:p>
    <w:p w:rsidR="00CC6B44" w:rsidRPr="006472AF" w:rsidRDefault="00CC6B44" w:rsidP="008B426D">
      <w:pPr>
        <w:pStyle w:val="NormalWeb"/>
        <w:jc w:val="both"/>
        <w:rPr>
          <w:lang w:val="ru-RU"/>
        </w:rPr>
      </w:pPr>
      <w:r w:rsidRPr="006472AF">
        <w:rPr>
          <w:lang w:val="ru-RU"/>
        </w:rPr>
        <w:t xml:space="preserve">3. </w:t>
      </w:r>
      <w:r w:rsidRPr="008B426D">
        <w:rPr>
          <w:lang w:val="mk-MK"/>
        </w:rPr>
        <w:t xml:space="preserve">Земјите-членки можат да не го применуваат ставот 1 за постапки за кои фактите за случајот треба да ги истражува судот или друг надлежен орган.  </w:t>
      </w:r>
    </w:p>
    <w:p w:rsidR="00CC6B44" w:rsidRPr="006472AF" w:rsidRDefault="00CC6B44" w:rsidP="008B426D">
      <w:pPr>
        <w:pStyle w:val="NormalWeb"/>
        <w:jc w:val="both"/>
        <w:rPr>
          <w:lang w:val="ru-RU"/>
        </w:rPr>
      </w:pPr>
      <w:r w:rsidRPr="006472AF">
        <w:rPr>
          <w:lang w:val="ru-RU"/>
        </w:rPr>
        <w:t xml:space="preserve">4. </w:t>
      </w:r>
      <w:r w:rsidRPr="008B426D">
        <w:rPr>
          <w:lang w:val="mk-MK"/>
        </w:rPr>
        <w:t xml:space="preserve">Ставовите 1, 2 и 3 , исто така се применуваат за: </w:t>
      </w:r>
    </w:p>
    <w:p w:rsidR="00CC6B44" w:rsidRPr="006472AF" w:rsidRDefault="00CC6B44" w:rsidP="005C2A4E">
      <w:pPr>
        <w:pStyle w:val="NormalWeb"/>
        <w:ind w:left="120"/>
        <w:jc w:val="both"/>
        <w:rPr>
          <w:lang w:val="ru-RU"/>
        </w:rPr>
      </w:pPr>
      <w:r w:rsidRPr="008B426D">
        <w:rPr>
          <w:lang w:val="mk-MK"/>
        </w:rPr>
        <w:t>(а) ситуации опфатени со членот 141 од Договорот и доколку се работи за дискриминација</w:t>
      </w:r>
      <w:r>
        <w:rPr>
          <w:lang w:val="mk-MK"/>
        </w:rPr>
        <w:t xml:space="preserve"> по основ на пол,</w:t>
      </w:r>
      <w:r w:rsidRPr="008B426D">
        <w:rPr>
          <w:lang w:val="mk-MK"/>
        </w:rPr>
        <w:t xml:space="preserve"> од Директивите 92/85/ЕЕЗ и 96/34/ЕЗ;  </w:t>
      </w:r>
    </w:p>
    <w:p w:rsidR="00CC6B44" w:rsidRPr="006472AF" w:rsidRDefault="00CC6B44" w:rsidP="009D1D18">
      <w:pPr>
        <w:pStyle w:val="NormalWeb"/>
        <w:ind w:left="120"/>
        <w:jc w:val="both"/>
        <w:rPr>
          <w:lang w:val="ru-RU"/>
        </w:rPr>
      </w:pPr>
      <w:r w:rsidRPr="008B426D">
        <w:rPr>
          <w:lang w:val="mk-MK"/>
        </w:rPr>
        <w:t xml:space="preserve">(б) секоја граѓанска или административна постапка што се однесува на јавниот или приватниот сектор и според националното законодавство предвидува средства за правна заштита и согласно мерките наведени во (а) со исклучок на вонпарнични постаки со волонтерска природа или кои се предвидени со националното законодавство.  </w:t>
      </w:r>
    </w:p>
    <w:p w:rsidR="00CC6B44" w:rsidRPr="006472AF" w:rsidRDefault="00CC6B44" w:rsidP="008B426D">
      <w:pPr>
        <w:pStyle w:val="NormalWeb"/>
        <w:jc w:val="both"/>
        <w:rPr>
          <w:lang w:val="ru-RU"/>
        </w:rPr>
      </w:pPr>
      <w:r w:rsidRPr="006472AF">
        <w:rPr>
          <w:lang w:val="ru-RU"/>
        </w:rPr>
        <w:lastRenderedPageBreak/>
        <w:t xml:space="preserve">5. </w:t>
      </w:r>
      <w:r w:rsidRPr="008B426D">
        <w:rPr>
          <w:lang w:val="mk-MK"/>
        </w:rPr>
        <w:t>Доколку не е поинаку предвидено од земјите-членки</w:t>
      </w:r>
      <w:r>
        <w:rPr>
          <w:lang w:val="mk-MK"/>
        </w:rPr>
        <w:t>,</w:t>
      </w:r>
      <w:r w:rsidRPr="008B426D">
        <w:rPr>
          <w:lang w:val="mk-MK"/>
        </w:rPr>
        <w:t xml:space="preserve"> овој член не се применува за </w:t>
      </w:r>
      <w:r>
        <w:rPr>
          <w:lang w:val="mk-MK"/>
        </w:rPr>
        <w:t xml:space="preserve">кривични </w:t>
      </w:r>
      <w:r w:rsidRPr="008B426D">
        <w:rPr>
          <w:lang w:val="mk-MK"/>
        </w:rPr>
        <w:t xml:space="preserve">постапки.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ПОГЛАВЈЕ 2</w:t>
      </w:r>
    </w:p>
    <w:p w:rsidR="00CC6B44" w:rsidRPr="00F1648E" w:rsidRDefault="00CC6B44" w:rsidP="000E037A">
      <w:pPr>
        <w:pStyle w:val="NormalWeb"/>
        <w:jc w:val="center"/>
        <w:rPr>
          <w:b/>
          <w:bCs/>
          <w:i/>
          <w:iCs/>
          <w:lang w:val="ru-RU"/>
        </w:rPr>
      </w:pPr>
      <w:r w:rsidRPr="00F1648E">
        <w:rPr>
          <w:b/>
          <w:bCs/>
          <w:i/>
          <w:iCs/>
          <w:lang w:val="mk-MK"/>
        </w:rPr>
        <w:t>Поттикнување на еднаков третман-дијалог</w:t>
      </w:r>
    </w:p>
    <w:p w:rsidR="00CC6B44" w:rsidRPr="006472AF" w:rsidRDefault="00CC6B44" w:rsidP="000E037A">
      <w:pPr>
        <w:pStyle w:val="NormalWeb"/>
        <w:jc w:val="center"/>
        <w:rPr>
          <w:i/>
          <w:iCs/>
          <w:lang w:val="ru-RU"/>
        </w:rPr>
      </w:pPr>
      <w:r w:rsidRPr="000E037A">
        <w:rPr>
          <w:i/>
          <w:iCs/>
          <w:lang w:val="mk-MK"/>
        </w:rPr>
        <w:t>Член 20</w:t>
      </w:r>
    </w:p>
    <w:p w:rsidR="00CC6B44" w:rsidRPr="00F1648E" w:rsidRDefault="00CC6B44" w:rsidP="009D1D18">
      <w:pPr>
        <w:pStyle w:val="NormalWeb"/>
        <w:jc w:val="center"/>
        <w:rPr>
          <w:b/>
          <w:bCs/>
          <w:i/>
          <w:iCs/>
          <w:lang w:val="ru-RU"/>
        </w:rPr>
      </w:pPr>
      <w:r>
        <w:rPr>
          <w:b/>
          <w:bCs/>
          <w:i/>
          <w:iCs/>
          <w:lang w:val="mk-MK"/>
        </w:rPr>
        <w:t xml:space="preserve">Тела </w:t>
      </w:r>
      <w:r w:rsidRPr="00F1648E">
        <w:rPr>
          <w:b/>
          <w:bCs/>
          <w:i/>
          <w:iCs/>
          <w:lang w:val="mk-MK"/>
        </w:rPr>
        <w:t>за рамноправност</w:t>
      </w:r>
    </w:p>
    <w:p w:rsidR="00CC6B44" w:rsidRPr="006472AF" w:rsidRDefault="00CC6B44" w:rsidP="009D1D18">
      <w:pPr>
        <w:pStyle w:val="NormalWeb"/>
        <w:jc w:val="both"/>
        <w:rPr>
          <w:lang w:val="ru-RU"/>
        </w:rPr>
      </w:pPr>
      <w:r w:rsidRPr="006472AF">
        <w:rPr>
          <w:lang w:val="ru-RU"/>
        </w:rPr>
        <w:t xml:space="preserve">1. </w:t>
      </w:r>
      <w:r w:rsidRPr="00412AF7">
        <w:rPr>
          <w:lang w:val="mk-MK"/>
        </w:rPr>
        <w:t xml:space="preserve">Земјите-членки определуваат </w:t>
      </w:r>
      <w:r>
        <w:rPr>
          <w:lang w:val="mk-MK"/>
        </w:rPr>
        <w:t>тело</w:t>
      </w:r>
      <w:r w:rsidRPr="00412AF7">
        <w:rPr>
          <w:lang w:val="mk-MK"/>
        </w:rPr>
        <w:t xml:space="preserve"> или </w:t>
      </w:r>
      <w:r>
        <w:rPr>
          <w:lang w:val="mk-MK"/>
        </w:rPr>
        <w:t>тела</w:t>
      </w:r>
      <w:r w:rsidRPr="00412AF7">
        <w:rPr>
          <w:lang w:val="mk-MK"/>
        </w:rPr>
        <w:t xml:space="preserve"> за </w:t>
      </w:r>
      <w:r>
        <w:rPr>
          <w:lang w:val="mk-MK"/>
        </w:rPr>
        <w:t>поттикнување</w:t>
      </w:r>
      <w:r w:rsidRPr="00412AF7">
        <w:rPr>
          <w:lang w:val="mk-MK"/>
        </w:rPr>
        <w:t>, анализа, набљудување и поддршка на еднак</w:t>
      </w:r>
      <w:r>
        <w:rPr>
          <w:lang w:val="mk-MK"/>
        </w:rPr>
        <w:t>виот</w:t>
      </w:r>
      <w:r w:rsidRPr="00412AF7">
        <w:rPr>
          <w:lang w:val="mk-MK"/>
        </w:rPr>
        <w:t xml:space="preserve"> третман на сите лица без полова дискриминација. </w:t>
      </w:r>
      <w:r w:rsidRPr="006472AF">
        <w:rPr>
          <w:lang w:val="ru-RU"/>
        </w:rPr>
        <w:t xml:space="preserve"> </w:t>
      </w:r>
      <w:r w:rsidRPr="00412AF7">
        <w:rPr>
          <w:lang w:val="mk-MK"/>
        </w:rPr>
        <w:t>Овие тела можат да претставуваат дел од агенциите што се занимаваат со одбрана на човековите права или индивидуална заштита на правата на луѓето</w:t>
      </w:r>
      <w:r>
        <w:rPr>
          <w:lang w:val="mk-MK"/>
        </w:rPr>
        <w:t>,</w:t>
      </w:r>
      <w:r w:rsidRPr="00412AF7">
        <w:rPr>
          <w:lang w:val="mk-MK"/>
        </w:rPr>
        <w:t xml:space="preserve"> на национално ниво. </w:t>
      </w:r>
    </w:p>
    <w:p w:rsidR="00CC6B44" w:rsidRPr="006472AF" w:rsidRDefault="00CC6B44" w:rsidP="008B426D">
      <w:pPr>
        <w:pStyle w:val="NormalWeb"/>
        <w:jc w:val="both"/>
        <w:rPr>
          <w:lang w:val="ru-RU"/>
        </w:rPr>
      </w:pPr>
      <w:r w:rsidRPr="006472AF">
        <w:rPr>
          <w:lang w:val="ru-RU"/>
        </w:rPr>
        <w:t xml:space="preserve">2. </w:t>
      </w:r>
      <w:r w:rsidRPr="008B426D">
        <w:rPr>
          <w:lang w:val="mk-MK"/>
        </w:rPr>
        <w:t xml:space="preserve">Земјите-членки гарантираат дека надлежностите на овие органи вклучуваат: </w:t>
      </w:r>
    </w:p>
    <w:p w:rsidR="00CC6B44" w:rsidRPr="006472AF" w:rsidRDefault="00CC6B44" w:rsidP="009D1D18">
      <w:pPr>
        <w:pStyle w:val="NormalWeb"/>
        <w:ind w:left="360"/>
        <w:jc w:val="both"/>
        <w:rPr>
          <w:lang w:val="ru-RU"/>
        </w:rPr>
      </w:pPr>
      <w:r w:rsidRPr="008B426D">
        <w:rPr>
          <w:lang w:val="mk-MK"/>
        </w:rPr>
        <w:t xml:space="preserve">(а) без повреда на правата на жртвите и здруженијата, организациите или другите правни лица што се наведени во членот 17(2), </w:t>
      </w:r>
      <w:r>
        <w:rPr>
          <w:lang w:val="mk-MK"/>
        </w:rPr>
        <w:t xml:space="preserve">обезбедување на </w:t>
      </w:r>
      <w:r w:rsidRPr="008B426D">
        <w:rPr>
          <w:lang w:val="mk-MK"/>
        </w:rPr>
        <w:t xml:space="preserve">независна помош за жртвите на дискриминација при разгледување на нивните жалби за дискриминација; </w:t>
      </w:r>
    </w:p>
    <w:p w:rsidR="00CC6B44" w:rsidRPr="006472AF" w:rsidRDefault="00CC6B44" w:rsidP="009D1D18">
      <w:pPr>
        <w:pStyle w:val="NormalWeb"/>
        <w:ind w:left="360"/>
        <w:jc w:val="both"/>
        <w:rPr>
          <w:lang w:val="ru-RU"/>
        </w:rPr>
      </w:pPr>
      <w:r w:rsidRPr="008B426D">
        <w:rPr>
          <w:lang w:val="mk-MK"/>
        </w:rPr>
        <w:t xml:space="preserve">(б) изработување независни </w:t>
      </w:r>
      <w:r>
        <w:rPr>
          <w:lang w:val="mk-MK"/>
        </w:rPr>
        <w:t>истражувања</w:t>
      </w:r>
      <w:r w:rsidRPr="008B426D">
        <w:rPr>
          <w:lang w:val="mk-MK"/>
        </w:rPr>
        <w:t xml:space="preserve"> за дискриминација;  </w:t>
      </w:r>
    </w:p>
    <w:p w:rsidR="00CC6B44" w:rsidRPr="006472AF" w:rsidRDefault="00CC6B44" w:rsidP="009D1D18">
      <w:pPr>
        <w:pStyle w:val="NormalWeb"/>
        <w:ind w:left="360"/>
        <w:jc w:val="both"/>
        <w:rPr>
          <w:lang w:val="ru-RU"/>
        </w:rPr>
      </w:pPr>
      <w:r w:rsidRPr="008B426D">
        <w:rPr>
          <w:lang w:val="mk-MK"/>
        </w:rPr>
        <w:t xml:space="preserve">(в) публикување независни извештаи и давање препораки за </w:t>
      </w:r>
      <w:r>
        <w:rPr>
          <w:lang w:val="mk-MK"/>
        </w:rPr>
        <w:t>прашања</w:t>
      </w:r>
      <w:r w:rsidRPr="008B426D">
        <w:rPr>
          <w:lang w:val="mk-MK"/>
        </w:rPr>
        <w:t xml:space="preserve"> што се поврзани со дискриминација; </w:t>
      </w:r>
    </w:p>
    <w:p w:rsidR="00CC6B44" w:rsidRPr="006472AF" w:rsidRDefault="00CC6B44" w:rsidP="009D1D18">
      <w:pPr>
        <w:pStyle w:val="NormalWeb"/>
        <w:ind w:left="360"/>
        <w:jc w:val="both"/>
        <w:rPr>
          <w:lang w:val="ru-RU"/>
        </w:rPr>
      </w:pPr>
      <w:r w:rsidRPr="008B426D">
        <w:rPr>
          <w:lang w:val="mk-MK"/>
        </w:rPr>
        <w:t>(г) на соодветно ниво раз</w:t>
      </w:r>
      <w:r>
        <w:rPr>
          <w:lang w:val="mk-MK"/>
        </w:rPr>
        <w:t xml:space="preserve">мена на достапни </w:t>
      </w:r>
      <w:r w:rsidRPr="00412AF7">
        <w:rPr>
          <w:lang w:val="mk-MK"/>
        </w:rPr>
        <w:t xml:space="preserve">информации со </w:t>
      </w:r>
      <w:r>
        <w:rPr>
          <w:lang w:val="mk-MK"/>
        </w:rPr>
        <w:t xml:space="preserve">соодветните </w:t>
      </w:r>
      <w:r w:rsidRPr="00412AF7">
        <w:rPr>
          <w:lang w:val="mk-MK"/>
        </w:rPr>
        <w:t xml:space="preserve">европските </w:t>
      </w:r>
      <w:r>
        <w:rPr>
          <w:lang w:val="mk-MK"/>
        </w:rPr>
        <w:t>тела</w:t>
      </w:r>
      <w:r w:rsidRPr="00412AF7">
        <w:rPr>
          <w:lang w:val="mk-MK"/>
        </w:rPr>
        <w:t xml:space="preserve"> како</w:t>
      </w:r>
      <w:r w:rsidRPr="008B426D">
        <w:rPr>
          <w:lang w:val="mk-MK"/>
        </w:rPr>
        <w:t xml:space="preserve"> на пример евентуален иден Европски институт за </w:t>
      </w:r>
      <w:r>
        <w:rPr>
          <w:lang w:val="mk-MK"/>
        </w:rPr>
        <w:t>родова</w:t>
      </w:r>
      <w:r w:rsidRPr="008B426D">
        <w:rPr>
          <w:lang w:val="mk-MK"/>
        </w:rPr>
        <w:t xml:space="preserve"> еднаквост.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21</w:t>
      </w:r>
    </w:p>
    <w:p w:rsidR="00CC6B44" w:rsidRPr="00F1648E" w:rsidRDefault="00CC6B44" w:rsidP="000E037A">
      <w:pPr>
        <w:pStyle w:val="NormalWeb"/>
        <w:jc w:val="center"/>
        <w:rPr>
          <w:b/>
          <w:bCs/>
          <w:i/>
          <w:iCs/>
          <w:lang w:val="ru-RU"/>
        </w:rPr>
      </w:pPr>
      <w:r w:rsidRPr="00F1648E">
        <w:rPr>
          <w:b/>
          <w:bCs/>
          <w:i/>
          <w:iCs/>
          <w:lang w:val="mk-MK"/>
        </w:rPr>
        <w:t>Социјален дијалог</w:t>
      </w:r>
    </w:p>
    <w:p w:rsidR="00CC6B44" w:rsidRPr="006472AF" w:rsidRDefault="00CC6B44" w:rsidP="00465414">
      <w:pPr>
        <w:pStyle w:val="NormalWeb"/>
        <w:jc w:val="both"/>
        <w:rPr>
          <w:lang w:val="ru-RU"/>
        </w:rPr>
      </w:pPr>
      <w:r w:rsidRPr="006472AF">
        <w:rPr>
          <w:lang w:val="ru-RU"/>
        </w:rPr>
        <w:t xml:space="preserve">1. </w:t>
      </w:r>
      <w:r w:rsidRPr="00412AF7">
        <w:rPr>
          <w:lang w:val="mk-MK"/>
        </w:rPr>
        <w:t>Земјите-ченки, во согласност со националните традиции и практики, преземаат соодветни мерки за поттикнување на социјален дијалог помеѓу социјалните партнери со цел за зајакнување на еднаквиот третман, вклучувајќи на пример</w:t>
      </w:r>
      <w:r>
        <w:rPr>
          <w:lang w:val="mk-MK"/>
        </w:rPr>
        <w:t xml:space="preserve">, </w:t>
      </w:r>
      <w:r w:rsidRPr="00412AF7">
        <w:rPr>
          <w:lang w:val="mk-MK"/>
        </w:rPr>
        <w:t xml:space="preserve">набљудување на практиките на работното место, пристапот до вработување, </w:t>
      </w:r>
      <w:r>
        <w:rPr>
          <w:lang w:val="mk-MK"/>
        </w:rPr>
        <w:t xml:space="preserve">стручната обука </w:t>
      </w:r>
      <w:r w:rsidRPr="00412AF7">
        <w:rPr>
          <w:lang w:val="mk-MK"/>
        </w:rPr>
        <w:t>и напредување</w:t>
      </w:r>
      <w:r>
        <w:rPr>
          <w:lang w:val="mk-MK"/>
        </w:rPr>
        <w:t>то</w:t>
      </w:r>
      <w:r w:rsidRPr="00412AF7">
        <w:rPr>
          <w:lang w:val="mk-MK"/>
        </w:rPr>
        <w:t xml:space="preserve">, како и </w:t>
      </w:r>
      <w:r>
        <w:rPr>
          <w:lang w:val="mk-MK"/>
        </w:rPr>
        <w:t>следење</w:t>
      </w:r>
      <w:r w:rsidRPr="00412AF7">
        <w:rPr>
          <w:lang w:val="mk-MK"/>
        </w:rPr>
        <w:t xml:space="preserve"> на колективните договори</w:t>
      </w:r>
      <w:r w:rsidRPr="00EE133B">
        <w:rPr>
          <w:lang w:val="mk-MK"/>
        </w:rPr>
        <w:t xml:space="preserve">, кодексите за однесување, истражувања или размена на искуства и добри практики. </w:t>
      </w:r>
    </w:p>
    <w:p w:rsidR="00CC6B44" w:rsidRPr="006472AF" w:rsidRDefault="00CC6B44" w:rsidP="00465414">
      <w:pPr>
        <w:pStyle w:val="NormalWeb"/>
        <w:jc w:val="both"/>
        <w:rPr>
          <w:lang w:val="ru-RU"/>
        </w:rPr>
      </w:pPr>
      <w:r w:rsidRPr="006472AF">
        <w:rPr>
          <w:lang w:val="ru-RU"/>
        </w:rPr>
        <w:lastRenderedPageBreak/>
        <w:t xml:space="preserve">2. </w:t>
      </w:r>
      <w:r w:rsidRPr="00DE2F97">
        <w:rPr>
          <w:lang w:val="mk-MK"/>
        </w:rPr>
        <w:t>Кога тоа е во согласност со националните традиции и практики, земјите-членки ги охрабруваат социјалните партнери, без повреда на нивната автономност, да ја промовираат еднаквоста помеѓу мажите и жените</w:t>
      </w:r>
      <w:r>
        <w:rPr>
          <w:lang w:val="mk-MK"/>
        </w:rPr>
        <w:t>,</w:t>
      </w:r>
      <w:r w:rsidRPr="00DE2F97">
        <w:rPr>
          <w:lang w:val="mk-MK"/>
        </w:rPr>
        <w:t xml:space="preserve"> и флексибилните договори за работа со цел </w:t>
      </w:r>
      <w:r w:rsidRPr="00412AF7">
        <w:rPr>
          <w:lang w:val="mk-MK"/>
        </w:rPr>
        <w:t>олеснување на усогласувањето на професионалниот и приватниот живот</w:t>
      </w:r>
      <w:r>
        <w:rPr>
          <w:lang w:val="mk-MK"/>
        </w:rPr>
        <w:t>,</w:t>
      </w:r>
      <w:r w:rsidRPr="00412AF7">
        <w:rPr>
          <w:lang w:val="mk-MK"/>
        </w:rPr>
        <w:t xml:space="preserve"> и на соодветно ниво да склуч</w:t>
      </w:r>
      <w:r>
        <w:rPr>
          <w:lang w:val="mk-MK"/>
        </w:rPr>
        <w:t xml:space="preserve">уваат </w:t>
      </w:r>
      <w:r w:rsidRPr="00412AF7">
        <w:rPr>
          <w:lang w:val="mk-MK"/>
        </w:rPr>
        <w:t>договори со кои се утврдуваат антидискриминирачки прописи во област</w:t>
      </w:r>
      <w:r>
        <w:rPr>
          <w:lang w:val="mk-MK"/>
        </w:rPr>
        <w:t xml:space="preserve">ите наведени во </w:t>
      </w:r>
      <w:r w:rsidRPr="00412AF7">
        <w:rPr>
          <w:lang w:val="mk-MK"/>
        </w:rPr>
        <w:t xml:space="preserve">членот 1 и кои </w:t>
      </w:r>
      <w:r>
        <w:rPr>
          <w:lang w:val="mk-MK"/>
        </w:rPr>
        <w:t xml:space="preserve">потпаѓаат </w:t>
      </w:r>
      <w:r w:rsidRPr="00412AF7">
        <w:rPr>
          <w:lang w:val="mk-MK"/>
        </w:rPr>
        <w:t>во опфатот на колективно договарање. Овие договори ги почитуваат одредби</w:t>
      </w:r>
      <w:r>
        <w:rPr>
          <w:lang w:val="mk-MK"/>
        </w:rPr>
        <w:t>те</w:t>
      </w:r>
      <w:r w:rsidRPr="00412AF7">
        <w:rPr>
          <w:lang w:val="mk-MK"/>
        </w:rPr>
        <w:t xml:space="preserve"> од оваа директива и релевантните национални мерки за</w:t>
      </w:r>
      <w:r w:rsidRPr="00DE2F97">
        <w:rPr>
          <w:lang w:val="mk-MK"/>
        </w:rPr>
        <w:t xml:space="preserve"> спроведување. </w:t>
      </w:r>
    </w:p>
    <w:p w:rsidR="00CC6B44" w:rsidRPr="006472AF" w:rsidRDefault="00CC6B44" w:rsidP="00465414">
      <w:pPr>
        <w:pStyle w:val="NormalWeb"/>
        <w:jc w:val="both"/>
        <w:rPr>
          <w:lang w:val="ru-RU"/>
        </w:rPr>
      </w:pPr>
      <w:r w:rsidRPr="006472AF">
        <w:rPr>
          <w:lang w:val="ru-RU"/>
        </w:rPr>
        <w:t xml:space="preserve">3. </w:t>
      </w:r>
      <w:r w:rsidRPr="00DE2F97">
        <w:rPr>
          <w:lang w:val="mk-MK"/>
        </w:rPr>
        <w:t>Земјите-ченки, во согласност со националното законодавство, колективните договори или практик</w:t>
      </w:r>
      <w:r>
        <w:rPr>
          <w:lang w:val="mk-MK"/>
        </w:rPr>
        <w:t>а</w:t>
      </w:r>
      <w:r w:rsidRPr="00DE2F97">
        <w:rPr>
          <w:lang w:val="mk-MK"/>
        </w:rPr>
        <w:t>, ги охрабруваат работодав</w:t>
      </w:r>
      <w:r>
        <w:rPr>
          <w:lang w:val="mk-MK"/>
        </w:rPr>
        <w:t>ачите</w:t>
      </w:r>
      <w:r w:rsidRPr="00DE2F97">
        <w:rPr>
          <w:lang w:val="mk-MK"/>
        </w:rPr>
        <w:t xml:space="preserve"> да промовираат еднаков третман на мажите и жените на </w:t>
      </w:r>
      <w:r>
        <w:rPr>
          <w:lang w:val="mk-MK"/>
        </w:rPr>
        <w:t>плански</w:t>
      </w:r>
      <w:r w:rsidRPr="00DE2F97">
        <w:rPr>
          <w:lang w:val="mk-MK"/>
        </w:rPr>
        <w:t xml:space="preserve"> и систематски начин на работното место, при пристапот до вработување, </w:t>
      </w:r>
      <w:r>
        <w:rPr>
          <w:lang w:val="mk-MK"/>
        </w:rPr>
        <w:t xml:space="preserve">стручна обука </w:t>
      </w:r>
      <w:r w:rsidRPr="00DE2F97">
        <w:rPr>
          <w:lang w:val="mk-MK"/>
        </w:rPr>
        <w:t>и напредување</w:t>
      </w:r>
      <w:r>
        <w:rPr>
          <w:lang w:val="mk-MK"/>
        </w:rPr>
        <w:t>то</w:t>
      </w:r>
      <w:r w:rsidRPr="00DE2F97">
        <w:rPr>
          <w:lang w:val="mk-MK"/>
        </w:rPr>
        <w:t xml:space="preserve">. </w:t>
      </w:r>
    </w:p>
    <w:p w:rsidR="00CC6B44" w:rsidRPr="006472AF" w:rsidRDefault="00CC6B44" w:rsidP="00465414">
      <w:pPr>
        <w:pStyle w:val="NormalWeb"/>
        <w:jc w:val="both"/>
        <w:rPr>
          <w:lang w:val="ru-RU"/>
        </w:rPr>
      </w:pPr>
      <w:r w:rsidRPr="006472AF">
        <w:rPr>
          <w:lang w:val="ru-RU"/>
        </w:rPr>
        <w:t xml:space="preserve">4. </w:t>
      </w:r>
      <w:r w:rsidRPr="00DE2F97">
        <w:rPr>
          <w:lang w:val="mk-MK"/>
        </w:rPr>
        <w:t>За таа цел, работодав</w:t>
      </w:r>
      <w:r>
        <w:rPr>
          <w:lang w:val="mk-MK"/>
        </w:rPr>
        <w:t>ачите</w:t>
      </w:r>
      <w:r w:rsidRPr="00DE2F97">
        <w:rPr>
          <w:lang w:val="mk-MK"/>
        </w:rPr>
        <w:t xml:space="preserve"> се охрабруваат да им обезбедат на работниците и/или на нивните претставници соодветни и редовни информации за еднаквиот третман на мажите и жените во претпријати</w:t>
      </w:r>
      <w:r>
        <w:rPr>
          <w:lang w:val="mk-MK"/>
        </w:rPr>
        <w:t>ето</w:t>
      </w:r>
      <w:r w:rsidRPr="00DE2F97">
        <w:rPr>
          <w:lang w:val="mk-MK"/>
        </w:rPr>
        <w:t xml:space="preserve">.  </w:t>
      </w:r>
    </w:p>
    <w:p w:rsidR="00CC6B44" w:rsidRPr="006472AF" w:rsidRDefault="00CC6B44" w:rsidP="00465414">
      <w:pPr>
        <w:pStyle w:val="NormalWeb"/>
        <w:jc w:val="both"/>
        <w:rPr>
          <w:lang w:val="ru-RU"/>
        </w:rPr>
      </w:pPr>
      <w:r w:rsidRPr="00DE2F97">
        <w:rPr>
          <w:lang w:val="mk-MK"/>
        </w:rPr>
        <w:t xml:space="preserve">Таквите </w:t>
      </w:r>
      <w:r w:rsidRPr="00412AF7">
        <w:rPr>
          <w:lang w:val="mk-MK"/>
        </w:rPr>
        <w:t>информации можат да</w:t>
      </w:r>
      <w:r w:rsidRPr="00DE2F97">
        <w:rPr>
          <w:lang w:val="mk-MK"/>
        </w:rPr>
        <w:t xml:space="preserve"> вклучуваат општ преглед на соодносот меѓу мажите и жените на различни нивоа </w:t>
      </w:r>
      <w:r>
        <w:rPr>
          <w:lang w:val="mk-MK"/>
        </w:rPr>
        <w:t>во</w:t>
      </w:r>
      <w:r w:rsidRPr="00DE2F97">
        <w:rPr>
          <w:lang w:val="mk-MK"/>
        </w:rPr>
        <w:t xml:space="preserve"> организаци</w:t>
      </w:r>
      <w:r>
        <w:rPr>
          <w:lang w:val="mk-MK"/>
        </w:rPr>
        <w:t>јата</w:t>
      </w:r>
      <w:r w:rsidRPr="00DE2F97">
        <w:rPr>
          <w:lang w:val="mk-MK"/>
        </w:rPr>
        <w:t>; нивнат</w:t>
      </w:r>
      <w:r>
        <w:rPr>
          <w:lang w:val="mk-MK"/>
        </w:rPr>
        <w:t>о</w:t>
      </w:r>
      <w:r w:rsidRPr="00DE2F97">
        <w:rPr>
          <w:lang w:val="mk-MK"/>
        </w:rPr>
        <w:t xml:space="preserve"> </w:t>
      </w:r>
      <w:r>
        <w:rPr>
          <w:lang w:val="mk-MK"/>
        </w:rPr>
        <w:t>плаќање</w:t>
      </w:r>
      <w:r w:rsidRPr="00DE2F97">
        <w:rPr>
          <w:lang w:val="mk-MK"/>
        </w:rPr>
        <w:t xml:space="preserve"> и разликите во </w:t>
      </w:r>
      <w:r>
        <w:rPr>
          <w:lang w:val="mk-MK"/>
        </w:rPr>
        <w:t>плаќањето</w:t>
      </w:r>
      <w:r w:rsidRPr="00DE2F97">
        <w:rPr>
          <w:lang w:val="mk-MK"/>
        </w:rPr>
        <w:t xml:space="preserve">; </w:t>
      </w:r>
      <w:r w:rsidRPr="00412AF7">
        <w:rPr>
          <w:lang w:val="mk-MK"/>
        </w:rPr>
        <w:t>и мерките што можат да се преземат</w:t>
      </w:r>
      <w:r w:rsidRPr="00DE2F97">
        <w:rPr>
          <w:lang w:val="mk-MK"/>
        </w:rPr>
        <w:t xml:space="preserve"> за да се подобри ситуацијата во рамки на соработката со претставниците на вработените.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22</w:t>
      </w:r>
    </w:p>
    <w:p w:rsidR="00CC6B44" w:rsidRPr="00F1648E" w:rsidRDefault="00CC6B44" w:rsidP="000E037A">
      <w:pPr>
        <w:pStyle w:val="NormalWeb"/>
        <w:jc w:val="center"/>
        <w:rPr>
          <w:b/>
          <w:bCs/>
          <w:i/>
          <w:iCs/>
          <w:lang w:val="ru-RU"/>
        </w:rPr>
      </w:pPr>
      <w:r w:rsidRPr="00F1648E">
        <w:rPr>
          <w:b/>
          <w:bCs/>
          <w:i/>
          <w:iCs/>
          <w:lang w:val="mk-MK"/>
        </w:rPr>
        <w:t>Дијалог со невладините организации</w:t>
      </w:r>
    </w:p>
    <w:p w:rsidR="00CC6B44" w:rsidRPr="006472AF" w:rsidRDefault="00CC6B44" w:rsidP="00453B21">
      <w:pPr>
        <w:pStyle w:val="NormalWeb"/>
        <w:jc w:val="both"/>
        <w:rPr>
          <w:lang w:val="ru-RU"/>
        </w:rPr>
      </w:pPr>
      <w:r w:rsidRPr="00DE2F97">
        <w:rPr>
          <w:lang w:val="mk-MK"/>
        </w:rPr>
        <w:t>Земјите-членки го поттикнуваат дијалогот со соодветните невладини организации што, во согласност со нивното национално законодавство и практика</w:t>
      </w:r>
      <w:r>
        <w:rPr>
          <w:lang w:val="mk-MK"/>
        </w:rPr>
        <w:t>,</w:t>
      </w:r>
      <w:r w:rsidRPr="00DE2F97">
        <w:rPr>
          <w:lang w:val="mk-MK"/>
        </w:rPr>
        <w:t xml:space="preserve"> имаат </w:t>
      </w:r>
      <w:r>
        <w:rPr>
          <w:lang w:val="mk-MK"/>
        </w:rPr>
        <w:t>легитимен</w:t>
      </w:r>
      <w:r w:rsidRPr="00DE2F97">
        <w:rPr>
          <w:lang w:val="mk-MK"/>
        </w:rPr>
        <w:t xml:space="preserve"> интерес да </w:t>
      </w:r>
      <w:r>
        <w:rPr>
          <w:lang w:val="mk-MK"/>
        </w:rPr>
        <w:t>дадат придонес</w:t>
      </w:r>
      <w:r w:rsidRPr="00DE2F97">
        <w:rPr>
          <w:lang w:val="mk-MK"/>
        </w:rPr>
        <w:t xml:space="preserve"> во борбата против дискриминацијата</w:t>
      </w:r>
      <w:r>
        <w:rPr>
          <w:lang w:val="mk-MK"/>
        </w:rPr>
        <w:t xml:space="preserve"> по основ на пол</w:t>
      </w:r>
      <w:r w:rsidRPr="00DE2F97">
        <w:rPr>
          <w:lang w:val="mk-MK"/>
        </w:rPr>
        <w:t xml:space="preserve"> со цел промовирање на принципот на еднаков третман.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ПОГЛАВЈЕ 3</w:t>
      </w:r>
    </w:p>
    <w:p w:rsidR="00CC6B44" w:rsidRPr="00F1648E" w:rsidRDefault="00CC6B44" w:rsidP="000E037A">
      <w:pPr>
        <w:pStyle w:val="NormalWeb"/>
        <w:jc w:val="center"/>
        <w:rPr>
          <w:b/>
          <w:bCs/>
          <w:i/>
          <w:iCs/>
          <w:lang w:val="ru-RU"/>
        </w:rPr>
      </w:pPr>
      <w:r w:rsidRPr="00F1648E">
        <w:rPr>
          <w:b/>
          <w:bCs/>
          <w:i/>
          <w:iCs/>
          <w:lang w:val="mk-MK"/>
        </w:rPr>
        <w:t>Општи хоризонтални одредби</w:t>
      </w:r>
    </w:p>
    <w:p w:rsidR="00CC6B44" w:rsidRPr="006472AF" w:rsidRDefault="00CC6B44" w:rsidP="000E037A">
      <w:pPr>
        <w:pStyle w:val="NormalWeb"/>
        <w:jc w:val="center"/>
        <w:rPr>
          <w:i/>
          <w:iCs/>
          <w:lang w:val="ru-RU"/>
        </w:rPr>
      </w:pPr>
      <w:r w:rsidRPr="000E037A">
        <w:rPr>
          <w:i/>
          <w:iCs/>
          <w:lang w:val="mk-MK"/>
        </w:rPr>
        <w:t>Член 23</w:t>
      </w:r>
    </w:p>
    <w:p w:rsidR="00CC6B44" w:rsidRPr="00F1648E" w:rsidRDefault="00CC6B44" w:rsidP="000E037A">
      <w:pPr>
        <w:pStyle w:val="NormalWeb"/>
        <w:jc w:val="center"/>
        <w:rPr>
          <w:b/>
          <w:bCs/>
          <w:i/>
          <w:iCs/>
          <w:lang w:val="ru-RU"/>
        </w:rPr>
      </w:pPr>
      <w:r w:rsidRPr="00F1648E">
        <w:rPr>
          <w:b/>
          <w:bCs/>
          <w:i/>
          <w:iCs/>
          <w:lang w:val="mk-MK"/>
        </w:rPr>
        <w:t>Сообразност</w:t>
      </w:r>
    </w:p>
    <w:p w:rsidR="00CC6B44" w:rsidRPr="006472AF" w:rsidRDefault="00CC6B44" w:rsidP="00DE2F97">
      <w:pPr>
        <w:pStyle w:val="NormalWeb"/>
        <w:jc w:val="both"/>
        <w:rPr>
          <w:lang w:val="ru-RU"/>
        </w:rPr>
      </w:pPr>
      <w:r w:rsidRPr="00DE2F97">
        <w:rPr>
          <w:lang w:val="mk-MK"/>
        </w:rPr>
        <w:t xml:space="preserve">Земјите-членки ги преземаат сите неопходни мерки за да гарантираат дека: </w:t>
      </w:r>
    </w:p>
    <w:p w:rsidR="00CC6B44" w:rsidRPr="006472AF" w:rsidRDefault="00CC6B44" w:rsidP="00DE2F97">
      <w:pPr>
        <w:pStyle w:val="NormalWeb"/>
        <w:jc w:val="both"/>
        <w:rPr>
          <w:lang w:val="ru-RU"/>
        </w:rPr>
      </w:pPr>
      <w:r w:rsidRPr="00DE2F97">
        <w:rPr>
          <w:lang w:val="mk-MK"/>
        </w:rPr>
        <w:t xml:space="preserve">(а) сите закони, регулативи и административни одредби што се спротивни на принципот на еднаков третман се укинати; </w:t>
      </w:r>
    </w:p>
    <w:p w:rsidR="00CC6B44" w:rsidRPr="00063369" w:rsidRDefault="00CC6B44" w:rsidP="00453B21">
      <w:pPr>
        <w:pStyle w:val="NormalWeb"/>
        <w:jc w:val="both"/>
        <w:rPr>
          <w:lang w:val="mk-MK"/>
        </w:rPr>
      </w:pPr>
      <w:r w:rsidRPr="003D768C">
        <w:rPr>
          <w:lang w:val="mk-MK"/>
        </w:rPr>
        <w:lastRenderedPageBreak/>
        <w:t xml:space="preserve">(б) одредбите што се спротивни на принципот на </w:t>
      </w:r>
      <w:r w:rsidRPr="00412AF7">
        <w:rPr>
          <w:lang w:val="mk-MK"/>
        </w:rPr>
        <w:t xml:space="preserve">еднаков третман во индивидуалните или колективните договори или спогодби, внатрешните правилници на претпријатијата или прописите со кои се регулираат независните </w:t>
      </w:r>
      <w:r>
        <w:rPr>
          <w:lang w:val="mk-MK"/>
        </w:rPr>
        <w:t>занимања и професии</w:t>
      </w:r>
      <w:r w:rsidRPr="00412AF7">
        <w:rPr>
          <w:lang w:val="mk-MK"/>
        </w:rPr>
        <w:t xml:space="preserve">  и  организациите на </w:t>
      </w:r>
      <w:r>
        <w:rPr>
          <w:lang w:val="mk-MK"/>
        </w:rPr>
        <w:t>работници и работодавачи</w:t>
      </w:r>
      <w:r w:rsidRPr="00412AF7">
        <w:rPr>
          <w:lang w:val="mk-MK"/>
        </w:rPr>
        <w:t xml:space="preserve"> или кои било други спогодби се прогласуваат, или можат да се прогласат за </w:t>
      </w:r>
      <w:r>
        <w:rPr>
          <w:lang w:val="mk-MK"/>
        </w:rPr>
        <w:t>ништовни</w:t>
      </w:r>
      <w:r w:rsidRPr="00412AF7">
        <w:rPr>
          <w:lang w:val="mk-MK"/>
        </w:rPr>
        <w:t xml:space="preserve"> или да се изменат;  </w:t>
      </w:r>
    </w:p>
    <w:p w:rsidR="00CC6B44" w:rsidRPr="006472AF" w:rsidRDefault="00CC6B44" w:rsidP="003D768C">
      <w:pPr>
        <w:pStyle w:val="NormalWeb"/>
        <w:jc w:val="both"/>
        <w:rPr>
          <w:lang w:val="ru-RU"/>
        </w:rPr>
      </w:pPr>
      <w:r w:rsidRPr="00412AF7">
        <w:rPr>
          <w:lang w:val="mk-MK"/>
        </w:rPr>
        <w:t xml:space="preserve">(в) професионалните </w:t>
      </w:r>
      <w:r>
        <w:rPr>
          <w:lang w:val="mk-MK"/>
        </w:rPr>
        <w:t xml:space="preserve">шеми за </w:t>
      </w:r>
      <w:r w:rsidRPr="00F320DF">
        <w:rPr>
          <w:lang w:val="mk-MK"/>
        </w:rPr>
        <w:t>социјалн</w:t>
      </w:r>
      <w:r>
        <w:rPr>
          <w:lang w:val="mk-MK"/>
        </w:rPr>
        <w:t>а сигурност</w:t>
      </w:r>
      <w:r w:rsidRPr="00412AF7">
        <w:rPr>
          <w:lang w:val="mk-MK"/>
        </w:rPr>
        <w:t xml:space="preserve"> што содржат такви одредби можат да не се одобрат или да не се прошират со административни мерки.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24</w:t>
      </w:r>
    </w:p>
    <w:p w:rsidR="00CC6B44" w:rsidRPr="00F1648E" w:rsidRDefault="00CC6B44" w:rsidP="000E037A">
      <w:pPr>
        <w:pStyle w:val="NormalWeb"/>
        <w:jc w:val="center"/>
        <w:rPr>
          <w:b/>
          <w:bCs/>
          <w:i/>
          <w:iCs/>
          <w:lang w:val="ru-RU"/>
        </w:rPr>
      </w:pPr>
      <w:r w:rsidRPr="00F1648E">
        <w:rPr>
          <w:b/>
          <w:bCs/>
          <w:i/>
          <w:iCs/>
          <w:lang w:val="mk-MK"/>
        </w:rPr>
        <w:t>Виктимизација</w:t>
      </w:r>
    </w:p>
    <w:p w:rsidR="00CC6B44" w:rsidRPr="006472AF" w:rsidRDefault="00CC6B44" w:rsidP="00453B21">
      <w:pPr>
        <w:pStyle w:val="NormalWeb"/>
        <w:jc w:val="both"/>
        <w:rPr>
          <w:lang w:val="ru-RU"/>
        </w:rPr>
      </w:pPr>
      <w:r w:rsidRPr="003D768C">
        <w:rPr>
          <w:lang w:val="mk-MK"/>
        </w:rPr>
        <w:t>Земјите-</w:t>
      </w:r>
      <w:r w:rsidRPr="00412AF7">
        <w:rPr>
          <w:lang w:val="mk-MK"/>
        </w:rPr>
        <w:t xml:space="preserve">членки можат во своите правни системи да воведат мерки што се неопходни за заштита на вработените, вклучувајќи ги </w:t>
      </w:r>
      <w:r>
        <w:rPr>
          <w:lang w:val="mk-MK"/>
        </w:rPr>
        <w:t xml:space="preserve">и </w:t>
      </w:r>
      <w:r w:rsidRPr="00412AF7">
        <w:rPr>
          <w:lang w:val="mk-MK"/>
        </w:rPr>
        <w:t>оние што се претставници на вработените</w:t>
      </w:r>
      <w:r>
        <w:rPr>
          <w:lang w:val="mk-MK"/>
        </w:rPr>
        <w:t>,</w:t>
      </w:r>
      <w:r w:rsidRPr="003D768C">
        <w:rPr>
          <w:lang w:val="mk-MK"/>
        </w:rPr>
        <w:t xml:space="preserve"> утврден</w:t>
      </w:r>
      <w:r>
        <w:rPr>
          <w:lang w:val="mk-MK"/>
        </w:rPr>
        <w:t>о</w:t>
      </w:r>
      <w:r w:rsidRPr="003D768C">
        <w:rPr>
          <w:lang w:val="mk-MK"/>
        </w:rPr>
        <w:t xml:space="preserve"> со националното законодавство и/или практики, против отпуштање или друг негативен третман од страна на работодав</w:t>
      </w:r>
      <w:r>
        <w:rPr>
          <w:lang w:val="mk-MK"/>
        </w:rPr>
        <w:t xml:space="preserve">ачот </w:t>
      </w:r>
      <w:r w:rsidRPr="003D768C">
        <w:rPr>
          <w:lang w:val="mk-MK"/>
        </w:rPr>
        <w:t xml:space="preserve">како реакција на жалба во рамки на претпријатието или други правни постапки чија цел е </w:t>
      </w:r>
      <w:r>
        <w:rPr>
          <w:lang w:val="mk-MK"/>
        </w:rPr>
        <w:t xml:space="preserve">почитување на </w:t>
      </w:r>
      <w:r w:rsidRPr="003D768C">
        <w:rPr>
          <w:lang w:val="mk-MK"/>
        </w:rPr>
        <w:t xml:space="preserve">принципот на еднаков третман.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25</w:t>
      </w:r>
    </w:p>
    <w:p w:rsidR="00CC6B44" w:rsidRPr="00F1648E" w:rsidRDefault="00CC6B44" w:rsidP="000E037A">
      <w:pPr>
        <w:pStyle w:val="NormalWeb"/>
        <w:jc w:val="center"/>
        <w:rPr>
          <w:b/>
          <w:bCs/>
          <w:i/>
          <w:iCs/>
          <w:lang w:val="ru-RU"/>
        </w:rPr>
      </w:pPr>
      <w:r w:rsidRPr="00F1648E">
        <w:rPr>
          <w:b/>
          <w:bCs/>
          <w:i/>
          <w:iCs/>
          <w:lang w:val="mk-MK"/>
        </w:rPr>
        <w:t>Казни</w:t>
      </w:r>
    </w:p>
    <w:p w:rsidR="00CC6B44" w:rsidRPr="006472AF" w:rsidRDefault="00CC6B44" w:rsidP="00453B21">
      <w:pPr>
        <w:pStyle w:val="NormalWeb"/>
        <w:jc w:val="both"/>
        <w:rPr>
          <w:lang w:val="ru-RU"/>
        </w:rPr>
      </w:pPr>
      <w:r w:rsidRPr="003D768C">
        <w:rPr>
          <w:lang w:val="mk-MK"/>
        </w:rPr>
        <w:t xml:space="preserve">Земјите-членки утврдуваат прописи за казни што се применуваат за прекршување на националните одредби што се донесени во согласност со оваа директива, и ги преземаат сите неопходни мерки за гарантирање дека истите се применуваат. </w:t>
      </w:r>
      <w:r w:rsidRPr="006472AF">
        <w:rPr>
          <w:lang w:val="ru-RU"/>
        </w:rPr>
        <w:t xml:space="preserve"> </w:t>
      </w:r>
      <w:r w:rsidRPr="00412AF7">
        <w:rPr>
          <w:lang w:val="mk-MK"/>
        </w:rPr>
        <w:t>Казните</w:t>
      </w:r>
      <w:r>
        <w:rPr>
          <w:lang w:val="mk-MK"/>
        </w:rPr>
        <w:t>,</w:t>
      </w:r>
      <w:r w:rsidRPr="00412AF7">
        <w:rPr>
          <w:lang w:val="mk-MK"/>
        </w:rPr>
        <w:t xml:space="preserve"> што можат да с</w:t>
      </w:r>
      <w:r>
        <w:rPr>
          <w:lang w:val="mk-MK"/>
        </w:rPr>
        <w:t>одржат</w:t>
      </w:r>
      <w:r w:rsidRPr="00412AF7">
        <w:rPr>
          <w:lang w:val="mk-MK"/>
        </w:rPr>
        <w:t xml:space="preserve"> плаќање на</w:t>
      </w:r>
      <w:r w:rsidRPr="003D768C">
        <w:rPr>
          <w:lang w:val="mk-MK"/>
        </w:rPr>
        <w:t xml:space="preserve"> компензација на жртвата</w:t>
      </w:r>
      <w:r>
        <w:rPr>
          <w:lang w:val="mk-MK"/>
        </w:rPr>
        <w:t>,</w:t>
      </w:r>
      <w:r w:rsidRPr="003D768C">
        <w:rPr>
          <w:lang w:val="mk-MK"/>
        </w:rPr>
        <w:t xml:space="preserve"> мора да се ефективни, пропорционални и разубедувачки. </w:t>
      </w:r>
      <w:r w:rsidRPr="006472AF">
        <w:rPr>
          <w:lang w:val="ru-RU"/>
        </w:rPr>
        <w:t xml:space="preserve"> </w:t>
      </w:r>
      <w:r w:rsidRPr="003D768C">
        <w:rPr>
          <w:lang w:val="mk-MK"/>
        </w:rPr>
        <w:t>Земјите-членки ја известуваат Комисијата за тие одредби најдоцна до 5 октомври 2005</w:t>
      </w:r>
      <w:r>
        <w:rPr>
          <w:lang w:val="mk-MK"/>
        </w:rPr>
        <w:t xml:space="preserve"> година</w:t>
      </w:r>
      <w:r w:rsidRPr="003D768C">
        <w:rPr>
          <w:lang w:val="mk-MK"/>
        </w:rPr>
        <w:t xml:space="preserve"> и веднаш соопштуваат за секоја промена што се однесува на овие одредби.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26</w:t>
      </w:r>
    </w:p>
    <w:p w:rsidR="00CC6B44" w:rsidRPr="00F1648E" w:rsidRDefault="00CC6B44" w:rsidP="000E037A">
      <w:pPr>
        <w:pStyle w:val="NormalWeb"/>
        <w:jc w:val="center"/>
        <w:rPr>
          <w:b/>
          <w:bCs/>
          <w:i/>
          <w:iCs/>
          <w:lang w:val="ru-RU"/>
        </w:rPr>
      </w:pPr>
      <w:r w:rsidRPr="00F1648E">
        <w:rPr>
          <w:b/>
          <w:bCs/>
          <w:i/>
          <w:iCs/>
          <w:lang w:val="mk-MK"/>
        </w:rPr>
        <w:t>Заштита од дискриминација</w:t>
      </w:r>
    </w:p>
    <w:p w:rsidR="00CC6B44" w:rsidRPr="006472AF" w:rsidRDefault="00CC6B44" w:rsidP="00453B21">
      <w:pPr>
        <w:pStyle w:val="NormalWeb"/>
        <w:jc w:val="both"/>
        <w:rPr>
          <w:lang w:val="ru-RU"/>
        </w:rPr>
      </w:pPr>
      <w:r w:rsidRPr="003D768C">
        <w:rPr>
          <w:lang w:val="mk-MK"/>
        </w:rPr>
        <w:t>Земјите-ченки, во согласност со националното законодавство, колективните договори или практики, ги охрабруваат работодав</w:t>
      </w:r>
      <w:r>
        <w:rPr>
          <w:lang w:val="mk-MK"/>
        </w:rPr>
        <w:t>ачите</w:t>
      </w:r>
      <w:r w:rsidRPr="003D768C">
        <w:rPr>
          <w:lang w:val="mk-MK"/>
        </w:rPr>
        <w:t xml:space="preserve"> и лицата одговорни за пристап до </w:t>
      </w:r>
      <w:r>
        <w:rPr>
          <w:lang w:val="mk-MK"/>
        </w:rPr>
        <w:t xml:space="preserve">стручна обука </w:t>
      </w:r>
      <w:r w:rsidRPr="003D768C">
        <w:rPr>
          <w:lang w:val="mk-MK"/>
        </w:rPr>
        <w:t>да преземат ефективни мерки за заштита од сите облици на дискриминација</w:t>
      </w:r>
      <w:r>
        <w:rPr>
          <w:lang w:val="mk-MK"/>
        </w:rPr>
        <w:t xml:space="preserve"> по основ на пол</w:t>
      </w:r>
      <w:r w:rsidRPr="003D768C">
        <w:rPr>
          <w:lang w:val="mk-MK"/>
        </w:rPr>
        <w:t xml:space="preserve">, особено </w:t>
      </w:r>
      <w:r>
        <w:rPr>
          <w:lang w:val="mk-MK"/>
        </w:rPr>
        <w:t>вознемирување</w:t>
      </w:r>
      <w:r w:rsidRPr="003D768C">
        <w:rPr>
          <w:lang w:val="mk-MK"/>
        </w:rPr>
        <w:t xml:space="preserve"> и сексуално </w:t>
      </w:r>
      <w:r>
        <w:rPr>
          <w:lang w:val="mk-MK"/>
        </w:rPr>
        <w:t xml:space="preserve">вознемирување </w:t>
      </w:r>
      <w:r w:rsidRPr="003D768C">
        <w:rPr>
          <w:lang w:val="mk-MK"/>
        </w:rPr>
        <w:t xml:space="preserve">на работното место, при пристапот до вработување, </w:t>
      </w:r>
      <w:r>
        <w:rPr>
          <w:lang w:val="mk-MK"/>
        </w:rPr>
        <w:t xml:space="preserve">стручната обука </w:t>
      </w:r>
      <w:r w:rsidRPr="003D768C">
        <w:rPr>
          <w:lang w:val="mk-MK"/>
        </w:rPr>
        <w:t>и напредување</w:t>
      </w:r>
      <w:r>
        <w:rPr>
          <w:lang w:val="mk-MK"/>
        </w:rPr>
        <w:t>то</w:t>
      </w:r>
      <w:r w:rsidRPr="003D768C">
        <w:rPr>
          <w:lang w:val="mk-MK"/>
        </w:rPr>
        <w:t xml:space="preserve">. </w:t>
      </w:r>
    </w:p>
    <w:p w:rsidR="00CC6B44" w:rsidRDefault="00CC6B44" w:rsidP="000E037A">
      <w:pPr>
        <w:pStyle w:val="NormalWeb"/>
        <w:jc w:val="center"/>
        <w:rPr>
          <w:i/>
          <w:iCs/>
          <w:lang w:val="mk-MK"/>
        </w:rPr>
      </w:pPr>
    </w:p>
    <w:p w:rsidR="00CC6B44" w:rsidRPr="006472AF" w:rsidRDefault="00CC6B44" w:rsidP="000E037A">
      <w:pPr>
        <w:pStyle w:val="NormalWeb"/>
        <w:jc w:val="center"/>
        <w:rPr>
          <w:i/>
          <w:iCs/>
          <w:lang w:val="ru-RU"/>
        </w:rPr>
      </w:pPr>
      <w:r w:rsidRPr="000E037A">
        <w:rPr>
          <w:i/>
          <w:iCs/>
          <w:lang w:val="mk-MK"/>
        </w:rPr>
        <w:t>Член 27</w:t>
      </w:r>
    </w:p>
    <w:p w:rsidR="00CC6B44" w:rsidRPr="00F1648E" w:rsidRDefault="00CC6B44" w:rsidP="000E037A">
      <w:pPr>
        <w:pStyle w:val="NormalWeb"/>
        <w:jc w:val="center"/>
        <w:rPr>
          <w:b/>
          <w:bCs/>
          <w:i/>
          <w:iCs/>
          <w:lang w:val="ru-RU"/>
        </w:rPr>
      </w:pPr>
      <w:r w:rsidRPr="00F1648E">
        <w:rPr>
          <w:b/>
          <w:bCs/>
          <w:i/>
          <w:iCs/>
          <w:lang w:val="mk-MK"/>
        </w:rPr>
        <w:t>Минимални барања</w:t>
      </w:r>
    </w:p>
    <w:p w:rsidR="00CC6B44" w:rsidRPr="006472AF" w:rsidRDefault="00CC6B44" w:rsidP="003D768C">
      <w:pPr>
        <w:pStyle w:val="NormalWeb"/>
        <w:jc w:val="both"/>
        <w:rPr>
          <w:lang w:val="ru-RU"/>
        </w:rPr>
      </w:pPr>
      <w:r w:rsidRPr="006472AF">
        <w:rPr>
          <w:lang w:val="ru-RU"/>
        </w:rPr>
        <w:t xml:space="preserve">1. </w:t>
      </w:r>
      <w:r w:rsidRPr="003D768C">
        <w:rPr>
          <w:lang w:val="mk-MK"/>
        </w:rPr>
        <w:t xml:space="preserve">Земјите-членки можат да воведат или да продолжат со спроведување на одредбите што се поповолни за заштита на принципот на еднаков третман од оние што се утврдени во оваа директива. </w:t>
      </w:r>
    </w:p>
    <w:p w:rsidR="00CC6B44" w:rsidRPr="006472AF" w:rsidRDefault="00CC6B44" w:rsidP="00BB29FD">
      <w:pPr>
        <w:pStyle w:val="NormalWeb"/>
        <w:jc w:val="both"/>
        <w:rPr>
          <w:lang w:val="ru-RU"/>
        </w:rPr>
      </w:pPr>
      <w:r w:rsidRPr="006472AF">
        <w:rPr>
          <w:lang w:val="ru-RU"/>
        </w:rPr>
        <w:t xml:space="preserve">2. </w:t>
      </w:r>
      <w:r w:rsidRPr="003D768C">
        <w:rPr>
          <w:lang w:val="mk-MK"/>
        </w:rPr>
        <w:t xml:space="preserve">Спроведувањето на оваа директива при ниедни услови не е доволна основа за намалување на степенот на заштита на работниците во областите што се опфатени со оваа директива, без повреда на правото на земјите-членки да одговорат на промените </w:t>
      </w:r>
      <w:r>
        <w:rPr>
          <w:lang w:val="mk-MK"/>
        </w:rPr>
        <w:t xml:space="preserve">со </w:t>
      </w:r>
      <w:r w:rsidRPr="003D768C">
        <w:rPr>
          <w:lang w:val="mk-MK"/>
        </w:rPr>
        <w:t>воведува</w:t>
      </w:r>
      <w:r>
        <w:rPr>
          <w:lang w:val="mk-MK"/>
        </w:rPr>
        <w:t>ње</w:t>
      </w:r>
      <w:r w:rsidRPr="003D768C">
        <w:rPr>
          <w:lang w:val="mk-MK"/>
        </w:rPr>
        <w:t xml:space="preserve"> закони, регулативи и административни одредби што се разликуваат од оние што се на сила во време на објавувањето на оваа директива, под услов одредби</w:t>
      </w:r>
      <w:r>
        <w:rPr>
          <w:lang w:val="mk-MK"/>
        </w:rPr>
        <w:t>те од оваа директива да се во согласност со нив.</w:t>
      </w:r>
      <w:r w:rsidRPr="003D768C">
        <w:rPr>
          <w:lang w:val="mk-MK"/>
        </w:rPr>
        <w:t xml:space="preserve">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Член 28</w:t>
      </w:r>
    </w:p>
    <w:p w:rsidR="00CC6B44" w:rsidRPr="00F1648E" w:rsidRDefault="00CC6B44" w:rsidP="009B3E13">
      <w:pPr>
        <w:pStyle w:val="NormalWeb"/>
        <w:jc w:val="center"/>
        <w:rPr>
          <w:b/>
          <w:bCs/>
          <w:i/>
          <w:iCs/>
          <w:lang w:val="ru-RU"/>
        </w:rPr>
      </w:pPr>
      <w:r w:rsidRPr="00F1648E">
        <w:rPr>
          <w:b/>
          <w:bCs/>
          <w:i/>
          <w:iCs/>
          <w:lang w:val="mk-MK"/>
        </w:rPr>
        <w:t>Врска со Заедницата и националните одредби</w:t>
      </w:r>
    </w:p>
    <w:p w:rsidR="00CC6B44" w:rsidRPr="006472AF" w:rsidRDefault="00CC6B44" w:rsidP="003D768C">
      <w:pPr>
        <w:pStyle w:val="NormalWeb"/>
        <w:jc w:val="both"/>
        <w:rPr>
          <w:lang w:val="ru-RU"/>
        </w:rPr>
      </w:pPr>
      <w:r w:rsidRPr="006472AF">
        <w:rPr>
          <w:lang w:val="ru-RU"/>
        </w:rPr>
        <w:t xml:space="preserve">1. </w:t>
      </w:r>
      <w:r w:rsidRPr="00012DC5">
        <w:rPr>
          <w:lang w:val="mk-MK"/>
        </w:rPr>
        <w:t xml:space="preserve">Оваа директива не е во спротивност со одредбите за заштита на жените, особено при бременост и мајчинство. </w:t>
      </w:r>
    </w:p>
    <w:p w:rsidR="00CC6B44" w:rsidRPr="006472AF" w:rsidRDefault="00CC6B44" w:rsidP="003D768C">
      <w:pPr>
        <w:pStyle w:val="NormalWeb"/>
        <w:jc w:val="both"/>
        <w:rPr>
          <w:lang w:val="ru-RU"/>
        </w:rPr>
      </w:pPr>
      <w:r w:rsidRPr="006472AF">
        <w:rPr>
          <w:lang w:val="ru-RU"/>
        </w:rPr>
        <w:t xml:space="preserve">2. </w:t>
      </w:r>
      <w:r w:rsidRPr="00012DC5">
        <w:rPr>
          <w:lang w:val="mk-MK"/>
        </w:rPr>
        <w:t xml:space="preserve">Оваа директива не е во спротивност со одредбите од Директивата 94/34/ЕЗ и Директивата 92/85/ЕЕЗ.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Член 29</w:t>
      </w:r>
    </w:p>
    <w:p w:rsidR="00CC6B44" w:rsidRPr="00F1648E" w:rsidRDefault="00CC6B44" w:rsidP="00BB29FD">
      <w:pPr>
        <w:pStyle w:val="NormalWeb"/>
        <w:jc w:val="center"/>
        <w:rPr>
          <w:b/>
          <w:bCs/>
          <w:i/>
          <w:iCs/>
          <w:lang w:val="mk-MK"/>
        </w:rPr>
      </w:pPr>
      <w:r w:rsidRPr="00F1648E">
        <w:rPr>
          <w:b/>
          <w:bCs/>
          <w:i/>
          <w:iCs/>
          <w:lang w:val="mk-MK"/>
        </w:rPr>
        <w:t>Вклучување на родовата перспек</w:t>
      </w:r>
      <w:r>
        <w:rPr>
          <w:b/>
          <w:bCs/>
          <w:i/>
          <w:iCs/>
          <w:lang w:val="mk-MK"/>
        </w:rPr>
        <w:t>т</w:t>
      </w:r>
      <w:r w:rsidRPr="00F1648E">
        <w:rPr>
          <w:b/>
          <w:bCs/>
          <w:i/>
          <w:iCs/>
          <w:lang w:val="mk-MK"/>
        </w:rPr>
        <w:t>ива во главните општествени токови</w:t>
      </w:r>
    </w:p>
    <w:p w:rsidR="00CC6B44" w:rsidRPr="006472AF" w:rsidRDefault="00CC6B44" w:rsidP="00BB29FD">
      <w:pPr>
        <w:pStyle w:val="NormalWeb"/>
        <w:jc w:val="both"/>
        <w:rPr>
          <w:lang w:val="ru-RU"/>
        </w:rPr>
      </w:pPr>
      <w:r w:rsidRPr="00EE3B1A">
        <w:rPr>
          <w:lang w:val="mk-MK"/>
        </w:rPr>
        <w:t xml:space="preserve">При изготвување и спроведување закони, регулативи, административни одредби, политики и активности </w:t>
      </w:r>
      <w:r>
        <w:rPr>
          <w:lang w:val="mk-MK"/>
        </w:rPr>
        <w:t xml:space="preserve">во областите наведени во </w:t>
      </w:r>
      <w:r w:rsidRPr="00EE3B1A">
        <w:rPr>
          <w:lang w:val="mk-MK"/>
        </w:rPr>
        <w:t xml:space="preserve">оваа директива, земјите-членки активно ја земаат предвид целта за еднаквост меѓу мажите и жените.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Член 30</w:t>
      </w:r>
    </w:p>
    <w:p w:rsidR="00CC6B44" w:rsidRPr="00F1648E" w:rsidRDefault="00CC6B44" w:rsidP="00BB29FD">
      <w:pPr>
        <w:pStyle w:val="NormalWeb"/>
        <w:jc w:val="center"/>
        <w:rPr>
          <w:b/>
          <w:bCs/>
          <w:i/>
          <w:iCs/>
          <w:lang w:val="ru-RU"/>
        </w:rPr>
      </w:pPr>
      <w:r w:rsidRPr="00F1648E">
        <w:rPr>
          <w:b/>
          <w:bCs/>
          <w:i/>
          <w:iCs/>
          <w:lang w:val="mk-MK"/>
        </w:rPr>
        <w:t>Д</w:t>
      </w:r>
      <w:r>
        <w:rPr>
          <w:b/>
          <w:bCs/>
          <w:i/>
          <w:iCs/>
          <w:lang w:val="mk-MK"/>
        </w:rPr>
        <w:t xml:space="preserve">исеминација на </w:t>
      </w:r>
      <w:r w:rsidRPr="00F1648E">
        <w:rPr>
          <w:b/>
          <w:bCs/>
          <w:i/>
          <w:iCs/>
          <w:lang w:val="mk-MK"/>
        </w:rPr>
        <w:t>информации</w:t>
      </w:r>
    </w:p>
    <w:p w:rsidR="00CC6B44" w:rsidRPr="006472AF" w:rsidRDefault="00CC6B44" w:rsidP="00BB29FD">
      <w:pPr>
        <w:pStyle w:val="NormalWeb"/>
        <w:jc w:val="both"/>
        <w:rPr>
          <w:lang w:val="ru-RU"/>
        </w:rPr>
      </w:pPr>
      <w:r w:rsidRPr="00EE3B1A">
        <w:rPr>
          <w:lang w:val="mk-MK"/>
        </w:rPr>
        <w:t xml:space="preserve">Земјите-членки гарантираат дека мерките што се преземени во согласност со оваа директива, заедно со одредбите што се веќе во сила, </w:t>
      </w:r>
      <w:r>
        <w:rPr>
          <w:lang w:val="mk-MK"/>
        </w:rPr>
        <w:t xml:space="preserve">се ставаат на увид на </w:t>
      </w:r>
      <w:r>
        <w:rPr>
          <w:lang w:val="mk-MK"/>
        </w:rPr>
        <w:lastRenderedPageBreak/>
        <w:t xml:space="preserve">сите </w:t>
      </w:r>
      <w:r w:rsidRPr="00EE3B1A">
        <w:rPr>
          <w:lang w:val="mk-MK"/>
        </w:rPr>
        <w:t>засегнати лица</w:t>
      </w:r>
      <w:r>
        <w:rPr>
          <w:lang w:val="mk-MK"/>
        </w:rPr>
        <w:t>,</w:t>
      </w:r>
      <w:r w:rsidRPr="00EE3B1A">
        <w:rPr>
          <w:lang w:val="mk-MK"/>
        </w:rPr>
        <w:t xml:space="preserve"> преку сите расположливи средства</w:t>
      </w:r>
      <w:r>
        <w:rPr>
          <w:lang w:val="mk-MK"/>
        </w:rPr>
        <w:t>,</w:t>
      </w:r>
      <w:r w:rsidRPr="00EE3B1A">
        <w:rPr>
          <w:lang w:val="mk-MK"/>
        </w:rPr>
        <w:t xml:space="preserve"> и кога е </w:t>
      </w:r>
      <w:r>
        <w:rPr>
          <w:lang w:val="mk-MK"/>
        </w:rPr>
        <w:t>соодветно, до</w:t>
      </w:r>
      <w:r w:rsidRPr="00EE3B1A">
        <w:rPr>
          <w:lang w:val="mk-MK"/>
        </w:rPr>
        <w:t xml:space="preserve"> работн</w:t>
      </w:r>
      <w:r>
        <w:rPr>
          <w:lang w:val="mk-MK"/>
        </w:rPr>
        <w:t>ото место</w:t>
      </w:r>
      <w:r w:rsidRPr="00EE3B1A">
        <w:rPr>
          <w:lang w:val="mk-MK"/>
        </w:rPr>
        <w:t xml:space="preserve">.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ГЛАВА III</w:t>
      </w:r>
    </w:p>
    <w:p w:rsidR="00CC6B44" w:rsidRPr="00F1648E" w:rsidRDefault="00CC6B44" w:rsidP="009B3E13">
      <w:pPr>
        <w:pStyle w:val="NormalWeb"/>
        <w:jc w:val="center"/>
        <w:rPr>
          <w:b/>
          <w:bCs/>
          <w:i/>
          <w:iCs/>
          <w:lang w:val="ru-RU"/>
        </w:rPr>
      </w:pPr>
      <w:r w:rsidRPr="00F1648E">
        <w:rPr>
          <w:b/>
          <w:bCs/>
          <w:i/>
          <w:iCs/>
          <w:lang w:val="mk-MK"/>
        </w:rPr>
        <w:t>ЗАВРШНИ ОДРЕДБИ</w:t>
      </w:r>
    </w:p>
    <w:p w:rsidR="00CC6B44" w:rsidRPr="006472AF" w:rsidRDefault="00CC6B44" w:rsidP="009B3E13">
      <w:pPr>
        <w:pStyle w:val="NormalWeb"/>
        <w:jc w:val="center"/>
        <w:rPr>
          <w:i/>
          <w:iCs/>
          <w:lang w:val="ru-RU"/>
        </w:rPr>
      </w:pPr>
      <w:r w:rsidRPr="009B3E13">
        <w:rPr>
          <w:i/>
          <w:iCs/>
          <w:lang w:val="mk-MK"/>
        </w:rPr>
        <w:t>Член 31</w:t>
      </w:r>
    </w:p>
    <w:p w:rsidR="00CC6B44" w:rsidRPr="00F1648E" w:rsidRDefault="00CC6B44" w:rsidP="009B3E13">
      <w:pPr>
        <w:pStyle w:val="NormalWeb"/>
        <w:jc w:val="center"/>
        <w:rPr>
          <w:b/>
          <w:bCs/>
          <w:lang w:val="ru-RU"/>
        </w:rPr>
      </w:pPr>
      <w:r w:rsidRPr="00F1648E">
        <w:rPr>
          <w:b/>
          <w:bCs/>
          <w:i/>
          <w:iCs/>
          <w:lang w:val="mk-MK"/>
        </w:rPr>
        <w:t>Извештаи</w:t>
      </w:r>
    </w:p>
    <w:p w:rsidR="00CC6B44" w:rsidRPr="006472AF" w:rsidRDefault="00CC6B44" w:rsidP="00885B8C">
      <w:pPr>
        <w:pStyle w:val="NormalWeb"/>
        <w:jc w:val="both"/>
        <w:rPr>
          <w:lang w:val="ru-RU"/>
        </w:rPr>
      </w:pPr>
      <w:r w:rsidRPr="006472AF">
        <w:rPr>
          <w:lang w:val="ru-RU"/>
        </w:rPr>
        <w:t xml:space="preserve">1. </w:t>
      </w:r>
      <w:r w:rsidRPr="00012DC5">
        <w:rPr>
          <w:lang w:val="mk-MK"/>
        </w:rPr>
        <w:t>Најдоцна до 15 февруари 2011</w:t>
      </w:r>
      <w:r>
        <w:rPr>
          <w:lang w:val="mk-MK"/>
        </w:rPr>
        <w:t xml:space="preserve"> година,</w:t>
      </w:r>
      <w:r w:rsidRPr="00012DC5">
        <w:rPr>
          <w:lang w:val="mk-MK"/>
        </w:rPr>
        <w:t xml:space="preserve"> земјите-членки на Комисијата ѝ ги доставуваат сите информации што се неопходни з</w:t>
      </w:r>
      <w:r>
        <w:rPr>
          <w:lang w:val="mk-MK"/>
        </w:rPr>
        <w:t>а</w:t>
      </w:r>
      <w:r w:rsidRPr="00012DC5">
        <w:rPr>
          <w:lang w:val="mk-MK"/>
        </w:rPr>
        <w:t xml:space="preserve"> Комисијата</w:t>
      </w:r>
      <w:r>
        <w:rPr>
          <w:lang w:val="mk-MK"/>
        </w:rPr>
        <w:t xml:space="preserve"> да состави</w:t>
      </w:r>
      <w:r w:rsidRPr="00012DC5">
        <w:rPr>
          <w:lang w:val="mk-MK"/>
        </w:rPr>
        <w:t xml:space="preserve"> извештај за примената на оваа директива, кој таа го доставува до Европскиот парламент и до Советот. </w:t>
      </w:r>
    </w:p>
    <w:p w:rsidR="00CC6B44" w:rsidRPr="006472AF" w:rsidRDefault="00CC6B44" w:rsidP="00885B8C">
      <w:pPr>
        <w:pStyle w:val="NormalWeb"/>
        <w:jc w:val="both"/>
        <w:rPr>
          <w:lang w:val="ru-RU"/>
        </w:rPr>
      </w:pPr>
      <w:r w:rsidRPr="006472AF">
        <w:rPr>
          <w:lang w:val="ru-RU"/>
        </w:rPr>
        <w:t xml:space="preserve">2. </w:t>
      </w:r>
      <w:r w:rsidRPr="00930CB3">
        <w:rPr>
          <w:lang w:val="mk-MK"/>
        </w:rPr>
        <w:t xml:space="preserve">Без повреда на ставот 1, земјите-членки секои четири години </w:t>
      </w:r>
      <w:r w:rsidRPr="00012DC5">
        <w:rPr>
          <w:lang w:val="mk-MK"/>
        </w:rPr>
        <w:t>ѝ ги доставуваат</w:t>
      </w:r>
      <w:r w:rsidRPr="00930CB3">
        <w:rPr>
          <w:lang w:val="mk-MK"/>
        </w:rPr>
        <w:t xml:space="preserve"> </w:t>
      </w:r>
      <w:r>
        <w:rPr>
          <w:lang w:val="mk-MK"/>
        </w:rPr>
        <w:t xml:space="preserve">на </w:t>
      </w:r>
      <w:r w:rsidRPr="00930CB3">
        <w:rPr>
          <w:lang w:val="mk-MK"/>
        </w:rPr>
        <w:t xml:space="preserve">Комисијата текстовите на сите мерки што се донесени во согласност со членот 141(4) од Договорот, како и извештаите за овие мерки и нивното спроведување. </w:t>
      </w:r>
      <w:r w:rsidRPr="006472AF">
        <w:rPr>
          <w:lang w:val="ru-RU"/>
        </w:rPr>
        <w:t xml:space="preserve"> </w:t>
      </w:r>
      <w:r w:rsidRPr="00EE3B1A">
        <w:rPr>
          <w:lang w:val="mk-MK"/>
        </w:rPr>
        <w:t>Врз основа на тие информации, Комисијата секои четири години донесува и објавува извештај кој содржи компаративна оценка за сите мерки во погле</w:t>
      </w:r>
      <w:r>
        <w:rPr>
          <w:lang w:val="mk-MK"/>
        </w:rPr>
        <w:t xml:space="preserve">д на </w:t>
      </w:r>
      <w:r w:rsidRPr="00012DC5">
        <w:rPr>
          <w:lang w:val="mk-MK"/>
        </w:rPr>
        <w:t>Декларацијата бр.28, додадена</w:t>
      </w:r>
      <w:r w:rsidRPr="00EE3B1A">
        <w:rPr>
          <w:lang w:val="mk-MK"/>
        </w:rPr>
        <w:t xml:space="preserve"> кон Завршниот акт од Договорот од Амстердам. </w:t>
      </w:r>
    </w:p>
    <w:p w:rsidR="00CC6B44" w:rsidRPr="006472AF" w:rsidRDefault="00CC6B44" w:rsidP="00885B8C">
      <w:pPr>
        <w:pStyle w:val="NormalWeb"/>
        <w:jc w:val="both"/>
        <w:rPr>
          <w:lang w:val="ru-RU"/>
        </w:rPr>
      </w:pPr>
      <w:r w:rsidRPr="006472AF">
        <w:rPr>
          <w:lang w:val="ru-RU"/>
        </w:rPr>
        <w:t xml:space="preserve">3. </w:t>
      </w:r>
      <w:r w:rsidRPr="00F96EAF">
        <w:rPr>
          <w:lang w:val="mk-MK"/>
        </w:rPr>
        <w:t>Земјите-членки ги оценуваат професионалните активности од членот 14(2) со цел да одлучат, во поглед на социјалниот развој, дали за</w:t>
      </w:r>
      <w:r>
        <w:rPr>
          <w:lang w:val="mk-MK"/>
        </w:rPr>
        <w:t>држувањето</w:t>
      </w:r>
      <w:r w:rsidRPr="00F96EAF">
        <w:rPr>
          <w:lang w:val="mk-MK"/>
        </w:rPr>
        <w:t xml:space="preserve"> на соодветните исклучоци е основано. Тие ја известуваат Комисијата за резултатите од оценувањето периодично, но најмалку на секои 8 години.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Член 32</w:t>
      </w:r>
    </w:p>
    <w:p w:rsidR="00CC6B44" w:rsidRPr="00F1648E" w:rsidRDefault="00CC6B44" w:rsidP="009B3E13">
      <w:pPr>
        <w:pStyle w:val="NormalWeb"/>
        <w:jc w:val="center"/>
        <w:rPr>
          <w:b/>
          <w:bCs/>
          <w:i/>
          <w:iCs/>
          <w:lang w:val="ru-RU"/>
        </w:rPr>
      </w:pPr>
      <w:r w:rsidRPr="00F1648E">
        <w:rPr>
          <w:b/>
          <w:bCs/>
          <w:i/>
          <w:iCs/>
          <w:lang w:val="mk-MK"/>
        </w:rPr>
        <w:t>Ревидирање</w:t>
      </w:r>
    </w:p>
    <w:p w:rsidR="00CC6B44" w:rsidRPr="006472AF" w:rsidRDefault="00CC6B44" w:rsidP="00885B8C">
      <w:pPr>
        <w:pStyle w:val="NormalWeb"/>
        <w:jc w:val="both"/>
        <w:rPr>
          <w:lang w:val="ru-RU"/>
        </w:rPr>
      </w:pPr>
      <w:r w:rsidRPr="00EE3B1A">
        <w:rPr>
          <w:lang w:val="mk-MK"/>
        </w:rPr>
        <w:t>Најдоцна до 15 февруари 2011</w:t>
      </w:r>
      <w:r>
        <w:rPr>
          <w:lang w:val="mk-MK"/>
        </w:rPr>
        <w:t xml:space="preserve"> година</w:t>
      </w:r>
      <w:r w:rsidRPr="00EE3B1A">
        <w:rPr>
          <w:lang w:val="mk-MK"/>
        </w:rPr>
        <w:t xml:space="preserve">, </w:t>
      </w:r>
      <w:r w:rsidRPr="00F96EAF">
        <w:rPr>
          <w:lang w:val="mk-MK"/>
        </w:rPr>
        <w:t>Комисијата го ревидира дејств</w:t>
      </w:r>
      <w:r>
        <w:rPr>
          <w:lang w:val="mk-MK"/>
        </w:rPr>
        <w:t>ото</w:t>
      </w:r>
      <w:r w:rsidRPr="00EE3B1A">
        <w:rPr>
          <w:lang w:val="mk-MK"/>
        </w:rPr>
        <w:t xml:space="preserve"> на оваа директива и ако е неопходно</w:t>
      </w:r>
      <w:r>
        <w:rPr>
          <w:lang w:val="mk-MK"/>
        </w:rPr>
        <w:t>,</w:t>
      </w:r>
      <w:r w:rsidRPr="00EE3B1A">
        <w:rPr>
          <w:lang w:val="mk-MK"/>
        </w:rPr>
        <w:t xml:space="preserve"> предлага измени за кои смета дека се неопходни.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Член 33</w:t>
      </w:r>
    </w:p>
    <w:p w:rsidR="00CC6B44" w:rsidRPr="00F1648E" w:rsidRDefault="00CC6B44" w:rsidP="009B3E13">
      <w:pPr>
        <w:pStyle w:val="NormalWeb"/>
        <w:jc w:val="center"/>
        <w:rPr>
          <w:b/>
          <w:bCs/>
          <w:i/>
          <w:iCs/>
          <w:lang w:val="ru-RU"/>
        </w:rPr>
      </w:pPr>
      <w:r w:rsidRPr="00F1648E">
        <w:rPr>
          <w:b/>
          <w:bCs/>
          <w:i/>
          <w:iCs/>
          <w:lang w:val="mk-MK"/>
        </w:rPr>
        <w:t>Спроведување</w:t>
      </w:r>
    </w:p>
    <w:p w:rsidR="00CC6B44" w:rsidRPr="006472AF" w:rsidRDefault="00CC6B44" w:rsidP="00EE3B1A">
      <w:pPr>
        <w:pStyle w:val="NormalWeb"/>
        <w:jc w:val="both"/>
        <w:rPr>
          <w:lang w:val="ru-RU"/>
        </w:rPr>
      </w:pPr>
      <w:r w:rsidRPr="00EE3B1A">
        <w:rPr>
          <w:lang w:val="mk-MK"/>
        </w:rPr>
        <w:t xml:space="preserve">Земјите-членки </w:t>
      </w:r>
      <w:r w:rsidRPr="00F96EAF">
        <w:rPr>
          <w:lang w:val="mk-MK"/>
        </w:rPr>
        <w:t xml:space="preserve">ги </w:t>
      </w:r>
      <w:r>
        <w:rPr>
          <w:lang w:val="mk-MK"/>
        </w:rPr>
        <w:t>донесуваат</w:t>
      </w:r>
      <w:r w:rsidRPr="00F96EAF">
        <w:rPr>
          <w:lang w:val="mk-MK"/>
        </w:rPr>
        <w:t xml:space="preserve"> законите, регулативите и другите административни одредби потребни за усогласување со оваа директива, најдоцна до 15 август 2008 </w:t>
      </w:r>
      <w:r>
        <w:rPr>
          <w:lang w:val="mk-MK"/>
        </w:rPr>
        <w:t xml:space="preserve">година, </w:t>
      </w:r>
      <w:r w:rsidRPr="00F96EAF">
        <w:rPr>
          <w:lang w:val="mk-MK"/>
        </w:rPr>
        <w:t>или гарантираат дека до тој датум управителите и синдикатите преку спогодби ќе ги воведат бараните одредби.</w:t>
      </w:r>
      <w:r>
        <w:rPr>
          <w:lang w:val="mk-MK"/>
        </w:rPr>
        <w:t xml:space="preserve"> </w:t>
      </w:r>
      <w:r w:rsidRPr="00F96EAF">
        <w:rPr>
          <w:lang w:val="mk-MK"/>
        </w:rPr>
        <w:lastRenderedPageBreak/>
        <w:t xml:space="preserve">Кога е неопходно, поради одредени тешкотии, земјите-членки можат дополнително да искористат една година за усогласување со оваа директива. </w:t>
      </w:r>
      <w:r w:rsidRPr="006472AF">
        <w:rPr>
          <w:lang w:val="ru-RU"/>
        </w:rPr>
        <w:t xml:space="preserve"> </w:t>
      </w:r>
      <w:r w:rsidRPr="00F96EAF">
        <w:rPr>
          <w:lang w:val="mk-MK"/>
        </w:rPr>
        <w:t xml:space="preserve">Земјите-членки ги преземаат сите неопходни чекори за гарантирање на резултатите наложени со оваа директива. Тие веднаш ја известуваат Комисијата за тоа. </w:t>
      </w:r>
    </w:p>
    <w:p w:rsidR="00CC6B44" w:rsidRPr="006472AF" w:rsidRDefault="00CC6B44" w:rsidP="00EE3B1A">
      <w:pPr>
        <w:pStyle w:val="NormalWeb"/>
        <w:jc w:val="both"/>
        <w:rPr>
          <w:lang w:val="ru-RU"/>
        </w:rPr>
      </w:pPr>
      <w:r w:rsidRPr="00F96EAF">
        <w:rPr>
          <w:lang w:val="mk-MK"/>
        </w:rPr>
        <w:t xml:space="preserve">Кога ги донесуваат земјите-членки овие мерки, тие содржат упатување на оваа директива или се придружени со такво упатување при нивното објавување. </w:t>
      </w:r>
      <w:r w:rsidRPr="006472AF">
        <w:rPr>
          <w:lang w:val="ru-RU"/>
        </w:rPr>
        <w:t xml:space="preserve"> </w:t>
      </w:r>
      <w:r w:rsidRPr="00F96EAF">
        <w:rPr>
          <w:lang w:val="mk-MK"/>
        </w:rPr>
        <w:t xml:space="preserve">Тие, исто така, содржат изјава дека упатувањата во постоечките закони, регулативи и административни одредби кон директивите што се укинати со оваа директива се толкуваат како упатувања кон оваа директива.  </w:t>
      </w:r>
      <w:r w:rsidRPr="006472AF">
        <w:rPr>
          <w:lang w:val="ru-RU"/>
        </w:rPr>
        <w:t xml:space="preserve"> </w:t>
      </w:r>
      <w:r w:rsidRPr="00F96EAF">
        <w:rPr>
          <w:lang w:val="mk-MK"/>
        </w:rPr>
        <w:t xml:space="preserve">Земјите-членки одлучуваат како ќе се направи тоа упатување и како ќе се формулира изјавата. </w:t>
      </w:r>
    </w:p>
    <w:p w:rsidR="00CC6B44" w:rsidRPr="006472AF" w:rsidRDefault="00CC6B44" w:rsidP="00EE3B1A">
      <w:pPr>
        <w:pStyle w:val="NormalWeb"/>
        <w:jc w:val="both"/>
        <w:rPr>
          <w:lang w:val="ru-RU"/>
        </w:rPr>
      </w:pPr>
      <w:r w:rsidRPr="00F96EAF">
        <w:rPr>
          <w:lang w:val="mk-MK"/>
        </w:rPr>
        <w:t>Обврската за транспонирање на оваа директива во националното законодавство треба да се ограничи на одредбите што даваат значителна промена во однос на претходните директиви.</w:t>
      </w:r>
      <w:r>
        <w:rPr>
          <w:lang w:val="mk-MK"/>
        </w:rPr>
        <w:t xml:space="preserve"> </w:t>
      </w:r>
      <w:r w:rsidRPr="00F96EAF">
        <w:rPr>
          <w:lang w:val="mk-MK"/>
        </w:rPr>
        <w:t xml:space="preserve">Обврската за транспонирање на одредбите што се суштествено непроменети произлегуваат од претходните директиви. </w:t>
      </w:r>
    </w:p>
    <w:p w:rsidR="00CC6B44" w:rsidRPr="006472AF" w:rsidRDefault="00CC6B44" w:rsidP="00EE3B1A">
      <w:pPr>
        <w:pStyle w:val="NormalWeb"/>
        <w:jc w:val="both"/>
        <w:rPr>
          <w:lang w:val="ru-RU"/>
        </w:rPr>
      </w:pPr>
      <w:r w:rsidRPr="00EE3B1A">
        <w:rPr>
          <w:lang w:val="mk-MK"/>
        </w:rPr>
        <w:t>Земјите-</w:t>
      </w:r>
      <w:r w:rsidRPr="00F96EAF">
        <w:rPr>
          <w:lang w:val="mk-MK"/>
        </w:rPr>
        <w:t xml:space="preserve">членки ја известуваат Комисијата за текстот на главните одредби од националното законодавство што се донесуваат на полето што се регулира со оваа директива.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Член 34</w:t>
      </w:r>
    </w:p>
    <w:p w:rsidR="00CC6B44" w:rsidRPr="00F1648E" w:rsidRDefault="00CC6B44" w:rsidP="009B3E13">
      <w:pPr>
        <w:pStyle w:val="NormalWeb"/>
        <w:jc w:val="center"/>
        <w:rPr>
          <w:b/>
          <w:bCs/>
          <w:i/>
          <w:iCs/>
          <w:lang w:val="ru-RU"/>
        </w:rPr>
      </w:pPr>
      <w:r w:rsidRPr="00F1648E">
        <w:rPr>
          <w:b/>
          <w:bCs/>
          <w:i/>
          <w:iCs/>
          <w:lang w:val="mk-MK"/>
        </w:rPr>
        <w:t>Укинување</w:t>
      </w:r>
    </w:p>
    <w:p w:rsidR="00CC6B44" w:rsidRPr="006472AF" w:rsidRDefault="00CC6B44" w:rsidP="00EE3B1A">
      <w:pPr>
        <w:pStyle w:val="NormalWeb"/>
        <w:jc w:val="both"/>
        <w:rPr>
          <w:lang w:val="ru-RU"/>
        </w:rPr>
      </w:pPr>
      <w:r w:rsidRPr="006472AF">
        <w:rPr>
          <w:lang w:val="ru-RU"/>
        </w:rPr>
        <w:t xml:space="preserve">1. </w:t>
      </w:r>
      <w:r w:rsidRPr="00F96EAF">
        <w:rPr>
          <w:lang w:val="mk-MK"/>
        </w:rPr>
        <w:t xml:space="preserve">Од 15 август 2009 </w:t>
      </w:r>
      <w:r>
        <w:rPr>
          <w:lang w:val="mk-MK"/>
        </w:rPr>
        <w:t xml:space="preserve">година </w:t>
      </w:r>
      <w:r w:rsidRPr="00F96EAF">
        <w:rPr>
          <w:lang w:val="mk-MK"/>
        </w:rPr>
        <w:t xml:space="preserve">Директивите 75/117/ЕЕЗ, 76/207/ЕЕЗ, 86/207/ЕЕЗ и 97/80/ЕЗ се укинуваат, без повреда на обврските на замјите-членки за </w:t>
      </w:r>
      <w:r>
        <w:rPr>
          <w:lang w:val="mk-MK"/>
        </w:rPr>
        <w:t xml:space="preserve">временските </w:t>
      </w:r>
      <w:r w:rsidRPr="00F96EAF">
        <w:rPr>
          <w:lang w:val="mk-MK"/>
        </w:rPr>
        <w:t xml:space="preserve">рокови за транспонирање во националното законодавство и примената на директивите наведени во Анексот I, Дел Б.  </w:t>
      </w:r>
    </w:p>
    <w:p w:rsidR="00CC6B44" w:rsidRPr="006472AF" w:rsidRDefault="00CC6B44" w:rsidP="00EE3B1A">
      <w:pPr>
        <w:pStyle w:val="NormalWeb"/>
        <w:jc w:val="both"/>
        <w:rPr>
          <w:lang w:val="ru-RU"/>
        </w:rPr>
      </w:pPr>
      <w:r w:rsidRPr="006472AF">
        <w:rPr>
          <w:lang w:val="ru-RU"/>
        </w:rPr>
        <w:t xml:space="preserve">2. </w:t>
      </w:r>
      <w:r w:rsidRPr="00F96EAF">
        <w:rPr>
          <w:lang w:val="mk-MK"/>
        </w:rPr>
        <w:t xml:space="preserve">Упатувањата за укинување на директивите се толкуваат како упатувања на оваа директива и се читаат во согласност со табелата од Анексот II што е во прилог. </w:t>
      </w:r>
    </w:p>
    <w:p w:rsidR="00CC6B44" w:rsidRDefault="00CC6B44" w:rsidP="009B3E13">
      <w:pPr>
        <w:pStyle w:val="NormalWeb"/>
        <w:jc w:val="center"/>
        <w:rPr>
          <w:i/>
          <w:iCs/>
          <w:lang w:val="mk-MK"/>
        </w:rPr>
      </w:pPr>
    </w:p>
    <w:p w:rsidR="00CC6B44" w:rsidRPr="006472AF" w:rsidRDefault="00CC6B44" w:rsidP="009B3E13">
      <w:pPr>
        <w:pStyle w:val="NormalWeb"/>
        <w:jc w:val="center"/>
        <w:rPr>
          <w:i/>
          <w:iCs/>
          <w:lang w:val="ru-RU"/>
        </w:rPr>
      </w:pPr>
      <w:r w:rsidRPr="009B3E13">
        <w:rPr>
          <w:i/>
          <w:iCs/>
          <w:lang w:val="mk-MK"/>
        </w:rPr>
        <w:t>Член 35</w:t>
      </w:r>
    </w:p>
    <w:p w:rsidR="00CC6B44" w:rsidRPr="00F1648E" w:rsidRDefault="00CC6B44" w:rsidP="009B3E13">
      <w:pPr>
        <w:pStyle w:val="NormalWeb"/>
        <w:jc w:val="center"/>
        <w:rPr>
          <w:b/>
          <w:bCs/>
          <w:i/>
          <w:iCs/>
          <w:lang w:val="ru-RU"/>
        </w:rPr>
      </w:pPr>
      <w:r w:rsidRPr="00F1648E">
        <w:rPr>
          <w:b/>
          <w:bCs/>
          <w:i/>
          <w:iCs/>
          <w:lang w:val="mk-MK"/>
        </w:rPr>
        <w:t>Влегување во сила</w:t>
      </w:r>
    </w:p>
    <w:p w:rsidR="00CC6B44" w:rsidRPr="006472AF" w:rsidRDefault="00CC6B44" w:rsidP="00885B8C">
      <w:pPr>
        <w:pStyle w:val="NormalWeb"/>
        <w:jc w:val="both"/>
        <w:rPr>
          <w:lang w:val="ru-RU"/>
        </w:rPr>
      </w:pPr>
      <w:r w:rsidRPr="00F96EAF">
        <w:rPr>
          <w:lang w:val="mk-MK"/>
        </w:rPr>
        <w:t xml:space="preserve">Оваа директива влегува во сила на дваесеттиот ден по нејзиното објавување во </w:t>
      </w:r>
      <w:r w:rsidRPr="00885B8C">
        <w:rPr>
          <w:i/>
          <w:iCs/>
          <w:lang w:val="mk-MK"/>
        </w:rPr>
        <w:t>Службениот весник на Европск</w:t>
      </w:r>
      <w:r>
        <w:rPr>
          <w:i/>
          <w:iCs/>
          <w:lang w:val="mk-MK"/>
        </w:rPr>
        <w:t>ата Унија</w:t>
      </w:r>
      <w:r w:rsidRPr="00F96EAF">
        <w:rPr>
          <w:lang w:val="mk-MK"/>
        </w:rPr>
        <w:t xml:space="preserve">. </w:t>
      </w:r>
    </w:p>
    <w:p w:rsidR="00CC6B44" w:rsidRDefault="00CC6B44" w:rsidP="009B3E13">
      <w:pPr>
        <w:pStyle w:val="NormalWeb"/>
        <w:jc w:val="center"/>
        <w:rPr>
          <w:lang w:val="mk-MK"/>
        </w:rPr>
      </w:pPr>
    </w:p>
    <w:p w:rsidR="00CC6B44" w:rsidRPr="006472AF" w:rsidRDefault="00CC6B44" w:rsidP="009B3E13">
      <w:pPr>
        <w:pStyle w:val="NormalWeb"/>
        <w:jc w:val="center"/>
        <w:rPr>
          <w:lang w:val="ru-RU"/>
        </w:rPr>
      </w:pPr>
      <w:r w:rsidRPr="00F96EAF">
        <w:rPr>
          <w:lang w:val="mk-MK"/>
        </w:rPr>
        <w:t>Член 36</w:t>
      </w:r>
    </w:p>
    <w:p w:rsidR="00CC6B44" w:rsidRPr="00F1648E" w:rsidRDefault="00CC6B44" w:rsidP="009B3E13">
      <w:pPr>
        <w:pStyle w:val="NormalWeb"/>
        <w:jc w:val="center"/>
        <w:rPr>
          <w:b/>
          <w:bCs/>
          <w:i/>
          <w:iCs/>
          <w:lang w:val="ru-RU"/>
        </w:rPr>
      </w:pPr>
      <w:r w:rsidRPr="00F1648E">
        <w:rPr>
          <w:b/>
          <w:bCs/>
          <w:i/>
          <w:iCs/>
          <w:lang w:val="mk-MK"/>
        </w:rPr>
        <w:lastRenderedPageBreak/>
        <w:t>Адресати</w:t>
      </w:r>
    </w:p>
    <w:p w:rsidR="00CC6B44" w:rsidRDefault="00CC6B44" w:rsidP="00F1648E">
      <w:pPr>
        <w:pStyle w:val="NormalWeb"/>
        <w:jc w:val="both"/>
        <w:rPr>
          <w:lang w:val="mk-MK"/>
        </w:rPr>
      </w:pPr>
      <w:r w:rsidRPr="00F96EAF">
        <w:rPr>
          <w:lang w:val="mk-MK"/>
        </w:rPr>
        <w:t>Оваа директива се однесува</w:t>
      </w:r>
      <w:r w:rsidRPr="00EE3B1A">
        <w:rPr>
          <w:lang w:val="mk-MK"/>
        </w:rPr>
        <w:t xml:space="preserve"> на земјите-членки. </w:t>
      </w:r>
    </w:p>
    <w:tbl>
      <w:tblPr>
        <w:tblW w:w="0" w:type="auto"/>
        <w:tblInd w:w="-106" w:type="dxa"/>
        <w:tblLook w:val="01E0"/>
      </w:tblPr>
      <w:tblGrid>
        <w:gridCol w:w="4265"/>
        <w:gridCol w:w="4266"/>
      </w:tblGrid>
      <w:tr w:rsidR="00CC6B44" w:rsidRPr="00BE7CAD">
        <w:tc>
          <w:tcPr>
            <w:tcW w:w="4265" w:type="dxa"/>
          </w:tcPr>
          <w:p w:rsidR="00CC6B44" w:rsidRPr="00BE7CAD" w:rsidRDefault="00CC6B44" w:rsidP="00BE7CAD">
            <w:pPr>
              <w:pStyle w:val="NormalWeb"/>
              <w:jc w:val="both"/>
              <w:rPr>
                <w:i/>
                <w:iCs/>
              </w:rPr>
            </w:pPr>
            <w:r w:rsidRPr="00BE7CAD">
              <w:rPr>
                <w:i/>
                <w:iCs/>
                <w:lang w:val="mk-MK"/>
              </w:rPr>
              <w:t xml:space="preserve">Стразбур, 5 јули, 2006 </w:t>
            </w:r>
          </w:p>
        </w:tc>
        <w:tc>
          <w:tcPr>
            <w:tcW w:w="4266" w:type="dxa"/>
          </w:tcPr>
          <w:p w:rsidR="00CC6B44" w:rsidRPr="00BE7CAD" w:rsidRDefault="00CC6B44" w:rsidP="00BE7CAD">
            <w:pPr>
              <w:pStyle w:val="NormalWeb"/>
              <w:jc w:val="both"/>
              <w:rPr>
                <w:i/>
                <w:iCs/>
              </w:rPr>
            </w:pPr>
            <w:r w:rsidRPr="00BE7CAD">
              <w:rPr>
                <w:i/>
                <w:iCs/>
                <w:lang w:val="mk-MK"/>
              </w:rPr>
              <w:t xml:space="preserve">За Европскиот парламент </w:t>
            </w:r>
          </w:p>
        </w:tc>
      </w:tr>
      <w:tr w:rsidR="00CC6B44" w:rsidRPr="00BE7CAD">
        <w:tc>
          <w:tcPr>
            <w:tcW w:w="4265" w:type="dxa"/>
          </w:tcPr>
          <w:p w:rsidR="00CC6B44" w:rsidRPr="00BE7CAD" w:rsidRDefault="00CC6B44" w:rsidP="00BE7CAD">
            <w:pPr>
              <w:pStyle w:val="NormalWeb"/>
              <w:jc w:val="both"/>
              <w:rPr>
                <w:i/>
                <w:iCs/>
              </w:rPr>
            </w:pPr>
          </w:p>
        </w:tc>
        <w:tc>
          <w:tcPr>
            <w:tcW w:w="4266" w:type="dxa"/>
          </w:tcPr>
          <w:p w:rsidR="00CC6B44" w:rsidRPr="00BE7CAD" w:rsidRDefault="00CC6B44" w:rsidP="00BE7CAD">
            <w:pPr>
              <w:pStyle w:val="NormalWeb"/>
              <w:jc w:val="both"/>
              <w:rPr>
                <w:i/>
                <w:iCs/>
              </w:rPr>
            </w:pPr>
            <w:r w:rsidRPr="00BE7CAD">
              <w:rPr>
                <w:i/>
                <w:iCs/>
                <w:lang w:val="mk-MK"/>
              </w:rPr>
              <w:t xml:space="preserve">Претседател </w:t>
            </w:r>
          </w:p>
        </w:tc>
      </w:tr>
      <w:tr w:rsidR="00CC6B44" w:rsidRPr="00BE7CAD">
        <w:tc>
          <w:tcPr>
            <w:tcW w:w="4265" w:type="dxa"/>
          </w:tcPr>
          <w:p w:rsidR="00CC6B44" w:rsidRPr="00BE7CAD" w:rsidRDefault="00CC6B44" w:rsidP="00BE7CAD">
            <w:pPr>
              <w:pStyle w:val="NormalWeb"/>
              <w:jc w:val="both"/>
              <w:rPr>
                <w:i/>
                <w:iCs/>
              </w:rPr>
            </w:pPr>
          </w:p>
        </w:tc>
        <w:tc>
          <w:tcPr>
            <w:tcW w:w="4266" w:type="dxa"/>
          </w:tcPr>
          <w:p w:rsidR="00CC6B44" w:rsidRPr="00BE7CAD" w:rsidRDefault="00CC6B44" w:rsidP="00BE7CAD">
            <w:pPr>
              <w:pStyle w:val="NormalWeb"/>
              <w:jc w:val="both"/>
              <w:rPr>
                <w:i/>
                <w:iCs/>
              </w:rPr>
            </w:pPr>
            <w:r w:rsidRPr="00BE7CAD">
              <w:rPr>
                <w:i/>
                <w:iCs/>
                <w:lang w:val="mk-MK"/>
              </w:rPr>
              <w:t xml:space="preserve">Ј. </w:t>
            </w:r>
            <w:r w:rsidRPr="00BE7CAD">
              <w:rPr>
                <w:i/>
                <w:iCs/>
              </w:rPr>
              <w:t xml:space="preserve"> </w:t>
            </w:r>
            <w:r w:rsidRPr="00BE7CAD">
              <w:rPr>
                <w:i/>
                <w:iCs/>
                <w:lang w:val="mk-MK"/>
              </w:rPr>
              <w:t xml:space="preserve">Борел Фонтелес </w:t>
            </w:r>
          </w:p>
        </w:tc>
      </w:tr>
      <w:tr w:rsidR="00CC6B44" w:rsidRPr="00BE7CAD">
        <w:tc>
          <w:tcPr>
            <w:tcW w:w="4265" w:type="dxa"/>
          </w:tcPr>
          <w:p w:rsidR="00CC6B44" w:rsidRPr="00BE7CAD" w:rsidRDefault="00CC6B44" w:rsidP="00BE7CAD">
            <w:pPr>
              <w:pStyle w:val="NormalWeb"/>
              <w:jc w:val="both"/>
              <w:rPr>
                <w:i/>
                <w:iCs/>
              </w:rPr>
            </w:pPr>
          </w:p>
        </w:tc>
        <w:tc>
          <w:tcPr>
            <w:tcW w:w="4266" w:type="dxa"/>
          </w:tcPr>
          <w:p w:rsidR="00CC6B44" w:rsidRDefault="00CC6B44" w:rsidP="00BE7CAD">
            <w:pPr>
              <w:pStyle w:val="NormalWeb"/>
              <w:jc w:val="both"/>
              <w:rPr>
                <w:i/>
                <w:iCs/>
                <w:lang w:val="mk-MK"/>
              </w:rPr>
            </w:pPr>
          </w:p>
          <w:p w:rsidR="00CC6B44" w:rsidRPr="00BE7CAD" w:rsidRDefault="00CC6B44" w:rsidP="00BE7CAD">
            <w:pPr>
              <w:pStyle w:val="NormalWeb"/>
              <w:jc w:val="both"/>
              <w:rPr>
                <w:i/>
                <w:iCs/>
                <w:lang w:val="mk-MK"/>
              </w:rPr>
            </w:pPr>
            <w:r w:rsidRPr="00BE7CAD">
              <w:rPr>
                <w:i/>
                <w:iCs/>
                <w:lang w:val="mk-MK"/>
              </w:rPr>
              <w:t xml:space="preserve">За Комисијата </w:t>
            </w:r>
          </w:p>
        </w:tc>
      </w:tr>
      <w:tr w:rsidR="00CC6B44" w:rsidRPr="00BE7CAD">
        <w:tc>
          <w:tcPr>
            <w:tcW w:w="4265" w:type="dxa"/>
          </w:tcPr>
          <w:p w:rsidR="00CC6B44" w:rsidRPr="00BE7CAD" w:rsidRDefault="00CC6B44" w:rsidP="00BE7CAD">
            <w:pPr>
              <w:pStyle w:val="NormalWeb"/>
              <w:jc w:val="both"/>
              <w:rPr>
                <w:i/>
                <w:iCs/>
              </w:rPr>
            </w:pPr>
          </w:p>
        </w:tc>
        <w:tc>
          <w:tcPr>
            <w:tcW w:w="4266" w:type="dxa"/>
          </w:tcPr>
          <w:p w:rsidR="00CC6B44" w:rsidRPr="00BE7CAD" w:rsidRDefault="00CC6B44" w:rsidP="00BE7CAD">
            <w:pPr>
              <w:pStyle w:val="NormalWeb"/>
              <w:jc w:val="both"/>
              <w:rPr>
                <w:i/>
                <w:iCs/>
                <w:lang w:val="mk-MK"/>
              </w:rPr>
            </w:pPr>
            <w:r w:rsidRPr="00BE7CAD">
              <w:rPr>
                <w:i/>
                <w:iCs/>
                <w:lang w:val="mk-MK"/>
              </w:rPr>
              <w:t xml:space="preserve">Претседател </w:t>
            </w:r>
          </w:p>
        </w:tc>
      </w:tr>
      <w:tr w:rsidR="00CC6B44" w:rsidRPr="00BE7CAD">
        <w:tc>
          <w:tcPr>
            <w:tcW w:w="4265" w:type="dxa"/>
          </w:tcPr>
          <w:p w:rsidR="00CC6B44" w:rsidRPr="00BE7CAD" w:rsidRDefault="00CC6B44" w:rsidP="00BE7CAD">
            <w:pPr>
              <w:pStyle w:val="NormalWeb"/>
              <w:jc w:val="both"/>
              <w:rPr>
                <w:i/>
                <w:iCs/>
              </w:rPr>
            </w:pPr>
          </w:p>
        </w:tc>
        <w:tc>
          <w:tcPr>
            <w:tcW w:w="4266" w:type="dxa"/>
          </w:tcPr>
          <w:p w:rsidR="00CC6B44" w:rsidRPr="00BE7CAD" w:rsidRDefault="00CC6B44" w:rsidP="00BE7CAD">
            <w:pPr>
              <w:pStyle w:val="NormalWeb"/>
              <w:jc w:val="both"/>
              <w:rPr>
                <w:i/>
                <w:iCs/>
                <w:lang w:val="mk-MK"/>
              </w:rPr>
            </w:pPr>
            <w:r w:rsidRPr="00BE7CAD">
              <w:rPr>
                <w:i/>
                <w:iCs/>
                <w:lang w:val="mk-MK"/>
              </w:rPr>
              <w:t xml:space="preserve">П. </w:t>
            </w:r>
            <w:r w:rsidRPr="00BE7CAD">
              <w:rPr>
                <w:i/>
                <w:iCs/>
              </w:rPr>
              <w:t xml:space="preserve"> </w:t>
            </w:r>
            <w:r w:rsidRPr="00BE7CAD">
              <w:rPr>
                <w:i/>
                <w:iCs/>
                <w:lang w:val="mk-MK"/>
              </w:rPr>
              <w:t xml:space="preserve">Лектомаки </w:t>
            </w:r>
          </w:p>
        </w:tc>
      </w:tr>
    </w:tbl>
    <w:p w:rsidR="00CC6B44" w:rsidRDefault="00CC6B44" w:rsidP="005E6875">
      <w:pPr>
        <w:pStyle w:val="NormalWeb"/>
        <w:jc w:val="both"/>
      </w:pPr>
    </w:p>
    <w:p w:rsidR="00CC6B44" w:rsidRDefault="00CC6B44" w:rsidP="005E6875">
      <w:pPr>
        <w:pStyle w:val="NormalWeb"/>
        <w:jc w:val="both"/>
        <w:sectPr w:rsidR="00CC6B44" w:rsidSect="005E6875">
          <w:headerReference w:type="default" r:id="rId6"/>
          <w:footnotePr>
            <w:numRestart w:val="eachPage"/>
          </w:footnotePr>
          <w:type w:val="continuous"/>
          <w:pgSz w:w="11909" w:h="16834"/>
          <w:pgMar w:top="1440" w:right="1797" w:bottom="1440" w:left="1797" w:header="720" w:footer="720" w:gutter="0"/>
          <w:cols w:space="708"/>
          <w:noEndnote/>
          <w:docGrid w:linePitch="326"/>
        </w:sectPr>
      </w:pPr>
    </w:p>
    <w:p w:rsidR="00CC6B44" w:rsidRDefault="00CC6B44" w:rsidP="00765994">
      <w:pPr>
        <w:shd w:val="clear" w:color="auto" w:fill="FFFFFF"/>
        <w:spacing w:before="5"/>
        <w:sectPr w:rsidR="00CC6B44">
          <w:type w:val="continuous"/>
          <w:pgSz w:w="11909" w:h="16834"/>
          <w:pgMar w:top="1440" w:right="1144" w:bottom="720" w:left="636" w:header="720" w:footer="720" w:gutter="0"/>
          <w:cols w:num="3" w:space="720" w:equalWidth="0">
            <w:col w:w="720" w:space="2875"/>
            <w:col w:w="2947" w:space="2837"/>
            <w:col w:w="748"/>
          </w:cols>
          <w:noEndnote/>
        </w:sectPr>
      </w:pPr>
    </w:p>
    <w:p w:rsidR="00CC6B44" w:rsidRDefault="00CC6B44" w:rsidP="002030C0">
      <w:pPr>
        <w:shd w:val="clear" w:color="auto" w:fill="FFFFFF"/>
        <w:spacing w:before="440"/>
        <w:ind w:left="10"/>
        <w:jc w:val="center"/>
      </w:pPr>
      <w:r w:rsidRPr="00807368">
        <w:rPr>
          <w:color w:val="000000"/>
          <w:spacing w:val="5"/>
          <w:sz w:val="16"/>
          <w:szCs w:val="16"/>
          <w:lang w:val="mk-MK"/>
        </w:rPr>
        <w:lastRenderedPageBreak/>
        <w:t xml:space="preserve">АНЕКС I </w:t>
      </w:r>
    </w:p>
    <w:p w:rsidR="00CC6B44" w:rsidRDefault="00CC6B44" w:rsidP="00A3471C">
      <w:pPr>
        <w:shd w:val="clear" w:color="auto" w:fill="FFFFFF"/>
        <w:spacing w:before="120"/>
        <w:ind w:left="3079" w:right="3073"/>
        <w:jc w:val="center"/>
        <w:rPr>
          <w:b/>
          <w:bCs/>
          <w:color w:val="000000"/>
          <w:spacing w:val="-1"/>
          <w:sz w:val="16"/>
          <w:szCs w:val="16"/>
          <w:lang w:val="mk-MK"/>
        </w:rPr>
      </w:pPr>
    </w:p>
    <w:p w:rsidR="00CC6B44" w:rsidRPr="006472AF" w:rsidRDefault="00CC6B44" w:rsidP="00A3471C">
      <w:pPr>
        <w:shd w:val="clear" w:color="auto" w:fill="FFFFFF"/>
        <w:spacing w:before="120"/>
        <w:ind w:left="3079" w:right="3073"/>
        <w:jc w:val="center"/>
        <w:rPr>
          <w:lang w:val="ru-RU"/>
        </w:rPr>
      </w:pPr>
      <w:r w:rsidRPr="00F96EAF">
        <w:rPr>
          <w:b/>
          <w:bCs/>
          <w:color w:val="000000"/>
          <w:spacing w:val="-1"/>
          <w:sz w:val="16"/>
          <w:szCs w:val="16"/>
          <w:lang w:val="mk-MK"/>
        </w:rPr>
        <w:t xml:space="preserve">ДЕЛ А Укинати директиви со нивни последоватени измени  </w:t>
      </w:r>
    </w:p>
    <w:p w:rsidR="00CC6B44" w:rsidRPr="006472AF" w:rsidRDefault="00CC6B44" w:rsidP="002030C0">
      <w:pPr>
        <w:spacing w:after="125" w:line="1" w:lineRule="exact"/>
        <w:rPr>
          <w:sz w:val="2"/>
          <w:szCs w:val="2"/>
          <w:lang w:val="ru-RU"/>
        </w:rPr>
      </w:pPr>
    </w:p>
    <w:tbl>
      <w:tblPr>
        <w:tblW w:w="0" w:type="auto"/>
        <w:tblInd w:w="-38" w:type="dxa"/>
        <w:tblLayout w:type="fixed"/>
        <w:tblCellMar>
          <w:left w:w="40" w:type="dxa"/>
          <w:right w:w="40" w:type="dxa"/>
        </w:tblCellMar>
        <w:tblLook w:val="0000"/>
      </w:tblPr>
      <w:tblGrid>
        <w:gridCol w:w="4090"/>
        <w:gridCol w:w="4090"/>
      </w:tblGrid>
      <w:tr w:rsidR="00CC6B44" w:rsidRPr="006472AF">
        <w:trPr>
          <w:trHeight w:hRule="exact" w:val="307"/>
        </w:trPr>
        <w:tc>
          <w:tcPr>
            <w:tcW w:w="4090"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pacing w:val="-1"/>
                <w:sz w:val="16"/>
                <w:szCs w:val="16"/>
                <w:lang w:val="mk-MK"/>
              </w:rPr>
              <w:t xml:space="preserve">Директива 75/117/ЕЕЗ на Советот </w:t>
            </w:r>
          </w:p>
        </w:tc>
        <w:tc>
          <w:tcPr>
            <w:tcW w:w="4090" w:type="dxa"/>
            <w:tcBorders>
              <w:top w:val="single" w:sz="6" w:space="0" w:color="auto"/>
              <w:left w:val="single" w:sz="6" w:space="0" w:color="auto"/>
              <w:bottom w:val="single" w:sz="6" w:space="0" w:color="auto"/>
              <w:right w:val="nil"/>
            </w:tcBorders>
            <w:shd w:val="clear" w:color="auto" w:fill="FFFFFF"/>
          </w:tcPr>
          <w:p w:rsidR="00CC6B44" w:rsidRPr="006472AF" w:rsidRDefault="00CC6B44" w:rsidP="002030C0">
            <w:pPr>
              <w:shd w:val="clear" w:color="auto" w:fill="FFFFFF"/>
              <w:ind w:left="5"/>
              <w:rPr>
                <w:lang w:val="ru-RU"/>
              </w:rPr>
            </w:pPr>
            <w:r w:rsidRPr="00807368">
              <w:rPr>
                <w:color w:val="000000"/>
                <w:spacing w:val="1"/>
                <w:sz w:val="16"/>
                <w:szCs w:val="16"/>
                <w:lang w:val="mk-MK"/>
              </w:rPr>
              <w:t>Сл.весник L 45, 19 февруари 1975 год. стр.</w:t>
            </w:r>
            <w:r w:rsidRPr="006472AF">
              <w:rPr>
                <w:color w:val="000000"/>
                <w:spacing w:val="1"/>
                <w:sz w:val="16"/>
                <w:szCs w:val="16"/>
                <w:lang w:val="ru-RU"/>
              </w:rPr>
              <w:t xml:space="preserve"> 19</w:t>
            </w:r>
          </w:p>
        </w:tc>
      </w:tr>
      <w:tr w:rsidR="00CC6B44" w:rsidRPr="006472AF">
        <w:trPr>
          <w:trHeight w:hRule="exact" w:val="298"/>
        </w:trPr>
        <w:tc>
          <w:tcPr>
            <w:tcW w:w="4090"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z w:val="16"/>
                <w:szCs w:val="16"/>
                <w:lang w:val="mk-MK"/>
              </w:rPr>
              <w:t xml:space="preserve">Директива 76/207/ЕЕЗ на Советот </w:t>
            </w:r>
          </w:p>
        </w:tc>
        <w:tc>
          <w:tcPr>
            <w:tcW w:w="4090" w:type="dxa"/>
            <w:tcBorders>
              <w:top w:val="single" w:sz="6" w:space="0" w:color="auto"/>
              <w:left w:val="single" w:sz="6" w:space="0" w:color="auto"/>
              <w:bottom w:val="single" w:sz="6" w:space="0" w:color="auto"/>
              <w:right w:val="nil"/>
            </w:tcBorders>
            <w:shd w:val="clear" w:color="auto" w:fill="FFFFFF"/>
          </w:tcPr>
          <w:p w:rsidR="00CC6B44" w:rsidRPr="006472AF" w:rsidRDefault="00CC6B44" w:rsidP="002030C0">
            <w:pPr>
              <w:shd w:val="clear" w:color="auto" w:fill="FFFFFF"/>
              <w:ind w:left="5"/>
              <w:rPr>
                <w:lang w:val="ru-RU"/>
              </w:rPr>
            </w:pPr>
            <w:r w:rsidRPr="00807368">
              <w:rPr>
                <w:color w:val="000000"/>
                <w:spacing w:val="2"/>
                <w:sz w:val="16"/>
                <w:szCs w:val="16"/>
                <w:lang w:val="mk-MK"/>
              </w:rPr>
              <w:t>Сл.весник L 39, 1</w:t>
            </w:r>
            <w:r>
              <w:rPr>
                <w:color w:val="000000"/>
                <w:spacing w:val="2"/>
                <w:sz w:val="16"/>
                <w:szCs w:val="16"/>
                <w:lang w:val="mk-MK"/>
              </w:rPr>
              <w:t>4</w:t>
            </w:r>
            <w:r w:rsidRPr="00807368">
              <w:rPr>
                <w:color w:val="000000"/>
                <w:spacing w:val="2"/>
                <w:sz w:val="16"/>
                <w:szCs w:val="16"/>
                <w:lang w:val="mk-MK"/>
              </w:rPr>
              <w:t xml:space="preserve"> февруари 197</w:t>
            </w:r>
            <w:r>
              <w:rPr>
                <w:color w:val="000000"/>
                <w:spacing w:val="2"/>
                <w:sz w:val="16"/>
                <w:szCs w:val="16"/>
                <w:lang w:val="mk-MK"/>
              </w:rPr>
              <w:t>6</w:t>
            </w:r>
            <w:r w:rsidRPr="00807368">
              <w:rPr>
                <w:color w:val="000000"/>
                <w:spacing w:val="2"/>
                <w:sz w:val="16"/>
                <w:szCs w:val="16"/>
                <w:lang w:val="mk-MK"/>
              </w:rPr>
              <w:t xml:space="preserve"> год. стр.</w:t>
            </w:r>
            <w:r w:rsidRPr="006472AF">
              <w:rPr>
                <w:color w:val="000000"/>
                <w:spacing w:val="2"/>
                <w:sz w:val="16"/>
                <w:szCs w:val="16"/>
                <w:lang w:val="ru-RU"/>
              </w:rPr>
              <w:t xml:space="preserve"> 40</w:t>
            </w:r>
          </w:p>
        </w:tc>
      </w:tr>
      <w:tr w:rsidR="00CC6B44" w:rsidRPr="006472AF">
        <w:trPr>
          <w:trHeight w:hRule="exact" w:val="490"/>
        </w:trPr>
        <w:tc>
          <w:tcPr>
            <w:tcW w:w="4090" w:type="dxa"/>
            <w:tcBorders>
              <w:top w:val="single" w:sz="6" w:space="0" w:color="auto"/>
              <w:left w:val="nil"/>
              <w:bottom w:val="single" w:sz="6" w:space="0" w:color="auto"/>
              <w:right w:val="single" w:sz="6" w:space="0" w:color="auto"/>
            </w:tcBorders>
            <w:shd w:val="clear" w:color="auto" w:fill="FFFFFF"/>
          </w:tcPr>
          <w:p w:rsidR="00CC6B44" w:rsidRPr="006472AF" w:rsidRDefault="00CC6B44" w:rsidP="002030C0">
            <w:pPr>
              <w:shd w:val="clear" w:color="auto" w:fill="FFFFFF"/>
              <w:spacing w:line="192" w:lineRule="exact"/>
              <w:ind w:right="96"/>
              <w:rPr>
                <w:lang w:val="ru-RU"/>
              </w:rPr>
            </w:pPr>
            <w:r w:rsidRPr="00807368">
              <w:rPr>
                <w:color w:val="000000"/>
                <w:spacing w:val="3"/>
                <w:sz w:val="16"/>
                <w:szCs w:val="16"/>
                <w:lang w:val="mk-MK"/>
              </w:rPr>
              <w:t xml:space="preserve">Директива 2002/73/ЕЗ на Европскиот парламент и на Советот </w:t>
            </w:r>
          </w:p>
        </w:tc>
        <w:tc>
          <w:tcPr>
            <w:tcW w:w="4090" w:type="dxa"/>
            <w:tcBorders>
              <w:top w:val="single" w:sz="6" w:space="0" w:color="auto"/>
              <w:left w:val="single" w:sz="6" w:space="0" w:color="auto"/>
              <w:bottom w:val="single" w:sz="6" w:space="0" w:color="auto"/>
              <w:right w:val="nil"/>
            </w:tcBorders>
            <w:shd w:val="clear" w:color="auto" w:fill="FFFFFF"/>
          </w:tcPr>
          <w:p w:rsidR="00CC6B44" w:rsidRPr="006472AF" w:rsidRDefault="00CC6B44" w:rsidP="002030C0">
            <w:pPr>
              <w:shd w:val="clear" w:color="auto" w:fill="FFFFFF"/>
              <w:ind w:left="10"/>
              <w:rPr>
                <w:lang w:val="ru-RU"/>
              </w:rPr>
            </w:pPr>
            <w:r w:rsidRPr="00807368">
              <w:rPr>
                <w:color w:val="000000"/>
                <w:spacing w:val="3"/>
                <w:sz w:val="16"/>
                <w:szCs w:val="16"/>
                <w:lang w:val="mk-MK"/>
              </w:rPr>
              <w:t>Сл.весник L 269, 5 октомври 2002 год, стр.</w:t>
            </w:r>
            <w:r w:rsidRPr="006472AF">
              <w:rPr>
                <w:color w:val="000000"/>
                <w:spacing w:val="3"/>
                <w:sz w:val="16"/>
                <w:szCs w:val="16"/>
                <w:lang w:val="ru-RU"/>
              </w:rPr>
              <w:t xml:space="preserve"> 15</w:t>
            </w:r>
          </w:p>
        </w:tc>
      </w:tr>
      <w:tr w:rsidR="00CC6B44" w:rsidRPr="006472AF">
        <w:trPr>
          <w:trHeight w:hRule="exact" w:val="288"/>
        </w:trPr>
        <w:tc>
          <w:tcPr>
            <w:tcW w:w="4090"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z w:val="16"/>
                <w:szCs w:val="16"/>
                <w:lang w:val="mk-MK"/>
              </w:rPr>
              <w:t xml:space="preserve">Директива 86/378/ЕЕЗ на Советот </w:t>
            </w:r>
          </w:p>
        </w:tc>
        <w:tc>
          <w:tcPr>
            <w:tcW w:w="4090" w:type="dxa"/>
            <w:tcBorders>
              <w:top w:val="single" w:sz="6" w:space="0" w:color="auto"/>
              <w:left w:val="single" w:sz="6" w:space="0" w:color="auto"/>
              <w:bottom w:val="single" w:sz="6" w:space="0" w:color="auto"/>
              <w:right w:val="nil"/>
            </w:tcBorders>
            <w:shd w:val="clear" w:color="auto" w:fill="FFFFFF"/>
          </w:tcPr>
          <w:p w:rsidR="00CC6B44" w:rsidRPr="006472AF" w:rsidRDefault="00CC6B44" w:rsidP="002030C0">
            <w:pPr>
              <w:shd w:val="clear" w:color="auto" w:fill="FFFFFF"/>
              <w:ind w:left="5"/>
              <w:rPr>
                <w:lang w:val="ru-RU"/>
              </w:rPr>
            </w:pPr>
            <w:r w:rsidRPr="00807368">
              <w:rPr>
                <w:color w:val="000000"/>
                <w:spacing w:val="4"/>
                <w:sz w:val="16"/>
                <w:szCs w:val="16"/>
                <w:lang w:val="mk-MK"/>
              </w:rPr>
              <w:t>Сл.весник L 225, 12 август 1986 год, стр.</w:t>
            </w:r>
            <w:r w:rsidRPr="006472AF">
              <w:rPr>
                <w:color w:val="000000"/>
                <w:spacing w:val="4"/>
                <w:sz w:val="16"/>
                <w:szCs w:val="16"/>
                <w:lang w:val="ru-RU"/>
              </w:rPr>
              <w:t xml:space="preserve"> 40</w:t>
            </w:r>
          </w:p>
        </w:tc>
      </w:tr>
      <w:tr w:rsidR="00CC6B44" w:rsidRPr="006472AF">
        <w:trPr>
          <w:trHeight w:hRule="exact" w:val="298"/>
        </w:trPr>
        <w:tc>
          <w:tcPr>
            <w:tcW w:w="4090"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z w:val="16"/>
                <w:szCs w:val="16"/>
                <w:lang w:val="mk-MK"/>
              </w:rPr>
              <w:t xml:space="preserve">Директива 96/97ЕЕЗ на Советот </w:t>
            </w:r>
          </w:p>
        </w:tc>
        <w:tc>
          <w:tcPr>
            <w:tcW w:w="4090" w:type="dxa"/>
            <w:tcBorders>
              <w:top w:val="single" w:sz="6" w:space="0" w:color="auto"/>
              <w:left w:val="single" w:sz="6" w:space="0" w:color="auto"/>
              <w:bottom w:val="single" w:sz="6" w:space="0" w:color="auto"/>
              <w:right w:val="nil"/>
            </w:tcBorders>
            <w:shd w:val="clear" w:color="auto" w:fill="FFFFFF"/>
          </w:tcPr>
          <w:p w:rsidR="00CC6B44" w:rsidRPr="006472AF" w:rsidRDefault="00CC6B44" w:rsidP="002030C0">
            <w:pPr>
              <w:shd w:val="clear" w:color="auto" w:fill="FFFFFF"/>
              <w:ind w:left="5"/>
              <w:rPr>
                <w:lang w:val="ru-RU"/>
              </w:rPr>
            </w:pPr>
            <w:r w:rsidRPr="00807368">
              <w:rPr>
                <w:color w:val="000000"/>
                <w:spacing w:val="1"/>
                <w:sz w:val="16"/>
                <w:szCs w:val="16"/>
                <w:lang w:val="mk-MK"/>
              </w:rPr>
              <w:t>Сл.весник L 46, 17 февруари 1997, стр.</w:t>
            </w:r>
            <w:r w:rsidRPr="006472AF">
              <w:rPr>
                <w:color w:val="000000"/>
                <w:spacing w:val="1"/>
                <w:sz w:val="16"/>
                <w:szCs w:val="16"/>
                <w:lang w:val="ru-RU"/>
              </w:rPr>
              <w:t xml:space="preserve"> 20</w:t>
            </w:r>
          </w:p>
        </w:tc>
      </w:tr>
      <w:tr w:rsidR="00CC6B44" w:rsidRPr="006472AF">
        <w:trPr>
          <w:trHeight w:hRule="exact" w:val="288"/>
        </w:trPr>
        <w:tc>
          <w:tcPr>
            <w:tcW w:w="4090"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z w:val="16"/>
                <w:szCs w:val="16"/>
                <w:lang w:val="mk-MK"/>
              </w:rPr>
              <w:t xml:space="preserve">Директива 97/80ЕЕЗ на Советот </w:t>
            </w:r>
          </w:p>
        </w:tc>
        <w:tc>
          <w:tcPr>
            <w:tcW w:w="4090" w:type="dxa"/>
            <w:tcBorders>
              <w:top w:val="single" w:sz="6" w:space="0" w:color="auto"/>
              <w:left w:val="single" w:sz="6" w:space="0" w:color="auto"/>
              <w:bottom w:val="single" w:sz="6" w:space="0" w:color="auto"/>
              <w:right w:val="nil"/>
            </w:tcBorders>
            <w:shd w:val="clear" w:color="auto" w:fill="FFFFFF"/>
          </w:tcPr>
          <w:p w:rsidR="00CC6B44" w:rsidRPr="006472AF" w:rsidRDefault="00CC6B44" w:rsidP="002030C0">
            <w:pPr>
              <w:shd w:val="clear" w:color="auto" w:fill="FFFFFF"/>
              <w:ind w:left="5"/>
              <w:rPr>
                <w:lang w:val="ru-RU"/>
              </w:rPr>
            </w:pPr>
            <w:r w:rsidRPr="00807368">
              <w:rPr>
                <w:color w:val="000000"/>
                <w:spacing w:val="3"/>
                <w:sz w:val="16"/>
                <w:szCs w:val="16"/>
                <w:lang w:val="mk-MK"/>
              </w:rPr>
              <w:t>Сл.весник L 14, 20 јануари 1998, стр.</w:t>
            </w:r>
            <w:r w:rsidRPr="006472AF">
              <w:rPr>
                <w:color w:val="000000"/>
                <w:spacing w:val="3"/>
                <w:sz w:val="16"/>
                <w:szCs w:val="16"/>
                <w:lang w:val="ru-RU"/>
              </w:rPr>
              <w:t xml:space="preserve"> 6</w:t>
            </w:r>
          </w:p>
        </w:tc>
      </w:tr>
      <w:tr w:rsidR="00CC6B44" w:rsidRPr="006472AF">
        <w:trPr>
          <w:trHeight w:hRule="exact" w:val="317"/>
        </w:trPr>
        <w:tc>
          <w:tcPr>
            <w:tcW w:w="4090"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pacing w:val="1"/>
                <w:sz w:val="16"/>
                <w:szCs w:val="16"/>
                <w:lang w:val="mk-MK"/>
              </w:rPr>
              <w:t xml:space="preserve">Директива 98/52/ЕЗ на Советот </w:t>
            </w:r>
          </w:p>
        </w:tc>
        <w:tc>
          <w:tcPr>
            <w:tcW w:w="4090" w:type="dxa"/>
            <w:tcBorders>
              <w:top w:val="single" w:sz="6" w:space="0" w:color="auto"/>
              <w:left w:val="single" w:sz="6" w:space="0" w:color="auto"/>
              <w:bottom w:val="single" w:sz="6" w:space="0" w:color="auto"/>
              <w:right w:val="nil"/>
            </w:tcBorders>
            <w:shd w:val="clear" w:color="auto" w:fill="FFFFFF"/>
          </w:tcPr>
          <w:p w:rsidR="00CC6B44" w:rsidRPr="006472AF" w:rsidRDefault="00CC6B44" w:rsidP="002030C0">
            <w:pPr>
              <w:shd w:val="clear" w:color="auto" w:fill="FFFFFF"/>
              <w:rPr>
                <w:lang w:val="ru-RU"/>
              </w:rPr>
            </w:pPr>
            <w:r w:rsidRPr="00807368">
              <w:rPr>
                <w:color w:val="000000"/>
                <w:spacing w:val="3"/>
                <w:sz w:val="16"/>
                <w:szCs w:val="16"/>
                <w:lang w:val="mk-MK"/>
              </w:rPr>
              <w:t>Сл.весник L 205, 22 јули 1998, стр.</w:t>
            </w:r>
            <w:r w:rsidRPr="006472AF">
              <w:rPr>
                <w:color w:val="000000"/>
                <w:spacing w:val="3"/>
                <w:sz w:val="16"/>
                <w:szCs w:val="16"/>
                <w:lang w:val="ru-RU"/>
              </w:rPr>
              <w:t xml:space="preserve"> 66</w:t>
            </w:r>
          </w:p>
        </w:tc>
      </w:tr>
    </w:tbl>
    <w:p w:rsidR="00CC6B44" w:rsidRDefault="00CC6B44" w:rsidP="00A3471C">
      <w:pPr>
        <w:shd w:val="clear" w:color="auto" w:fill="FFFFFF"/>
        <w:spacing w:before="280"/>
        <w:ind w:left="2333" w:right="2285" w:firstLine="2448"/>
        <w:rPr>
          <w:b/>
          <w:bCs/>
          <w:color w:val="000000"/>
          <w:spacing w:val="5"/>
          <w:sz w:val="16"/>
          <w:szCs w:val="16"/>
          <w:lang w:val="mk-MK"/>
        </w:rPr>
      </w:pPr>
    </w:p>
    <w:p w:rsidR="00CC6B44" w:rsidRDefault="00CC6B44" w:rsidP="00A3471C">
      <w:pPr>
        <w:shd w:val="clear" w:color="auto" w:fill="FFFFFF"/>
        <w:spacing w:before="280"/>
        <w:ind w:left="2333" w:right="2285" w:firstLine="2448"/>
        <w:rPr>
          <w:b/>
          <w:bCs/>
          <w:color w:val="000000"/>
          <w:spacing w:val="5"/>
          <w:sz w:val="16"/>
          <w:szCs w:val="16"/>
          <w:lang w:val="mk-MK"/>
        </w:rPr>
      </w:pPr>
      <w:r w:rsidRPr="00807368">
        <w:rPr>
          <w:b/>
          <w:bCs/>
          <w:color w:val="000000"/>
          <w:spacing w:val="5"/>
          <w:sz w:val="16"/>
          <w:szCs w:val="16"/>
          <w:lang w:val="mk-MK"/>
        </w:rPr>
        <w:t xml:space="preserve">ДЕЛ Б </w:t>
      </w:r>
    </w:p>
    <w:p w:rsidR="00CC6B44" w:rsidRDefault="00CC6B44" w:rsidP="00A3471C">
      <w:pPr>
        <w:shd w:val="clear" w:color="auto" w:fill="FFFFFF"/>
        <w:spacing w:before="280"/>
        <w:ind w:left="2333" w:right="2285" w:firstLine="2448"/>
        <w:rPr>
          <w:b/>
          <w:bCs/>
          <w:color w:val="000000"/>
          <w:spacing w:val="5"/>
          <w:sz w:val="16"/>
          <w:szCs w:val="16"/>
          <w:lang w:val="mk-MK"/>
        </w:rPr>
      </w:pPr>
    </w:p>
    <w:p w:rsidR="00CC6B44" w:rsidRDefault="00CC6B44" w:rsidP="00A3471C">
      <w:pPr>
        <w:shd w:val="clear" w:color="auto" w:fill="FFFFFF"/>
        <w:ind w:left="2330" w:right="-74" w:hanging="2330"/>
        <w:jc w:val="center"/>
        <w:rPr>
          <w:b/>
          <w:bCs/>
          <w:color w:val="000000"/>
          <w:spacing w:val="5"/>
          <w:sz w:val="16"/>
          <w:szCs w:val="16"/>
          <w:lang w:val="mk-MK"/>
        </w:rPr>
      </w:pPr>
      <w:r w:rsidRPr="00807368">
        <w:rPr>
          <w:b/>
          <w:bCs/>
          <w:color w:val="000000"/>
          <w:spacing w:val="5"/>
          <w:sz w:val="16"/>
          <w:szCs w:val="16"/>
          <w:lang w:val="mk-MK"/>
        </w:rPr>
        <w:t xml:space="preserve">Список на рокови за транспонирање во националното </w:t>
      </w:r>
    </w:p>
    <w:p w:rsidR="00CC6B44" w:rsidRPr="006472AF" w:rsidRDefault="00CC6B44" w:rsidP="00A3471C">
      <w:pPr>
        <w:shd w:val="clear" w:color="auto" w:fill="FFFFFF"/>
        <w:ind w:left="2330" w:right="-74" w:hanging="2330"/>
        <w:jc w:val="center"/>
        <w:rPr>
          <w:lang w:val="ru-RU"/>
        </w:rPr>
      </w:pPr>
      <w:r w:rsidRPr="00807368">
        <w:rPr>
          <w:b/>
          <w:bCs/>
          <w:color w:val="000000"/>
          <w:spacing w:val="5"/>
          <w:sz w:val="16"/>
          <w:szCs w:val="16"/>
          <w:lang w:val="mk-MK"/>
        </w:rPr>
        <w:t>законодавство и датуми за примена</w:t>
      </w:r>
    </w:p>
    <w:p w:rsidR="00CC6B44" w:rsidRDefault="00CC6B44" w:rsidP="002030C0">
      <w:pPr>
        <w:shd w:val="clear" w:color="auto" w:fill="FFFFFF"/>
        <w:spacing w:line="360" w:lineRule="exact"/>
        <w:ind w:right="5"/>
        <w:jc w:val="center"/>
      </w:pPr>
      <w:r w:rsidRPr="00807368">
        <w:rPr>
          <w:color w:val="000000"/>
          <w:spacing w:val="2"/>
          <w:sz w:val="16"/>
          <w:szCs w:val="16"/>
          <w:lang w:val="mk-MK"/>
        </w:rPr>
        <w:t>(наведен во членот 34(1))</w:t>
      </w:r>
    </w:p>
    <w:tbl>
      <w:tblPr>
        <w:tblpPr w:leftFromText="180" w:rightFromText="180" w:vertAnchor="text" w:horzAnchor="margin" w:tblpXSpec="center" w:tblpY="73"/>
        <w:tblW w:w="0" w:type="auto"/>
        <w:tblLayout w:type="fixed"/>
        <w:tblCellMar>
          <w:left w:w="40" w:type="dxa"/>
          <w:right w:w="40" w:type="dxa"/>
        </w:tblCellMar>
        <w:tblLook w:val="0000"/>
      </w:tblPr>
      <w:tblGrid>
        <w:gridCol w:w="2726"/>
        <w:gridCol w:w="2350"/>
        <w:gridCol w:w="2736"/>
      </w:tblGrid>
      <w:tr w:rsidR="00CC6B44">
        <w:trPr>
          <w:trHeight w:hRule="exact" w:val="307"/>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ind w:left="902"/>
            </w:pPr>
            <w:r w:rsidRPr="00807368">
              <w:rPr>
                <w:color w:val="000000"/>
                <w:spacing w:val="-3"/>
                <w:sz w:val="16"/>
                <w:szCs w:val="16"/>
                <w:lang w:val="mk-MK"/>
              </w:rPr>
              <w:t xml:space="preserve">Директива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307"/>
            </w:pPr>
            <w:r w:rsidRPr="00807368">
              <w:rPr>
                <w:color w:val="000000"/>
                <w:spacing w:val="2"/>
                <w:sz w:val="16"/>
                <w:szCs w:val="16"/>
                <w:lang w:val="mk-MK"/>
              </w:rPr>
              <w:t xml:space="preserve">Рокови за транспонирање </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ind w:left="667"/>
            </w:pPr>
            <w:r w:rsidRPr="00807368">
              <w:rPr>
                <w:color w:val="000000"/>
                <w:spacing w:val="2"/>
                <w:sz w:val="16"/>
                <w:szCs w:val="16"/>
                <w:lang w:val="mk-MK"/>
              </w:rPr>
              <w:t xml:space="preserve">Датум за примена </w:t>
            </w:r>
          </w:p>
        </w:tc>
      </w:tr>
      <w:tr w:rsidR="00CC6B44">
        <w:trPr>
          <w:trHeight w:hRule="exact" w:val="298"/>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pacing w:val="-2"/>
                <w:sz w:val="16"/>
                <w:szCs w:val="16"/>
                <w:lang w:val="mk-MK"/>
              </w:rPr>
              <w:t xml:space="preserve">Директива 75/117/ЕЕЗ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9"/>
            </w:pPr>
            <w:r>
              <w:rPr>
                <w:color w:val="000000"/>
                <w:spacing w:val="-3"/>
                <w:sz w:val="16"/>
                <w:szCs w:val="16"/>
                <w:lang w:val="en-US"/>
              </w:rPr>
              <w:t>19.2.1976</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p>
        </w:tc>
      </w:tr>
      <w:tr w:rsidR="00CC6B44">
        <w:trPr>
          <w:trHeight w:hRule="exact" w:val="288"/>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pacing w:val="-1"/>
                <w:sz w:val="16"/>
                <w:szCs w:val="16"/>
                <w:lang w:val="mk-MK"/>
              </w:rPr>
              <w:t xml:space="preserve">Директива 76/207/ЕЕЗ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9"/>
            </w:pPr>
            <w:r>
              <w:rPr>
                <w:color w:val="000000"/>
                <w:spacing w:val="-3"/>
                <w:sz w:val="16"/>
                <w:szCs w:val="16"/>
                <w:lang w:val="en-US"/>
              </w:rPr>
              <w:t>14.8.1978</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p>
        </w:tc>
      </w:tr>
      <w:tr w:rsidR="00CC6B44">
        <w:trPr>
          <w:trHeight w:hRule="exact" w:val="298"/>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pacing w:val="-1"/>
                <w:sz w:val="16"/>
                <w:szCs w:val="16"/>
                <w:lang w:val="mk-MK"/>
              </w:rPr>
              <w:t xml:space="preserve">Директива 86/378/ЕЕЗ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9"/>
            </w:pPr>
            <w:r>
              <w:rPr>
                <w:color w:val="000000"/>
                <w:spacing w:val="-3"/>
                <w:sz w:val="16"/>
                <w:szCs w:val="16"/>
                <w:lang w:val="en-US"/>
              </w:rPr>
              <w:t>1.1.1993</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p>
        </w:tc>
      </w:tr>
      <w:tr w:rsidR="00CC6B44" w:rsidRPr="006472AF">
        <w:trPr>
          <w:trHeight w:hRule="exact" w:val="2369"/>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z w:val="16"/>
                <w:szCs w:val="16"/>
                <w:lang w:val="mk-MK"/>
              </w:rPr>
              <w:lastRenderedPageBreak/>
              <w:t xml:space="preserve">Директива 96/97/ЕЗ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9"/>
            </w:pPr>
            <w:r>
              <w:rPr>
                <w:color w:val="000000"/>
                <w:spacing w:val="-4"/>
                <w:sz w:val="16"/>
                <w:szCs w:val="16"/>
                <w:lang w:val="en-US"/>
              </w:rPr>
              <w:t>1.7.1997</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4050A6">
            <w:pPr>
              <w:shd w:val="clear" w:color="auto" w:fill="FFFFFF"/>
              <w:spacing w:line="197" w:lineRule="exact"/>
              <w:ind w:left="5" w:firstLine="10"/>
              <w:rPr>
                <w:color w:val="000000"/>
                <w:spacing w:val="3"/>
                <w:sz w:val="16"/>
                <w:szCs w:val="16"/>
                <w:lang w:val="ru-RU"/>
              </w:rPr>
            </w:pPr>
            <w:r w:rsidRPr="006472AF">
              <w:rPr>
                <w:color w:val="000000"/>
                <w:sz w:val="16"/>
                <w:szCs w:val="16"/>
                <w:lang w:val="ru-RU"/>
              </w:rPr>
              <w:t xml:space="preserve">17.5.1990 </w:t>
            </w:r>
            <w:r w:rsidRPr="00807368">
              <w:rPr>
                <w:color w:val="000000"/>
                <w:sz w:val="16"/>
                <w:szCs w:val="16"/>
                <w:lang w:val="mk-MK"/>
              </w:rPr>
              <w:t>во однос на работници, со исклучок на работниците или лицата што ги имаат нивните права, кои пред тој датум започнале правна постапка или</w:t>
            </w:r>
            <w:r>
              <w:rPr>
                <w:color w:val="000000"/>
                <w:sz w:val="16"/>
                <w:szCs w:val="16"/>
                <w:lang w:val="mk-MK"/>
              </w:rPr>
              <w:t xml:space="preserve"> покренале</w:t>
            </w:r>
            <w:r w:rsidRPr="00807368">
              <w:rPr>
                <w:color w:val="000000"/>
                <w:sz w:val="16"/>
                <w:szCs w:val="16"/>
                <w:lang w:val="mk-MK"/>
              </w:rPr>
              <w:t xml:space="preserve"> еднак</w:t>
            </w:r>
            <w:r>
              <w:rPr>
                <w:color w:val="000000"/>
                <w:sz w:val="16"/>
                <w:szCs w:val="16"/>
                <w:lang w:val="mk-MK"/>
              </w:rPr>
              <w:t>во</w:t>
            </w:r>
            <w:r w:rsidRPr="00807368">
              <w:rPr>
                <w:color w:val="000000"/>
                <w:sz w:val="16"/>
                <w:szCs w:val="16"/>
                <w:lang w:val="mk-MK"/>
              </w:rPr>
              <w:t xml:space="preserve"> </w:t>
            </w:r>
            <w:r>
              <w:rPr>
                <w:color w:val="000000"/>
                <w:sz w:val="16"/>
                <w:szCs w:val="16"/>
                <w:lang w:val="mk-MK"/>
              </w:rPr>
              <w:t>барање</w:t>
            </w:r>
            <w:r w:rsidRPr="00807368">
              <w:rPr>
                <w:color w:val="000000"/>
                <w:sz w:val="16"/>
                <w:szCs w:val="16"/>
                <w:lang w:val="mk-MK"/>
              </w:rPr>
              <w:t xml:space="preserve"> согласно националното законодавство.  </w:t>
            </w:r>
            <w:r w:rsidRPr="006472AF">
              <w:rPr>
                <w:color w:val="000000"/>
                <w:spacing w:val="3"/>
                <w:sz w:val="16"/>
                <w:szCs w:val="16"/>
                <w:lang w:val="ru-RU"/>
              </w:rPr>
              <w:t xml:space="preserve"> </w:t>
            </w:r>
          </w:p>
          <w:p w:rsidR="00CC6B44" w:rsidRPr="006472AF" w:rsidRDefault="00CC6B44" w:rsidP="004050A6">
            <w:pPr>
              <w:shd w:val="clear" w:color="auto" w:fill="FFFFFF"/>
              <w:spacing w:line="197" w:lineRule="exact"/>
              <w:ind w:left="5" w:firstLine="10"/>
              <w:rPr>
                <w:lang w:val="ru-RU"/>
              </w:rPr>
            </w:pPr>
            <w:r w:rsidRPr="00807368">
              <w:rPr>
                <w:color w:val="000000"/>
                <w:spacing w:val="3"/>
                <w:sz w:val="16"/>
                <w:szCs w:val="16"/>
                <w:lang w:val="mk-MK"/>
              </w:rPr>
              <w:t xml:space="preserve">Членот 8 од Директивата 86/378/ЕЕЗ – не подоцна од 1 јануари 1993 год. </w:t>
            </w:r>
            <w:r w:rsidRPr="006472AF">
              <w:rPr>
                <w:color w:val="000000"/>
                <w:spacing w:val="2"/>
                <w:sz w:val="16"/>
                <w:szCs w:val="16"/>
                <w:lang w:val="ru-RU"/>
              </w:rPr>
              <w:t xml:space="preserve"> </w:t>
            </w:r>
            <w:r w:rsidRPr="00807368">
              <w:rPr>
                <w:color w:val="000000"/>
                <w:spacing w:val="1"/>
                <w:sz w:val="16"/>
                <w:szCs w:val="16"/>
                <w:lang w:val="mk-MK"/>
              </w:rPr>
              <w:t xml:space="preserve">Членот 6(1)(i), прва алинеја од Директивата 86/378/ЕЕЗ - не подоцна од 1 јануари 1999. </w:t>
            </w:r>
          </w:p>
        </w:tc>
      </w:tr>
      <w:tr w:rsidR="00CC6B44" w:rsidRPr="006472AF">
        <w:trPr>
          <w:trHeight w:hRule="exact" w:val="682"/>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807368">
              <w:rPr>
                <w:color w:val="000000"/>
                <w:sz w:val="16"/>
                <w:szCs w:val="16"/>
                <w:lang w:val="mk-MK"/>
              </w:rPr>
              <w:t xml:space="preserve">Директива 97/80/ЕЗ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9"/>
            </w:pPr>
            <w:r>
              <w:rPr>
                <w:color w:val="000000"/>
                <w:spacing w:val="-2"/>
                <w:sz w:val="16"/>
                <w:szCs w:val="16"/>
                <w:lang w:val="en-US"/>
              </w:rPr>
              <w:t>1.1.2001</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spacing w:line="192" w:lineRule="exact"/>
              <w:ind w:left="5" w:right="158" w:hanging="10"/>
              <w:rPr>
                <w:color w:val="000000"/>
                <w:spacing w:val="3"/>
                <w:sz w:val="16"/>
                <w:szCs w:val="16"/>
                <w:lang w:val="mk-MK"/>
              </w:rPr>
            </w:pPr>
            <w:r w:rsidRPr="00E97C39">
              <w:rPr>
                <w:color w:val="000000"/>
                <w:spacing w:val="3"/>
                <w:sz w:val="16"/>
                <w:szCs w:val="16"/>
                <w:lang w:val="mk-MK"/>
              </w:rPr>
              <w:t xml:space="preserve">За Обединетото кралство Велика Британија и Северна Ирска </w:t>
            </w:r>
          </w:p>
          <w:p w:rsidR="00CC6B44" w:rsidRPr="006472AF" w:rsidRDefault="00CC6B44" w:rsidP="002030C0">
            <w:pPr>
              <w:shd w:val="clear" w:color="auto" w:fill="FFFFFF"/>
              <w:spacing w:line="192" w:lineRule="exact"/>
              <w:ind w:left="5" w:right="158" w:hanging="10"/>
              <w:rPr>
                <w:lang w:val="ru-RU"/>
              </w:rPr>
            </w:pPr>
            <w:r w:rsidRPr="00E97C39">
              <w:rPr>
                <w:color w:val="000000"/>
                <w:spacing w:val="3"/>
                <w:sz w:val="16"/>
                <w:szCs w:val="16"/>
                <w:lang w:val="mk-MK"/>
              </w:rPr>
              <w:t xml:space="preserve">22 јули 2001 год. </w:t>
            </w:r>
          </w:p>
        </w:tc>
      </w:tr>
      <w:tr w:rsidR="00CC6B44">
        <w:trPr>
          <w:trHeight w:hRule="exact" w:val="288"/>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 xml:space="preserve">Директива 98/52/ЕЗ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4"/>
            </w:pPr>
            <w:r>
              <w:rPr>
                <w:color w:val="000000"/>
                <w:sz w:val="16"/>
                <w:szCs w:val="16"/>
                <w:lang w:val="en-US"/>
              </w:rPr>
              <w:t>22.7.2001</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p>
        </w:tc>
      </w:tr>
      <w:tr w:rsidR="00CC6B44">
        <w:trPr>
          <w:trHeight w:hRule="exact" w:val="317"/>
        </w:trPr>
        <w:tc>
          <w:tcPr>
            <w:tcW w:w="2726"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Директива 2002/73/ЕЗ </w:t>
            </w:r>
          </w:p>
        </w:tc>
        <w:tc>
          <w:tcPr>
            <w:tcW w:w="2350"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9"/>
            </w:pPr>
            <w:r>
              <w:rPr>
                <w:color w:val="000000"/>
                <w:sz w:val="16"/>
                <w:szCs w:val="16"/>
                <w:lang w:val="en-US"/>
              </w:rPr>
              <w:t>5.10.2005</w:t>
            </w:r>
          </w:p>
        </w:tc>
        <w:tc>
          <w:tcPr>
            <w:tcW w:w="2736"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p>
        </w:tc>
      </w:tr>
    </w:tbl>
    <w:p w:rsidR="00CC6B44" w:rsidRDefault="00CC6B44" w:rsidP="002030C0">
      <w:pPr>
        <w:spacing w:after="125" w:line="1" w:lineRule="exact"/>
        <w:rPr>
          <w:sz w:val="2"/>
          <w:szCs w:val="2"/>
        </w:rPr>
      </w:pPr>
    </w:p>
    <w:p w:rsidR="00CC6B44" w:rsidRDefault="00CC6B44" w:rsidP="002030C0">
      <w:pPr>
        <w:sectPr w:rsidR="00CC6B44">
          <w:type w:val="continuous"/>
          <w:pgSz w:w="11909" w:h="16834"/>
          <w:pgMar w:top="1440" w:right="1144" w:bottom="720" w:left="636" w:header="720" w:footer="720" w:gutter="0"/>
          <w:cols w:space="60"/>
          <w:noEndnote/>
        </w:sectPr>
      </w:pPr>
    </w:p>
    <w:p w:rsidR="00CC6B44" w:rsidRDefault="00CC6B44" w:rsidP="005B7A89">
      <w:pPr>
        <w:shd w:val="clear" w:color="auto" w:fill="FFFFFF"/>
        <w:spacing w:before="240" w:line="440" w:lineRule="exact"/>
        <w:ind w:left="4450" w:right="3888"/>
        <w:jc w:val="center"/>
        <w:rPr>
          <w:color w:val="000000"/>
          <w:spacing w:val="-2"/>
          <w:sz w:val="16"/>
          <w:szCs w:val="16"/>
          <w:lang w:val="mk-MK"/>
        </w:rPr>
      </w:pPr>
      <w:r>
        <w:lastRenderedPageBreak/>
        <w:br w:type="page"/>
      </w:r>
      <w:r w:rsidRPr="002B1814">
        <w:rPr>
          <w:color w:val="000000"/>
          <w:spacing w:val="-2"/>
          <w:sz w:val="16"/>
          <w:szCs w:val="16"/>
          <w:lang w:val="mk-MK"/>
        </w:rPr>
        <w:lastRenderedPageBreak/>
        <w:t xml:space="preserve">АНЕКС II </w:t>
      </w:r>
    </w:p>
    <w:p w:rsidR="00CC6B44" w:rsidRDefault="00CC6B44" w:rsidP="005B7A89">
      <w:pPr>
        <w:shd w:val="clear" w:color="auto" w:fill="FFFFFF"/>
        <w:spacing w:before="240" w:line="440" w:lineRule="exact"/>
        <w:ind w:left="4450" w:right="3888"/>
        <w:jc w:val="center"/>
      </w:pPr>
      <w:r w:rsidRPr="002B1814">
        <w:rPr>
          <w:color w:val="000000"/>
          <w:spacing w:val="-2"/>
          <w:sz w:val="16"/>
          <w:szCs w:val="16"/>
          <w:lang w:val="mk-MK"/>
        </w:rPr>
        <w:t>Коре</w:t>
      </w:r>
      <w:r>
        <w:rPr>
          <w:color w:val="000000"/>
          <w:spacing w:val="-2"/>
          <w:sz w:val="16"/>
          <w:szCs w:val="16"/>
          <w:lang w:val="mk-MK"/>
        </w:rPr>
        <w:t xml:space="preserve">сподентна </w:t>
      </w:r>
      <w:r w:rsidRPr="002B1814">
        <w:rPr>
          <w:color w:val="000000"/>
          <w:spacing w:val="-2"/>
          <w:sz w:val="16"/>
          <w:szCs w:val="16"/>
          <w:lang w:val="mk-MK"/>
        </w:rPr>
        <w:t xml:space="preserve"> </w:t>
      </w:r>
      <w:r>
        <w:rPr>
          <w:color w:val="000000"/>
          <w:spacing w:val="-2"/>
          <w:sz w:val="16"/>
          <w:szCs w:val="16"/>
          <w:lang w:val="mk-MK"/>
        </w:rPr>
        <w:t xml:space="preserve"> т</w:t>
      </w:r>
      <w:r w:rsidRPr="002B1814">
        <w:rPr>
          <w:color w:val="000000"/>
          <w:spacing w:val="-2"/>
          <w:sz w:val="16"/>
          <w:szCs w:val="16"/>
          <w:lang w:val="mk-MK"/>
        </w:rPr>
        <w:t>абела</w:t>
      </w:r>
    </w:p>
    <w:p w:rsidR="00CC6B44" w:rsidRDefault="00CC6B44" w:rsidP="002030C0">
      <w:pPr>
        <w:spacing w:after="413" w:line="1" w:lineRule="exact"/>
        <w:rPr>
          <w:sz w:val="2"/>
          <w:szCs w:val="2"/>
        </w:rPr>
      </w:pPr>
    </w:p>
    <w:tbl>
      <w:tblPr>
        <w:tblW w:w="0" w:type="auto"/>
        <w:tblInd w:w="-38" w:type="dxa"/>
        <w:tblLayout w:type="fixed"/>
        <w:tblCellMar>
          <w:left w:w="40" w:type="dxa"/>
          <w:right w:w="40" w:type="dxa"/>
        </w:tblCellMar>
        <w:tblLook w:val="0000"/>
      </w:tblPr>
      <w:tblGrid>
        <w:gridCol w:w="1642"/>
        <w:gridCol w:w="1632"/>
        <w:gridCol w:w="1632"/>
        <w:gridCol w:w="1632"/>
        <w:gridCol w:w="1642"/>
      </w:tblGrid>
      <w:tr w:rsidR="00CC6B44">
        <w:trPr>
          <w:trHeight w:hRule="exact" w:val="317"/>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ind w:left="29"/>
            </w:pPr>
            <w:r w:rsidRPr="00E97C39">
              <w:rPr>
                <w:color w:val="000000"/>
                <w:spacing w:val="-2"/>
                <w:sz w:val="14"/>
                <w:szCs w:val="14"/>
                <w:lang w:val="mk-MK"/>
              </w:rPr>
              <w:t xml:space="preserve">Директива 75/117/ЕЕЗ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67"/>
            </w:pPr>
            <w:r w:rsidRPr="00E97C39">
              <w:rPr>
                <w:color w:val="000000"/>
                <w:spacing w:val="-1"/>
                <w:sz w:val="14"/>
                <w:szCs w:val="14"/>
                <w:lang w:val="mk-MK"/>
              </w:rPr>
              <w:t xml:space="preserve">Директива 76/207/ЕЕЗ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67"/>
            </w:pPr>
            <w:r w:rsidRPr="00E97C39">
              <w:rPr>
                <w:color w:val="000000"/>
                <w:spacing w:val="-1"/>
                <w:sz w:val="14"/>
                <w:szCs w:val="14"/>
                <w:lang w:val="mk-MK"/>
              </w:rPr>
              <w:t xml:space="preserve">Директива 86/378/ЕЕЗ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139"/>
            </w:pPr>
            <w:r w:rsidRPr="00E97C39">
              <w:rPr>
                <w:color w:val="000000"/>
                <w:sz w:val="14"/>
                <w:szCs w:val="14"/>
                <w:lang w:val="mk-MK"/>
              </w:rPr>
              <w:t xml:space="preserve">Директива 97/80/ЕЗ </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ind w:left="350"/>
            </w:pPr>
            <w:r w:rsidRPr="00E97C39">
              <w:rPr>
                <w:color w:val="000000"/>
                <w:spacing w:val="-1"/>
                <w:sz w:val="14"/>
                <w:szCs w:val="14"/>
                <w:lang w:val="mk-MK"/>
              </w:rPr>
              <w:t xml:space="preserve">Оваа директива </w:t>
            </w:r>
          </w:p>
        </w:tc>
      </w:tr>
      <w:tr w:rsidR="00CC6B44">
        <w:trPr>
          <w:trHeight w:hRule="exact" w:val="38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1(1)</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 xml:space="preserve">Член 1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 xml:space="preserve">Член 1 </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 xml:space="preserve">Член 1 </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1(2)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Pr>
                <w:color w:val="000000"/>
                <w:sz w:val="18"/>
                <w:szCs w:val="18"/>
                <w:lang w:val="en-US"/>
              </w:rPr>
              <w:t>—</w:t>
            </w:r>
          </w:p>
        </w:tc>
      </w:tr>
      <w:tr w:rsidR="00CC6B44">
        <w:trPr>
          <w:trHeight w:hRule="exact" w:val="586"/>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spacing w:line="192" w:lineRule="exact"/>
              <w:ind w:right="293" w:hanging="10"/>
            </w:pPr>
            <w:r w:rsidRPr="00E97C39">
              <w:rPr>
                <w:color w:val="000000"/>
                <w:sz w:val="16"/>
                <w:szCs w:val="16"/>
                <w:lang w:val="mk-MK"/>
              </w:rPr>
              <w:t xml:space="preserve">Член 2(2), прва алинеја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2(1), (а) </w:t>
            </w:r>
          </w:p>
        </w:tc>
      </w:tr>
      <w:tr w:rsidR="00CC6B44">
        <w:trPr>
          <w:trHeight w:hRule="exact" w:val="586"/>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spacing w:line="192" w:lineRule="exact"/>
              <w:ind w:right="91" w:hanging="10"/>
            </w:pPr>
            <w:r w:rsidRPr="00E97C39">
              <w:rPr>
                <w:color w:val="000000"/>
                <w:spacing w:val="1"/>
                <w:sz w:val="16"/>
                <w:szCs w:val="16"/>
                <w:lang w:val="mk-MK"/>
              </w:rPr>
              <w:t xml:space="preserve">Член 2(2), втора алинеја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2(2)</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Член 2(1), (б)</w:t>
            </w:r>
          </w:p>
        </w:tc>
      </w:tr>
      <w:tr w:rsidR="00CC6B44">
        <w:trPr>
          <w:trHeight w:hRule="exact" w:val="586"/>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6472AF" w:rsidRDefault="00CC6B44" w:rsidP="002030C0">
            <w:pPr>
              <w:shd w:val="clear" w:color="auto" w:fill="FFFFFF"/>
              <w:spacing w:line="192" w:lineRule="exact"/>
              <w:ind w:right="154" w:hanging="5"/>
              <w:rPr>
                <w:lang w:val="ru-RU"/>
              </w:rPr>
            </w:pPr>
            <w:r w:rsidRPr="00E97C39">
              <w:rPr>
                <w:color w:val="000000"/>
                <w:spacing w:val="2"/>
                <w:sz w:val="16"/>
                <w:szCs w:val="16"/>
                <w:lang w:val="mk-MK"/>
              </w:rPr>
              <w:t xml:space="preserve">Член 2(2), трета и четврта алинеја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2(1),(в) и (г) </w:t>
            </w:r>
          </w:p>
        </w:tc>
      </w:tr>
      <w:tr w:rsidR="00CC6B44">
        <w:trPr>
          <w:trHeight w:hRule="exact" w:val="38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Член 2(1), (д)</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2(1)</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Член 2(1), (ѓ)</w:t>
            </w:r>
          </w:p>
        </w:tc>
      </w:tr>
      <w:tr w:rsidR="00CC6B44">
        <w:trPr>
          <w:trHeight w:hRule="exact" w:val="778"/>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6472AF" w:rsidRDefault="00CC6B44" w:rsidP="002030C0">
            <w:pPr>
              <w:shd w:val="clear" w:color="auto" w:fill="FFFFFF"/>
              <w:spacing w:line="192" w:lineRule="exact"/>
              <w:ind w:right="10" w:hanging="5"/>
              <w:rPr>
                <w:lang w:val="ru-RU"/>
              </w:rPr>
            </w:pPr>
            <w:r w:rsidRPr="00E97C39">
              <w:rPr>
                <w:color w:val="000000"/>
                <w:spacing w:val="2"/>
                <w:sz w:val="16"/>
                <w:szCs w:val="16"/>
                <w:lang w:val="mk-MK"/>
              </w:rPr>
              <w:t>Член 2(3) и (4) и член 2(7) трет по</w:t>
            </w:r>
            <w:r>
              <w:rPr>
                <w:color w:val="000000"/>
                <w:spacing w:val="2"/>
                <w:sz w:val="16"/>
                <w:szCs w:val="16"/>
                <w:lang w:val="mk-MK"/>
              </w:rPr>
              <w:t>т</w:t>
            </w:r>
            <w:r w:rsidRPr="00E97C39">
              <w:rPr>
                <w:color w:val="000000"/>
                <w:spacing w:val="2"/>
                <w:sz w:val="16"/>
                <w:szCs w:val="16"/>
                <w:lang w:val="mk-MK"/>
              </w:rPr>
              <w:t xml:space="preserve">став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Член 2(2)</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2(8)</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 xml:space="preserve">Член 3 </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 xml:space="preserve">Член 1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4 </w:t>
            </w:r>
          </w:p>
        </w:tc>
      </w:tr>
      <w:tr w:rsidR="00CC6B44">
        <w:trPr>
          <w:trHeight w:hRule="exact" w:val="38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5(1)</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 xml:space="preserve">Член 5 </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 xml:space="preserve">Член 3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6 </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4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Член 7(1)</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Член 7(2)</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2(2)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Член 8(1)</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2(3)</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Член 8(2)</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6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9 </w:t>
            </w:r>
          </w:p>
        </w:tc>
      </w:tr>
      <w:tr w:rsidR="00CC6B44">
        <w:trPr>
          <w:trHeight w:hRule="exact" w:val="38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lastRenderedPageBreak/>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8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10 </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9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11 </w:t>
            </w:r>
          </w:p>
        </w:tc>
      </w:tr>
      <w:tr w:rsidR="00CC6B44">
        <w:trPr>
          <w:trHeight w:hRule="exact" w:val="586"/>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spacing w:line="197" w:lineRule="exact"/>
              <w:ind w:left="5" w:right="120" w:firstLine="5"/>
            </w:pPr>
            <w:r w:rsidRPr="00E97C39">
              <w:rPr>
                <w:color w:val="000000"/>
                <w:spacing w:val="1"/>
                <w:sz w:val="16"/>
                <w:szCs w:val="16"/>
                <w:lang w:val="mk-MK"/>
              </w:rPr>
              <w:t>(Член 2 од Директивата 96/97/ЕЗ)</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12 </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2"/>
                <w:sz w:val="16"/>
                <w:szCs w:val="16"/>
                <w:lang w:val="mk-MK"/>
              </w:rPr>
              <w:t xml:space="preserve">Член 9a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 xml:space="preserve">Член 13 </w:t>
            </w:r>
          </w:p>
        </w:tc>
      </w:tr>
      <w:tr w:rsidR="00CC6B44">
        <w:trPr>
          <w:trHeight w:hRule="exact" w:val="586"/>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spacing w:line="221" w:lineRule="exact"/>
              <w:ind w:right="139" w:hanging="5"/>
            </w:pPr>
            <w:r w:rsidRPr="00E97C39">
              <w:rPr>
                <w:color w:val="000000"/>
                <w:spacing w:val="2"/>
                <w:sz w:val="16"/>
                <w:szCs w:val="16"/>
                <w:lang w:val="mk-MK"/>
              </w:rPr>
              <w:t xml:space="preserve">Член 2(1) и 3 (1)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2(1)</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pacing w:val="-1"/>
                <w:sz w:val="16"/>
                <w:szCs w:val="16"/>
                <w:lang w:val="mk-MK"/>
              </w:rPr>
              <w:t>Член 14(1)</w:t>
            </w:r>
          </w:p>
        </w:tc>
      </w:tr>
      <w:tr w:rsidR="00CC6B44">
        <w:trPr>
          <w:trHeight w:hRule="exact" w:val="38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2(6)</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Член 14(2)</w:t>
            </w:r>
          </w:p>
        </w:tc>
      </w:tr>
      <w:tr w:rsidR="00CC6B44">
        <w:trPr>
          <w:trHeight w:hRule="exact" w:val="586"/>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spacing w:line="187" w:lineRule="exact"/>
              <w:ind w:right="86" w:hanging="5"/>
            </w:pPr>
            <w:r w:rsidRPr="00E97C39">
              <w:rPr>
                <w:color w:val="000000"/>
                <w:spacing w:val="1"/>
                <w:sz w:val="16"/>
                <w:szCs w:val="16"/>
                <w:lang w:val="mk-MK"/>
              </w:rPr>
              <w:t>Член 2(7), втор</w:t>
            </w:r>
            <w:r>
              <w:rPr>
                <w:color w:val="000000"/>
                <w:spacing w:val="1"/>
                <w:sz w:val="16"/>
                <w:szCs w:val="16"/>
                <w:lang w:val="mk-MK"/>
              </w:rPr>
              <w:t xml:space="preserve"> потстав</w:t>
            </w:r>
            <w:r w:rsidRPr="00E97C39">
              <w:rPr>
                <w:color w:val="000000"/>
                <w:spacing w:val="1"/>
                <w:sz w:val="16"/>
                <w:szCs w:val="16"/>
                <w:lang w:val="mk-MK"/>
              </w:rPr>
              <w:t xml:space="preserve">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 xml:space="preserve">Член 15 </w:t>
            </w:r>
          </w:p>
        </w:tc>
      </w:tr>
      <w:tr w:rsidR="00CC6B44">
        <w:trPr>
          <w:trHeight w:hRule="exact" w:val="970"/>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6472AF" w:rsidRDefault="00CC6B44" w:rsidP="002030C0">
            <w:pPr>
              <w:shd w:val="clear" w:color="auto" w:fill="FFFFFF"/>
              <w:spacing w:line="192" w:lineRule="exact"/>
              <w:ind w:right="130" w:hanging="5"/>
              <w:rPr>
                <w:lang w:val="ru-RU"/>
              </w:rPr>
            </w:pPr>
            <w:r w:rsidRPr="00E97C39">
              <w:rPr>
                <w:color w:val="000000"/>
                <w:spacing w:val="2"/>
                <w:sz w:val="16"/>
                <w:szCs w:val="16"/>
                <w:lang w:val="mk-MK"/>
              </w:rPr>
              <w:t>Член 2(7), четврти потстав, втора и трета реченица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6472AF" w:rsidRDefault="00CC6B44" w:rsidP="002030C0">
            <w:pPr>
              <w:shd w:val="clear" w:color="auto" w:fill="FFFFFF"/>
              <w:rPr>
                <w:lang w:val="ru-RU"/>
              </w:rPr>
            </w:pP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6472AF" w:rsidRDefault="00CC6B44" w:rsidP="002030C0">
            <w:pPr>
              <w:shd w:val="clear" w:color="auto" w:fill="FFFFFF"/>
              <w:rPr>
                <w:lang w:val="ru-RU"/>
              </w:rPr>
            </w:pP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pPr>
            <w:r w:rsidRPr="00E97C39">
              <w:rPr>
                <w:color w:val="000000"/>
                <w:sz w:val="16"/>
                <w:szCs w:val="16"/>
                <w:lang w:val="mk-MK"/>
              </w:rPr>
              <w:t xml:space="preserve">Член 16 </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2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z w:val="16"/>
                <w:szCs w:val="16"/>
                <w:lang w:val="mk-MK"/>
              </w:rPr>
              <w:t>Член 6(1)</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pPr>
            <w:r w:rsidRPr="00E97C39">
              <w:rPr>
                <w:color w:val="000000"/>
                <w:spacing w:val="1"/>
                <w:sz w:val="16"/>
                <w:szCs w:val="16"/>
                <w:lang w:val="mk-MK"/>
              </w:rPr>
              <w:t xml:space="preserve">Член 10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5"/>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ind w:left="5"/>
            </w:pPr>
            <w:r w:rsidRPr="00E97C39">
              <w:rPr>
                <w:color w:val="000000"/>
                <w:sz w:val="16"/>
                <w:szCs w:val="16"/>
                <w:lang w:val="mk-MK"/>
              </w:rPr>
              <w:t>Член 17(1)</w:t>
            </w:r>
          </w:p>
        </w:tc>
      </w:tr>
      <w:tr w:rsidR="00CC6B44">
        <w:trPr>
          <w:trHeight w:hRule="exact" w:val="394"/>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5"/>
            </w:pPr>
            <w:r w:rsidRPr="00E97C39">
              <w:rPr>
                <w:color w:val="000000"/>
                <w:sz w:val="16"/>
                <w:szCs w:val="16"/>
                <w:lang w:val="mk-MK"/>
              </w:rPr>
              <w:t>Член 6(3)</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5"/>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5"/>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ind w:left="5"/>
            </w:pPr>
            <w:r w:rsidRPr="00E97C39">
              <w:rPr>
                <w:color w:val="000000"/>
                <w:sz w:val="16"/>
                <w:szCs w:val="16"/>
                <w:lang w:val="mk-MK"/>
              </w:rPr>
              <w:t>Член 17(2)</w:t>
            </w:r>
          </w:p>
        </w:tc>
      </w:tr>
      <w:tr w:rsidR="00CC6B44">
        <w:trPr>
          <w:trHeight w:hRule="exact" w:val="413"/>
        </w:trPr>
        <w:tc>
          <w:tcPr>
            <w:tcW w:w="1642" w:type="dxa"/>
            <w:tcBorders>
              <w:top w:val="single" w:sz="6" w:space="0" w:color="auto"/>
              <w:left w:val="nil"/>
              <w:bottom w:val="single" w:sz="6" w:space="0" w:color="auto"/>
              <w:right w:val="single" w:sz="6" w:space="0" w:color="auto"/>
            </w:tcBorders>
            <w:shd w:val="clear" w:color="auto" w:fill="FFFFFF"/>
          </w:tcPr>
          <w:p w:rsidR="00CC6B44" w:rsidRDefault="00CC6B44" w:rsidP="002030C0">
            <w:pPr>
              <w:shd w:val="clear" w:color="auto" w:fill="FFFFFF"/>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5"/>
            </w:pPr>
            <w:r w:rsidRPr="00E97C39">
              <w:rPr>
                <w:color w:val="000000"/>
                <w:sz w:val="16"/>
                <w:szCs w:val="16"/>
                <w:lang w:val="mk-MK"/>
              </w:rPr>
              <w:t>Член 6(4)</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5"/>
            </w:pPr>
            <w:r>
              <w:rPr>
                <w:color w:val="000000"/>
                <w:sz w:val="18"/>
                <w:szCs w:val="18"/>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Default="00CC6B44" w:rsidP="002030C0">
            <w:pPr>
              <w:shd w:val="clear" w:color="auto" w:fill="FFFFFF"/>
              <w:ind w:left="5"/>
            </w:pPr>
            <w:r>
              <w:rPr>
                <w:color w:val="000000"/>
                <w:sz w:val="18"/>
                <w:szCs w:val="18"/>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Default="00CC6B44" w:rsidP="002030C0">
            <w:pPr>
              <w:shd w:val="clear" w:color="auto" w:fill="FFFFFF"/>
              <w:ind w:left="5"/>
            </w:pPr>
            <w:r w:rsidRPr="00E97C39">
              <w:rPr>
                <w:color w:val="000000"/>
                <w:sz w:val="16"/>
                <w:szCs w:val="16"/>
                <w:lang w:val="mk-MK"/>
              </w:rPr>
              <w:t>Член 17(3)</w:t>
            </w:r>
          </w:p>
        </w:tc>
      </w:tr>
    </w:tbl>
    <w:p w:rsidR="00CC6B44" w:rsidRDefault="00CC6B44" w:rsidP="002030C0">
      <w:pPr>
        <w:rPr>
          <w:lang w:val="mk-MK"/>
        </w:rPr>
      </w:pPr>
    </w:p>
    <w:p w:rsidR="00CC6B44" w:rsidRDefault="00CC6B44" w:rsidP="002030C0">
      <w:pPr>
        <w:rPr>
          <w:lang w:val="mk-MK"/>
        </w:rPr>
      </w:pPr>
    </w:p>
    <w:tbl>
      <w:tblPr>
        <w:tblW w:w="0" w:type="auto"/>
        <w:tblInd w:w="-38" w:type="dxa"/>
        <w:tblLayout w:type="fixed"/>
        <w:tblCellMar>
          <w:left w:w="40" w:type="dxa"/>
          <w:right w:w="40" w:type="dxa"/>
        </w:tblCellMar>
        <w:tblLook w:val="0000"/>
      </w:tblPr>
      <w:tblGrid>
        <w:gridCol w:w="1680"/>
        <w:gridCol w:w="1680"/>
        <w:gridCol w:w="1632"/>
        <w:gridCol w:w="1632"/>
        <w:gridCol w:w="1642"/>
      </w:tblGrid>
      <w:tr w:rsidR="00CC6B44" w:rsidRPr="005B7A89">
        <w:trPr>
          <w:trHeight w:hRule="exact" w:val="317"/>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ind w:left="34"/>
              <w:rPr>
                <w:sz w:val="14"/>
                <w:szCs w:val="14"/>
              </w:rPr>
            </w:pPr>
            <w:r w:rsidRPr="005B7A89">
              <w:rPr>
                <w:color w:val="000000"/>
                <w:spacing w:val="-2"/>
                <w:sz w:val="14"/>
                <w:szCs w:val="14"/>
                <w:lang w:val="mk-MK"/>
              </w:rPr>
              <w:t xml:space="preserve">Директива 75/117/ЕЕЗ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ind w:left="77"/>
              <w:rPr>
                <w:sz w:val="14"/>
                <w:szCs w:val="14"/>
              </w:rPr>
            </w:pPr>
            <w:r w:rsidRPr="005B7A89">
              <w:rPr>
                <w:color w:val="000000"/>
                <w:spacing w:val="-1"/>
                <w:sz w:val="14"/>
                <w:szCs w:val="14"/>
                <w:lang w:val="mk-MK"/>
              </w:rPr>
              <w:t xml:space="preserve">Директива 76/207//ЕЕЗ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ind w:left="72"/>
              <w:rPr>
                <w:sz w:val="14"/>
                <w:szCs w:val="14"/>
              </w:rPr>
            </w:pPr>
            <w:r w:rsidRPr="005B7A89">
              <w:rPr>
                <w:color w:val="000000"/>
                <w:spacing w:val="-1"/>
                <w:sz w:val="14"/>
                <w:szCs w:val="14"/>
                <w:lang w:val="mk-MK"/>
              </w:rPr>
              <w:t xml:space="preserve">Директива 86/378/ЕЕЗ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ind w:left="144"/>
              <w:rPr>
                <w:sz w:val="14"/>
                <w:szCs w:val="14"/>
              </w:rPr>
            </w:pPr>
            <w:r w:rsidRPr="005B7A89">
              <w:rPr>
                <w:color w:val="000000"/>
                <w:sz w:val="14"/>
                <w:szCs w:val="14"/>
                <w:lang w:val="mk-MK"/>
              </w:rPr>
              <w:t xml:space="preserve">Директива 97/80/ЕЗ </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ind w:left="355"/>
              <w:rPr>
                <w:sz w:val="14"/>
                <w:szCs w:val="14"/>
              </w:rPr>
            </w:pPr>
            <w:r w:rsidRPr="005B7A89">
              <w:rPr>
                <w:color w:val="000000"/>
                <w:spacing w:val="-1"/>
                <w:sz w:val="14"/>
                <w:szCs w:val="14"/>
                <w:lang w:val="mk-MK"/>
              </w:rPr>
              <w:t xml:space="preserve">Оваа директива </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6(2)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ind w:left="5"/>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ind w:left="5"/>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ind w:left="5"/>
              <w:rPr>
                <w:sz w:val="16"/>
                <w:szCs w:val="16"/>
              </w:rPr>
            </w:pPr>
            <w:r w:rsidRPr="005B7A89">
              <w:rPr>
                <w:color w:val="000000"/>
                <w:sz w:val="16"/>
                <w:szCs w:val="16"/>
                <w:lang w:val="mk-MK"/>
              </w:rPr>
              <w:t xml:space="preserve">Член 18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ind w:left="5"/>
              <w:rPr>
                <w:sz w:val="16"/>
                <w:szCs w:val="16"/>
              </w:rPr>
            </w:pPr>
            <w:r w:rsidRPr="005B7A89">
              <w:rPr>
                <w:color w:val="000000"/>
                <w:spacing w:val="4"/>
                <w:sz w:val="16"/>
                <w:szCs w:val="16"/>
                <w:lang w:val="mk-MK"/>
              </w:rPr>
              <w:t xml:space="preserve">Членови 3 и 4 </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ind w:left="5"/>
              <w:rPr>
                <w:sz w:val="16"/>
                <w:szCs w:val="16"/>
              </w:rPr>
            </w:pPr>
            <w:r w:rsidRPr="005B7A89">
              <w:rPr>
                <w:color w:val="000000"/>
                <w:sz w:val="16"/>
                <w:szCs w:val="16"/>
                <w:lang w:val="mk-MK"/>
              </w:rPr>
              <w:t xml:space="preserve">Член 19 </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8a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20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8б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 xml:space="preserve">Член 21 </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8в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22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4"/>
                <w:sz w:val="16"/>
                <w:szCs w:val="16"/>
                <w:lang w:val="mk-MK"/>
              </w:rPr>
              <w:t xml:space="preserve">Членови 3 и 6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3(2), (а)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6"/>
                <w:sz w:val="16"/>
                <w:szCs w:val="16"/>
                <w:lang w:val="mk-MK"/>
              </w:rPr>
              <w:t xml:space="preserve">Член 2(3), (а) </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4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Член 3(2), (б)</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4"/>
                <w:sz w:val="16"/>
                <w:szCs w:val="16"/>
                <w:lang w:val="mk-MK"/>
              </w:rPr>
              <w:t xml:space="preserve">Член 7 (а)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23, (б)</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Член 7, (б)</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23 (в) </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 xml:space="preserve">Член 5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7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11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24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6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8г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25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2(5)</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26 </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8д(1)</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4(2)</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27(1)</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8д(2)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6 </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27(2)</w:t>
            </w:r>
          </w:p>
        </w:tc>
      </w:tr>
      <w:tr w:rsidR="00CC6B44" w:rsidRPr="005B7A89">
        <w:trPr>
          <w:trHeight w:hRule="exact" w:val="490"/>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spacing w:line="187" w:lineRule="exact"/>
              <w:ind w:right="322"/>
              <w:rPr>
                <w:sz w:val="16"/>
                <w:szCs w:val="16"/>
              </w:rPr>
            </w:pPr>
            <w:r w:rsidRPr="005B7A89">
              <w:rPr>
                <w:color w:val="000000"/>
                <w:spacing w:val="1"/>
                <w:sz w:val="16"/>
                <w:szCs w:val="16"/>
                <w:lang w:val="mk-MK"/>
              </w:rPr>
              <w:t xml:space="preserve">Член 2(7), втора потстав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5(2)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28(1)</w:t>
            </w:r>
          </w:p>
        </w:tc>
      </w:tr>
      <w:tr w:rsidR="00CC6B44" w:rsidRPr="005B7A89">
        <w:trPr>
          <w:trHeight w:hRule="exact" w:val="672"/>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spacing w:line="192" w:lineRule="exact"/>
              <w:ind w:right="168"/>
              <w:rPr>
                <w:sz w:val="16"/>
                <w:szCs w:val="16"/>
                <w:lang w:val="ru-RU"/>
              </w:rPr>
            </w:pPr>
            <w:r w:rsidRPr="005B7A89">
              <w:rPr>
                <w:color w:val="000000"/>
                <w:spacing w:val="2"/>
                <w:sz w:val="16"/>
                <w:szCs w:val="16"/>
                <w:lang w:val="mk-MK"/>
              </w:rPr>
              <w:t xml:space="preserve">Член 2(7) четврти потстав прва реченица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lang w:val="ru-RU"/>
              </w:rPr>
            </w:pP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lang w:val="ru-RU"/>
              </w:rPr>
            </w:pP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28(2)</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1(1a)</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29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7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8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 xml:space="preserve">Член 5 </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30 </w:t>
            </w:r>
          </w:p>
        </w:tc>
      </w:tr>
      <w:tr w:rsidR="00CC6B44" w:rsidRPr="005B7A89">
        <w:trPr>
          <w:trHeight w:hRule="exact" w:val="490"/>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9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10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12(2)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spacing w:line="192" w:lineRule="exact"/>
              <w:ind w:right="336" w:hanging="5"/>
              <w:rPr>
                <w:sz w:val="16"/>
                <w:szCs w:val="16"/>
              </w:rPr>
            </w:pPr>
            <w:r w:rsidRPr="005B7A89">
              <w:rPr>
                <w:color w:val="000000"/>
                <w:spacing w:val="1"/>
                <w:sz w:val="16"/>
                <w:szCs w:val="16"/>
                <w:lang w:val="mk-MK"/>
              </w:rPr>
              <w:t xml:space="preserve">Член 7 четврти потстав  </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31(1) и (2)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9(2)</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31(3)</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32 </w:t>
            </w:r>
          </w:p>
        </w:tc>
      </w:tr>
      <w:tr w:rsidR="00CC6B44" w:rsidRPr="005B7A89">
        <w:trPr>
          <w:trHeight w:hRule="exact" w:val="672"/>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8 </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spacing w:line="192" w:lineRule="exact"/>
              <w:ind w:right="77" w:hanging="5"/>
              <w:rPr>
                <w:sz w:val="16"/>
                <w:szCs w:val="16"/>
                <w:lang w:val="ru-RU"/>
              </w:rPr>
            </w:pPr>
            <w:r w:rsidRPr="005B7A89">
              <w:rPr>
                <w:color w:val="000000"/>
                <w:spacing w:val="2"/>
                <w:sz w:val="16"/>
                <w:szCs w:val="16"/>
                <w:lang w:val="mk-MK"/>
              </w:rPr>
              <w:t>Член 9(1), прв потстав и 9(2) и (3)</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mk-MK"/>
              </w:rPr>
              <w:t>Член 12(1)</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spacing w:line="192" w:lineRule="exact"/>
              <w:ind w:right="139" w:hanging="5"/>
              <w:rPr>
                <w:sz w:val="16"/>
                <w:szCs w:val="16"/>
                <w:lang w:val="ru-RU"/>
              </w:rPr>
            </w:pPr>
            <w:r w:rsidRPr="005B7A89">
              <w:rPr>
                <w:color w:val="000000"/>
                <w:sz w:val="16"/>
                <w:szCs w:val="16"/>
                <w:lang w:val="mk-MK"/>
              </w:rPr>
              <w:t xml:space="preserve">Член 7, прв, втор и трет потстав </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33 </w:t>
            </w:r>
          </w:p>
        </w:tc>
      </w:tr>
      <w:tr w:rsidR="00CC6B44" w:rsidRPr="005B7A89">
        <w:trPr>
          <w:trHeight w:hRule="exact" w:val="490"/>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spacing w:line="187" w:lineRule="exact"/>
              <w:ind w:right="91" w:hanging="5"/>
              <w:rPr>
                <w:sz w:val="16"/>
                <w:szCs w:val="16"/>
              </w:rPr>
            </w:pPr>
            <w:r w:rsidRPr="005B7A89">
              <w:rPr>
                <w:color w:val="000000"/>
                <w:spacing w:val="1"/>
                <w:sz w:val="16"/>
                <w:szCs w:val="16"/>
                <w:lang w:val="mk-MK"/>
              </w:rPr>
              <w:t xml:space="preserve">Член 9(1), втор потстав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34 </w:t>
            </w:r>
          </w:p>
        </w:tc>
      </w:tr>
      <w:tr w:rsidR="00CC6B44" w:rsidRPr="005B7A89">
        <w:trPr>
          <w:trHeight w:hRule="exact" w:val="29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1"/>
                <w:sz w:val="16"/>
                <w:szCs w:val="16"/>
                <w:lang w:val="mk-MK"/>
              </w:rPr>
              <w:t xml:space="preserve">Член 35 </w:t>
            </w:r>
          </w:p>
        </w:tc>
      </w:tr>
      <w:tr w:rsidR="00CC6B44" w:rsidRPr="005B7A89">
        <w:trPr>
          <w:trHeight w:hRule="exact" w:val="288"/>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Член 36 </w:t>
            </w:r>
          </w:p>
        </w:tc>
      </w:tr>
      <w:tr w:rsidR="00CC6B44" w:rsidRPr="005B7A89">
        <w:trPr>
          <w:trHeight w:hRule="exact" w:val="317"/>
        </w:trPr>
        <w:tc>
          <w:tcPr>
            <w:tcW w:w="1680" w:type="dxa"/>
            <w:tcBorders>
              <w:top w:val="single" w:sz="6" w:space="0" w:color="auto"/>
              <w:left w:val="nil"/>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pacing w:val="2"/>
                <w:sz w:val="16"/>
                <w:szCs w:val="16"/>
                <w:lang w:val="mk-MK"/>
              </w:rPr>
              <w:t xml:space="preserve">Анекс  </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c>
          <w:tcPr>
            <w:tcW w:w="1642" w:type="dxa"/>
            <w:tcBorders>
              <w:top w:val="single" w:sz="6" w:space="0" w:color="auto"/>
              <w:left w:val="single" w:sz="6" w:space="0" w:color="auto"/>
              <w:bottom w:val="single" w:sz="6" w:space="0" w:color="auto"/>
              <w:right w:val="nil"/>
            </w:tcBorders>
            <w:shd w:val="clear" w:color="auto" w:fill="FFFFFF"/>
          </w:tcPr>
          <w:p w:rsidR="00CC6B44" w:rsidRPr="005B7A89" w:rsidRDefault="00CC6B44" w:rsidP="005B7A89">
            <w:pPr>
              <w:shd w:val="clear" w:color="auto" w:fill="FFFFFF"/>
              <w:rPr>
                <w:sz w:val="16"/>
                <w:szCs w:val="16"/>
              </w:rPr>
            </w:pPr>
            <w:r w:rsidRPr="005B7A89">
              <w:rPr>
                <w:color w:val="000000"/>
                <w:sz w:val="16"/>
                <w:szCs w:val="16"/>
                <w:lang w:val="en-US"/>
              </w:rPr>
              <w:t>—</w:t>
            </w:r>
          </w:p>
        </w:tc>
      </w:tr>
    </w:tbl>
    <w:p w:rsidR="00CC6B44" w:rsidRDefault="00CC6B44" w:rsidP="002030C0">
      <w:pPr>
        <w:rPr>
          <w:lang w:val="mk-MK"/>
        </w:rPr>
      </w:pPr>
      <w:r w:rsidDel="005B7A89">
        <w:rPr>
          <w:lang w:val="mk-MK"/>
        </w:rPr>
        <w:t xml:space="preserve"> </w:t>
      </w:r>
    </w:p>
    <w:p w:rsidR="00CC6B44" w:rsidRDefault="00CC6B44" w:rsidP="002030C0">
      <w:pPr>
        <w:rPr>
          <w:lang w:val="mk-MK"/>
        </w:rPr>
      </w:pPr>
    </w:p>
    <w:p w:rsidR="00CC6B44" w:rsidRDefault="00CC6B44" w:rsidP="002030C0">
      <w:pPr>
        <w:rPr>
          <w:lang w:val="mk-MK"/>
        </w:rPr>
      </w:pPr>
    </w:p>
    <w:p w:rsidR="00CC6B44" w:rsidRDefault="00CC6B44" w:rsidP="002030C0">
      <w:pPr>
        <w:rPr>
          <w:lang w:val="mk-MK"/>
        </w:rPr>
      </w:pPr>
    </w:p>
    <w:p w:rsidR="00CC6B44" w:rsidRDefault="00CC6B44" w:rsidP="002030C0">
      <w:pPr>
        <w:rPr>
          <w:lang w:val="mk-MK"/>
        </w:rPr>
      </w:pPr>
    </w:p>
    <w:p w:rsidR="00CC6B44" w:rsidRDefault="00CC6B44" w:rsidP="002030C0">
      <w:pPr>
        <w:rPr>
          <w:lang w:val="mk-MK"/>
        </w:rPr>
      </w:pPr>
    </w:p>
    <w:p w:rsidR="00CC6B44" w:rsidRDefault="00CC6B44" w:rsidP="002030C0">
      <w:pPr>
        <w:rPr>
          <w:lang w:val="mk-MK"/>
        </w:rPr>
      </w:pPr>
    </w:p>
    <w:p w:rsidR="00CC6B44" w:rsidRDefault="00CC6B44" w:rsidP="002030C0">
      <w:pPr>
        <w:rPr>
          <w:lang w:val="mk-MK"/>
        </w:rPr>
      </w:pPr>
    </w:p>
    <w:p w:rsidR="00CC6B44" w:rsidRPr="00EE7756" w:rsidRDefault="00CC6B44" w:rsidP="006472AF">
      <w:pPr>
        <w:jc w:val="right"/>
        <w:rPr>
          <w:rFonts w:ascii="Arial Narrow" w:hAnsi="Arial Narrow" w:cs="Arial Narrow"/>
          <w:sz w:val="20"/>
          <w:szCs w:val="20"/>
          <w:lang w:val="en-US"/>
        </w:rPr>
      </w:pPr>
    </w:p>
    <w:sectPr w:rsidR="00CC6B44" w:rsidRPr="00EE7756" w:rsidSect="00CC6B44">
      <w:type w:val="continuous"/>
      <w:pgSz w:w="16834" w:h="11909" w:orient="landscape" w:code="9"/>
      <w:pgMar w:top="641" w:right="1440" w:bottom="1140" w:left="720" w:header="720" w:footer="720" w:gutter="0"/>
      <w:cols w:space="60"/>
      <w:noEndnote/>
      <w:docGrid w:linePitch="0"/>
      <w:sectPrChange w:id="0" w:author="GJMustafova" w:date="2018-07-24T11:55:00Z">
        <w:sectPr w:rsidR="00CC6B44" w:rsidRPr="00EE7756" w:rsidSect="00CC6B44">
          <w:type w:val="nextPage"/>
          <w:pgSz w:w="11906" w:h="16838" w:orient="portrait" w:code="0"/>
          <w:pgMar w:top="1440" w:right="1800" w:bottom="1440" w:left="1800" w:header="708" w:footer="708"/>
          <w:cols w:space="708"/>
          <w:noEndnote w:val="0"/>
          <w:docGrid w:linePitch="36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44" w:rsidRDefault="006F5544">
      <w:r>
        <w:separator/>
      </w:r>
    </w:p>
  </w:endnote>
  <w:endnote w:type="continuationSeparator" w:id="0">
    <w:p w:rsidR="006F5544" w:rsidRDefault="006F5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44" w:rsidRDefault="006F5544">
      <w:r>
        <w:separator/>
      </w:r>
    </w:p>
  </w:footnote>
  <w:footnote w:type="continuationSeparator" w:id="0">
    <w:p w:rsidR="006F5544" w:rsidRDefault="006F5544">
      <w:r>
        <w:continuationSeparator/>
      </w:r>
    </w:p>
  </w:footnote>
  <w:footnote w:id="1">
    <w:p w:rsidR="00CC6B44" w:rsidRDefault="00CC6B44">
      <w:pPr>
        <w:pStyle w:val="FootnoteText"/>
      </w:pPr>
      <w:r>
        <w:rPr>
          <w:rStyle w:val="FootnoteReference"/>
        </w:rPr>
        <w:footnoteRef/>
      </w:r>
      <w:r w:rsidRPr="006472AF">
        <w:rPr>
          <w:lang w:val="ru-RU"/>
        </w:rPr>
        <w:t xml:space="preserve"> </w:t>
      </w:r>
      <w:r>
        <w:rPr>
          <w:lang w:val="mk-MK"/>
        </w:rPr>
        <w:t>Сл.весник бр.</w:t>
      </w:r>
      <w:r>
        <w:t>C</w:t>
      </w:r>
      <w:r w:rsidRPr="006472AF">
        <w:rPr>
          <w:lang w:val="ru-RU"/>
        </w:rPr>
        <w:t xml:space="preserve"> 157, 28</w:t>
      </w:r>
      <w:r>
        <w:rPr>
          <w:lang w:val="mk-MK"/>
        </w:rPr>
        <w:t xml:space="preserve"> јуни </w:t>
      </w:r>
      <w:r w:rsidRPr="006472AF">
        <w:rPr>
          <w:lang w:val="ru-RU"/>
        </w:rPr>
        <w:t>2005</w:t>
      </w:r>
      <w:r>
        <w:rPr>
          <w:lang w:val="mk-MK"/>
        </w:rPr>
        <w:t xml:space="preserve"> год, стр.</w:t>
      </w:r>
      <w:r w:rsidRPr="006472AF">
        <w:rPr>
          <w:lang w:val="ru-RU"/>
        </w:rPr>
        <w:t>83</w:t>
      </w:r>
      <w:r>
        <w:rPr>
          <w:lang w:val="mk-MK"/>
        </w:rPr>
        <w:t>.</w:t>
      </w:r>
    </w:p>
  </w:footnote>
  <w:footnote w:id="2">
    <w:p w:rsidR="00CC6B44" w:rsidRDefault="00CC6B44">
      <w:pPr>
        <w:pStyle w:val="FootnoteText"/>
      </w:pPr>
      <w:r>
        <w:rPr>
          <w:rStyle w:val="FootnoteReference"/>
        </w:rPr>
        <w:footnoteRef/>
      </w:r>
      <w:r w:rsidRPr="006472AF">
        <w:rPr>
          <w:lang w:val="ru-RU"/>
        </w:rPr>
        <w:t xml:space="preserve"> </w:t>
      </w:r>
      <w:r>
        <w:rPr>
          <w:lang w:val="mk-MK"/>
        </w:rPr>
        <w:t xml:space="preserve">Мислење на Европскиот парламент од 6 јули 2005 год. (се уште необјавено во Службениот весник), Заеднички став на Европскиот парламент од 10 март 2006 год. (Сл. весник бр. </w:t>
      </w:r>
      <w:r>
        <w:t>C</w:t>
      </w:r>
      <w:r w:rsidRPr="006472AF">
        <w:rPr>
          <w:lang w:val="ru-RU"/>
        </w:rPr>
        <w:t xml:space="preserve"> 126 </w:t>
      </w:r>
      <w:r>
        <w:t>E</w:t>
      </w:r>
      <w:r w:rsidRPr="006472AF">
        <w:rPr>
          <w:lang w:val="ru-RU"/>
        </w:rPr>
        <w:t>, 30</w:t>
      </w:r>
      <w:r>
        <w:rPr>
          <w:lang w:val="mk-MK"/>
        </w:rPr>
        <w:t xml:space="preserve"> мај 2</w:t>
      </w:r>
      <w:r w:rsidRPr="006472AF">
        <w:rPr>
          <w:lang w:val="ru-RU"/>
        </w:rPr>
        <w:t>006</w:t>
      </w:r>
      <w:r>
        <w:rPr>
          <w:lang w:val="mk-MK"/>
        </w:rPr>
        <w:t xml:space="preserve"> год, стр.</w:t>
      </w:r>
      <w:r w:rsidRPr="006472AF">
        <w:rPr>
          <w:lang w:val="ru-RU"/>
        </w:rPr>
        <w:t xml:space="preserve"> 33) </w:t>
      </w:r>
      <w:r>
        <w:t>and</w:t>
      </w:r>
      <w:r w:rsidRPr="006472AF">
        <w:rPr>
          <w:lang w:val="ru-RU"/>
        </w:rPr>
        <w:t xml:space="preserve"> </w:t>
      </w:r>
      <w:r>
        <w:rPr>
          <w:lang w:val="mk-MK"/>
        </w:rPr>
        <w:t xml:space="preserve">Ставот на Европскиот парламент од 1 јуни 2006 (се уште необјавено во Службениот весник). </w:t>
      </w:r>
    </w:p>
  </w:footnote>
  <w:footnote w:id="3">
    <w:p w:rsidR="00CC6B44" w:rsidRDefault="00CC6B44">
      <w:pPr>
        <w:pStyle w:val="FootnoteText"/>
      </w:pPr>
      <w:r>
        <w:rPr>
          <w:rStyle w:val="FootnoteReference"/>
        </w:rPr>
        <w:footnoteRef/>
      </w:r>
      <w:r w:rsidRPr="006472AF">
        <w:rPr>
          <w:lang w:val="ru-RU"/>
        </w:rPr>
        <w:t xml:space="preserve"> </w:t>
      </w:r>
      <w:r>
        <w:rPr>
          <w:lang w:val="mk-MK"/>
        </w:rPr>
        <w:t xml:space="preserve">Сл.весник бр. </w:t>
      </w:r>
      <w:r>
        <w:t>L</w:t>
      </w:r>
      <w:r w:rsidRPr="006472AF">
        <w:rPr>
          <w:lang w:val="ru-RU"/>
        </w:rPr>
        <w:t xml:space="preserve"> 39, 14</w:t>
      </w:r>
      <w:r>
        <w:rPr>
          <w:lang w:val="mk-MK"/>
        </w:rPr>
        <w:t xml:space="preserve"> февруари </w:t>
      </w:r>
      <w:r w:rsidRPr="006472AF">
        <w:rPr>
          <w:lang w:val="ru-RU"/>
        </w:rPr>
        <w:t>1976</w:t>
      </w:r>
      <w:r>
        <w:rPr>
          <w:lang w:val="mk-MK"/>
        </w:rPr>
        <w:t xml:space="preserve"> год</w:t>
      </w:r>
      <w:r w:rsidRPr="006472AF">
        <w:rPr>
          <w:lang w:val="ru-RU"/>
        </w:rPr>
        <w:t xml:space="preserve">, </w:t>
      </w:r>
      <w:r>
        <w:rPr>
          <w:lang w:val="mk-MK"/>
        </w:rPr>
        <w:t>стр</w:t>
      </w:r>
      <w:r w:rsidRPr="006472AF">
        <w:rPr>
          <w:lang w:val="ru-RU"/>
        </w:rPr>
        <w:t xml:space="preserve">. 40. </w:t>
      </w:r>
      <w:r>
        <w:rPr>
          <w:lang w:val="mk-MK"/>
        </w:rPr>
        <w:t>Директива изменета со Директивата 2002/73/ЕЗ на Европскиот парламент и на Советот (Сл.весник  бр.</w:t>
      </w:r>
      <w:r w:rsidRPr="006472AF">
        <w:rPr>
          <w:lang w:val="ru-RU"/>
        </w:rPr>
        <w:t xml:space="preserve"> </w:t>
      </w:r>
      <w:r>
        <w:t>L</w:t>
      </w:r>
      <w:r w:rsidRPr="006472AF">
        <w:rPr>
          <w:lang w:val="ru-RU"/>
        </w:rPr>
        <w:t xml:space="preserve"> 269, 5</w:t>
      </w:r>
      <w:r>
        <w:rPr>
          <w:lang w:val="mk-MK"/>
        </w:rPr>
        <w:t xml:space="preserve"> октомври </w:t>
      </w:r>
      <w:r w:rsidRPr="006472AF">
        <w:rPr>
          <w:lang w:val="ru-RU"/>
        </w:rPr>
        <w:t>2002</w:t>
      </w:r>
      <w:r>
        <w:rPr>
          <w:lang w:val="mk-MK"/>
        </w:rPr>
        <w:t xml:space="preserve"> год</w:t>
      </w:r>
      <w:r w:rsidRPr="006472AF">
        <w:rPr>
          <w:lang w:val="ru-RU"/>
        </w:rPr>
        <w:t xml:space="preserve">, </w:t>
      </w:r>
      <w:r>
        <w:rPr>
          <w:lang w:val="mk-MK"/>
        </w:rPr>
        <w:t>стр</w:t>
      </w:r>
      <w:r w:rsidRPr="006472AF">
        <w:rPr>
          <w:lang w:val="ru-RU"/>
        </w:rPr>
        <w:t>. 15).</w:t>
      </w:r>
    </w:p>
  </w:footnote>
  <w:footnote w:id="4">
    <w:p w:rsidR="00CC6B44" w:rsidRDefault="00CC6B44">
      <w:pPr>
        <w:pStyle w:val="FootnoteText"/>
      </w:pPr>
      <w:r>
        <w:rPr>
          <w:rStyle w:val="FootnoteReference"/>
        </w:rPr>
        <w:footnoteRef/>
      </w:r>
      <w:r w:rsidRPr="006472AF">
        <w:rPr>
          <w:lang w:val="ru-RU"/>
        </w:rPr>
        <w:t xml:space="preserve"> </w:t>
      </w:r>
      <w:r>
        <w:rPr>
          <w:lang w:val="mk-MK"/>
        </w:rPr>
        <w:t>Сл.весник бр.</w:t>
      </w:r>
      <w:r>
        <w:t>L</w:t>
      </w:r>
      <w:r w:rsidRPr="006472AF">
        <w:rPr>
          <w:lang w:val="ru-RU"/>
        </w:rPr>
        <w:t xml:space="preserve"> 225, 12</w:t>
      </w:r>
      <w:r>
        <w:rPr>
          <w:lang w:val="mk-MK"/>
        </w:rPr>
        <w:t xml:space="preserve"> август </w:t>
      </w:r>
      <w:r w:rsidRPr="006472AF">
        <w:rPr>
          <w:lang w:val="ru-RU"/>
        </w:rPr>
        <w:t>1986</w:t>
      </w:r>
      <w:r>
        <w:rPr>
          <w:lang w:val="mk-MK"/>
        </w:rPr>
        <w:t xml:space="preserve"> год</w:t>
      </w:r>
      <w:r w:rsidRPr="006472AF">
        <w:rPr>
          <w:lang w:val="ru-RU"/>
        </w:rPr>
        <w:t xml:space="preserve">, </w:t>
      </w:r>
      <w:r>
        <w:rPr>
          <w:lang w:val="mk-MK"/>
        </w:rPr>
        <w:t>стр.</w:t>
      </w:r>
      <w:r w:rsidRPr="006472AF">
        <w:rPr>
          <w:lang w:val="ru-RU"/>
        </w:rPr>
        <w:t xml:space="preserve"> 40. </w:t>
      </w:r>
      <w:r>
        <w:rPr>
          <w:lang w:val="mk-MK"/>
        </w:rPr>
        <w:t xml:space="preserve">Директива изменета со Директивата </w:t>
      </w:r>
      <w:r w:rsidRPr="006472AF">
        <w:rPr>
          <w:lang w:val="ru-RU"/>
        </w:rPr>
        <w:t>96/97/</w:t>
      </w:r>
      <w:r>
        <w:t>E</w:t>
      </w:r>
      <w:r>
        <w:rPr>
          <w:lang w:val="mk-MK"/>
        </w:rPr>
        <w:t>З</w:t>
      </w:r>
      <w:r w:rsidRPr="006472AF">
        <w:rPr>
          <w:lang w:val="ru-RU"/>
        </w:rPr>
        <w:t xml:space="preserve"> (</w:t>
      </w:r>
      <w:r>
        <w:rPr>
          <w:lang w:val="mk-MK"/>
        </w:rPr>
        <w:t xml:space="preserve">Сл.весник бр </w:t>
      </w:r>
      <w:r>
        <w:t>L</w:t>
      </w:r>
      <w:r w:rsidRPr="006472AF">
        <w:rPr>
          <w:lang w:val="ru-RU"/>
        </w:rPr>
        <w:t xml:space="preserve"> 46, 17</w:t>
      </w:r>
      <w:r>
        <w:rPr>
          <w:lang w:val="mk-MK"/>
        </w:rPr>
        <w:t xml:space="preserve"> февруари </w:t>
      </w:r>
      <w:r w:rsidRPr="006472AF">
        <w:rPr>
          <w:lang w:val="ru-RU"/>
        </w:rPr>
        <w:t>1997</w:t>
      </w:r>
      <w:r>
        <w:rPr>
          <w:lang w:val="mk-MK"/>
        </w:rPr>
        <w:t xml:space="preserve"> год</w:t>
      </w:r>
      <w:r w:rsidRPr="006472AF">
        <w:rPr>
          <w:lang w:val="ru-RU"/>
        </w:rPr>
        <w:t xml:space="preserve">, </w:t>
      </w:r>
      <w:r>
        <w:rPr>
          <w:lang w:val="mk-MK"/>
        </w:rPr>
        <w:t xml:space="preserve">стр. </w:t>
      </w:r>
      <w:r w:rsidRPr="006472AF">
        <w:rPr>
          <w:lang w:val="ru-RU"/>
        </w:rPr>
        <w:t>20).</w:t>
      </w:r>
    </w:p>
  </w:footnote>
  <w:footnote w:id="5">
    <w:p w:rsidR="00CC6B44" w:rsidRDefault="00CC6B44">
      <w:pPr>
        <w:pStyle w:val="FootnoteText"/>
      </w:pPr>
      <w:r>
        <w:rPr>
          <w:rStyle w:val="FootnoteReference"/>
        </w:rPr>
        <w:footnoteRef/>
      </w:r>
      <w:r w:rsidRPr="006472AF">
        <w:rPr>
          <w:lang w:val="ru-RU"/>
        </w:rPr>
        <w:t xml:space="preserve"> </w:t>
      </w:r>
      <w:r>
        <w:rPr>
          <w:lang w:val="mk-MK"/>
        </w:rPr>
        <w:t xml:space="preserve">Види Анекс </w:t>
      </w:r>
      <w:r>
        <w:t>I</w:t>
      </w:r>
      <w:r w:rsidRPr="006472AF">
        <w:rPr>
          <w:lang w:val="ru-RU"/>
        </w:rPr>
        <w:t xml:space="preserve"> </w:t>
      </w:r>
      <w:r>
        <w:rPr>
          <w:lang w:val="mk-MK"/>
        </w:rPr>
        <w:t xml:space="preserve">Дел </w:t>
      </w:r>
      <w:r>
        <w:t>A</w:t>
      </w:r>
      <w:r>
        <w:rPr>
          <w:lang w:val="mk-MK"/>
        </w:rPr>
        <w:t>.</w:t>
      </w:r>
    </w:p>
  </w:footnote>
  <w:footnote w:id="6">
    <w:p w:rsidR="00CC6B44" w:rsidRDefault="00CC6B44">
      <w:pPr>
        <w:pStyle w:val="FootnoteText"/>
      </w:pPr>
      <w:r>
        <w:rPr>
          <w:rStyle w:val="FootnoteReference"/>
        </w:rPr>
        <w:footnoteRef/>
      </w:r>
      <w:r w:rsidRPr="006472AF">
        <w:rPr>
          <w:lang w:val="ru-RU"/>
        </w:rPr>
        <w:t xml:space="preserve"> </w:t>
      </w:r>
      <w:r>
        <w:rPr>
          <w:lang w:val="mk-MK"/>
        </w:rPr>
        <w:t>Сл.весник бр</w:t>
      </w:r>
      <w:r>
        <w:t>L</w:t>
      </w:r>
      <w:r w:rsidRPr="006472AF">
        <w:rPr>
          <w:lang w:val="ru-RU"/>
        </w:rPr>
        <w:t xml:space="preserve"> 45, 19</w:t>
      </w:r>
      <w:r>
        <w:rPr>
          <w:lang w:val="mk-MK"/>
        </w:rPr>
        <w:t xml:space="preserve"> февруари </w:t>
      </w:r>
      <w:r w:rsidRPr="006472AF">
        <w:rPr>
          <w:lang w:val="ru-RU"/>
        </w:rPr>
        <w:t>1975</w:t>
      </w:r>
      <w:r>
        <w:rPr>
          <w:lang w:val="mk-MK"/>
        </w:rPr>
        <w:t xml:space="preserve"> год</w:t>
      </w:r>
      <w:r w:rsidRPr="006472AF">
        <w:rPr>
          <w:lang w:val="ru-RU"/>
        </w:rPr>
        <w:t xml:space="preserve">, </w:t>
      </w:r>
      <w:r>
        <w:rPr>
          <w:lang w:val="mk-MK"/>
        </w:rPr>
        <w:t>стр</w:t>
      </w:r>
      <w:r w:rsidRPr="006472AF">
        <w:rPr>
          <w:lang w:val="ru-RU"/>
        </w:rPr>
        <w:t>. 19</w:t>
      </w:r>
      <w:r>
        <w:rPr>
          <w:lang w:val="mk-MK"/>
        </w:rPr>
        <w:t>.</w:t>
      </w:r>
    </w:p>
  </w:footnote>
  <w:footnote w:id="7">
    <w:p w:rsidR="00CC6B44" w:rsidRDefault="00CC6B44">
      <w:pPr>
        <w:pStyle w:val="FootnoteText"/>
      </w:pPr>
      <w:r>
        <w:rPr>
          <w:rStyle w:val="FootnoteReference"/>
        </w:rPr>
        <w:footnoteRef/>
      </w:r>
      <w:r w:rsidRPr="006472AF">
        <w:rPr>
          <w:lang w:val="ru-RU"/>
        </w:rPr>
        <w:t xml:space="preserve"> </w:t>
      </w:r>
      <w:r>
        <w:rPr>
          <w:lang w:val="mk-MK"/>
        </w:rPr>
        <w:t>Сл.весник бр</w:t>
      </w:r>
      <w:r w:rsidRPr="006472AF">
        <w:rPr>
          <w:lang w:val="ru-RU"/>
        </w:rPr>
        <w:t xml:space="preserve"> </w:t>
      </w:r>
      <w:r>
        <w:t>L</w:t>
      </w:r>
      <w:r w:rsidRPr="006472AF">
        <w:rPr>
          <w:lang w:val="ru-RU"/>
        </w:rPr>
        <w:t xml:space="preserve"> 14, 20</w:t>
      </w:r>
      <w:r>
        <w:rPr>
          <w:lang w:val="mk-MK"/>
        </w:rPr>
        <w:t xml:space="preserve"> јануари </w:t>
      </w:r>
      <w:r w:rsidRPr="006472AF">
        <w:rPr>
          <w:lang w:val="ru-RU"/>
        </w:rPr>
        <w:t xml:space="preserve">1998, </w:t>
      </w:r>
      <w:r>
        <w:rPr>
          <w:lang w:val="mk-MK"/>
        </w:rPr>
        <w:t xml:space="preserve">стр. </w:t>
      </w:r>
      <w:r w:rsidRPr="006472AF">
        <w:rPr>
          <w:lang w:val="ru-RU"/>
        </w:rPr>
        <w:t xml:space="preserve">6. </w:t>
      </w:r>
      <w:r>
        <w:rPr>
          <w:lang w:val="mk-MK"/>
        </w:rPr>
        <w:t xml:space="preserve">Директива изменета со Директивата </w:t>
      </w:r>
      <w:r w:rsidRPr="006472AF">
        <w:rPr>
          <w:lang w:val="ru-RU"/>
        </w:rPr>
        <w:t>98/52/</w:t>
      </w:r>
      <w:r>
        <w:t>E</w:t>
      </w:r>
      <w:r>
        <w:rPr>
          <w:lang w:val="mk-MK"/>
        </w:rPr>
        <w:t>З</w:t>
      </w:r>
      <w:r w:rsidRPr="006472AF">
        <w:rPr>
          <w:lang w:val="ru-RU"/>
        </w:rPr>
        <w:t xml:space="preserve"> (</w:t>
      </w:r>
      <w:r>
        <w:rPr>
          <w:lang w:val="mk-MK"/>
        </w:rPr>
        <w:t xml:space="preserve">Сл.весник </w:t>
      </w:r>
      <w:r>
        <w:t>L</w:t>
      </w:r>
      <w:r w:rsidRPr="006472AF">
        <w:rPr>
          <w:lang w:val="ru-RU"/>
        </w:rPr>
        <w:t xml:space="preserve"> 205, 22</w:t>
      </w:r>
      <w:r>
        <w:rPr>
          <w:lang w:val="mk-MK"/>
        </w:rPr>
        <w:t xml:space="preserve"> јули </w:t>
      </w:r>
      <w:r w:rsidRPr="006472AF">
        <w:rPr>
          <w:lang w:val="ru-RU"/>
        </w:rPr>
        <w:t>1998</w:t>
      </w:r>
      <w:r>
        <w:rPr>
          <w:lang w:val="mk-MK"/>
        </w:rPr>
        <w:t xml:space="preserve"> год</w:t>
      </w:r>
      <w:r w:rsidRPr="006472AF">
        <w:rPr>
          <w:lang w:val="ru-RU"/>
        </w:rPr>
        <w:t xml:space="preserve">, </w:t>
      </w:r>
      <w:r>
        <w:rPr>
          <w:lang w:val="mk-MK"/>
        </w:rPr>
        <w:t>стр.</w:t>
      </w:r>
      <w:r w:rsidRPr="006472AF">
        <w:rPr>
          <w:lang w:val="ru-RU"/>
        </w:rPr>
        <w:t>66).</w:t>
      </w:r>
    </w:p>
  </w:footnote>
  <w:footnote w:id="8">
    <w:p w:rsidR="00CC6B44" w:rsidRDefault="00CC6B44">
      <w:pPr>
        <w:pStyle w:val="FootnoteText"/>
      </w:pPr>
      <w:r>
        <w:rPr>
          <w:rStyle w:val="FootnoteReference"/>
        </w:rPr>
        <w:footnoteRef/>
      </w:r>
      <w:r>
        <w:t xml:space="preserve"> C-262/88: Barber</w:t>
      </w:r>
      <w:r>
        <w:rPr>
          <w:lang w:val="mk-MK"/>
        </w:rPr>
        <w:t xml:space="preserve"> против</w:t>
      </w:r>
      <w:r>
        <w:t xml:space="preserve"> Guardian Royal Exchange Assurance Group (1990 ECR I</w:t>
      </w:r>
      <w:r>
        <w:rPr>
          <w:rFonts w:ascii="MS Mincho" w:eastAsia="MS Mincho" w:hAnsi="MS Mincho" w:cs="MS Mincho" w:hint="eastAsia"/>
        </w:rPr>
        <w:t>‐</w:t>
      </w:r>
      <w:r>
        <w:t>1889).</w:t>
      </w:r>
    </w:p>
  </w:footnote>
  <w:footnote w:id="9">
    <w:p w:rsidR="00CC6B44" w:rsidRDefault="00CC6B44">
      <w:pPr>
        <w:pStyle w:val="FootnoteText"/>
      </w:pPr>
      <w:r w:rsidRPr="00765994">
        <w:rPr>
          <w:rStyle w:val="FootnoteReference"/>
        </w:rPr>
        <w:footnoteRef/>
      </w:r>
      <w:r>
        <w:t xml:space="preserve"> C-7/93: Bestuur van het Algemeen Burgerlijk Pensioenfonds </w:t>
      </w:r>
      <w:r>
        <w:rPr>
          <w:lang w:val="mk-MK"/>
        </w:rPr>
        <w:t>против</w:t>
      </w:r>
      <w:r>
        <w:t xml:space="preserve"> G. A. Beune (1994 ECR I</w:t>
      </w:r>
      <w:r>
        <w:rPr>
          <w:rFonts w:ascii="MS Mincho" w:eastAsia="MS Mincho" w:hAnsi="MS Mincho" w:cs="MS Mincho" w:hint="eastAsia"/>
        </w:rPr>
        <w:t>‐</w:t>
      </w:r>
      <w:r>
        <w:t>4471).</w:t>
      </w:r>
    </w:p>
  </w:footnote>
  <w:footnote w:id="10">
    <w:p w:rsidR="00CC6B44" w:rsidRDefault="00CC6B44">
      <w:pPr>
        <w:pStyle w:val="FootnoteText"/>
      </w:pPr>
      <w:r>
        <w:rPr>
          <w:rStyle w:val="FootnoteReference"/>
        </w:rPr>
        <w:footnoteRef/>
      </w:r>
      <w:r>
        <w:t xml:space="preserve"> C-351/00: Pirkko Niemi (2002 ECR I-7007).</w:t>
      </w:r>
    </w:p>
  </w:footnote>
  <w:footnote w:id="11">
    <w:p w:rsidR="00CC6B44" w:rsidRDefault="00CC6B44" w:rsidP="004D4B77">
      <w:pPr>
        <w:pStyle w:val="FootnoteText"/>
      </w:pPr>
      <w:r w:rsidRPr="00765994">
        <w:rPr>
          <w:rStyle w:val="FootnoteReference"/>
        </w:rPr>
        <w:footnoteRef/>
      </w:r>
      <w:r w:rsidRPr="006472AF">
        <w:rPr>
          <w:lang w:val="ru-RU"/>
        </w:rPr>
        <w:t xml:space="preserve"> </w:t>
      </w:r>
      <w:r>
        <w:rPr>
          <w:lang w:val="mk-MK"/>
        </w:rPr>
        <w:t xml:space="preserve">Протокол 17 во врска со членот 141 од Договорот за основање на Европската заедница </w:t>
      </w:r>
      <w:r w:rsidRPr="006472AF">
        <w:rPr>
          <w:lang w:val="ru-RU"/>
        </w:rPr>
        <w:t>(1992).</w:t>
      </w:r>
    </w:p>
  </w:footnote>
  <w:footnote w:id="12">
    <w:p w:rsidR="00CC6B44" w:rsidRDefault="00CC6B44">
      <w:pPr>
        <w:pStyle w:val="FootnoteText"/>
      </w:pPr>
      <w:r>
        <w:rPr>
          <w:rStyle w:val="FootnoteReference"/>
        </w:rPr>
        <w:footnoteRef/>
      </w:r>
      <w:r w:rsidRPr="006472AF">
        <w:rPr>
          <w:lang w:val="ru-RU"/>
        </w:rPr>
        <w:t xml:space="preserve"> </w:t>
      </w:r>
      <w:r>
        <w:rPr>
          <w:lang w:val="mk-MK"/>
        </w:rPr>
        <w:t>Сл.весник бр.</w:t>
      </w:r>
      <w:r>
        <w:t>L</w:t>
      </w:r>
      <w:r w:rsidRPr="006472AF">
        <w:rPr>
          <w:lang w:val="ru-RU"/>
        </w:rPr>
        <w:t xml:space="preserve"> 348, 28</w:t>
      </w:r>
      <w:r>
        <w:rPr>
          <w:lang w:val="mk-MK"/>
        </w:rPr>
        <w:t xml:space="preserve"> ноември </w:t>
      </w:r>
      <w:r w:rsidRPr="006472AF">
        <w:rPr>
          <w:lang w:val="ru-RU"/>
        </w:rPr>
        <w:t>1992</w:t>
      </w:r>
      <w:r>
        <w:rPr>
          <w:lang w:val="mk-MK"/>
        </w:rPr>
        <w:t xml:space="preserve"> год</w:t>
      </w:r>
      <w:r w:rsidRPr="006472AF">
        <w:rPr>
          <w:lang w:val="ru-RU"/>
        </w:rPr>
        <w:t xml:space="preserve">, </w:t>
      </w:r>
      <w:r>
        <w:rPr>
          <w:lang w:val="mk-MK"/>
        </w:rPr>
        <w:t>стр</w:t>
      </w:r>
      <w:r w:rsidRPr="006472AF">
        <w:rPr>
          <w:lang w:val="ru-RU"/>
        </w:rPr>
        <w:t>. 1.</w:t>
      </w:r>
    </w:p>
  </w:footnote>
  <w:footnote w:id="13">
    <w:p w:rsidR="00CC6B44" w:rsidRDefault="00CC6B44">
      <w:pPr>
        <w:pStyle w:val="FootnoteText"/>
      </w:pPr>
      <w:r>
        <w:rPr>
          <w:rStyle w:val="FootnoteReference"/>
        </w:rPr>
        <w:footnoteRef/>
      </w:r>
      <w:r w:rsidRPr="006472AF">
        <w:rPr>
          <w:lang w:val="ru-RU"/>
        </w:rPr>
        <w:t xml:space="preserve"> </w:t>
      </w:r>
      <w:r>
        <w:rPr>
          <w:lang w:val="mk-MK"/>
        </w:rPr>
        <w:t>Сл.весник бр.</w:t>
      </w:r>
      <w:r>
        <w:rPr>
          <w:lang w:val="en-US"/>
        </w:rPr>
        <w:t>L</w:t>
      </w:r>
      <w:r w:rsidRPr="006472AF">
        <w:rPr>
          <w:lang w:val="ru-RU"/>
        </w:rPr>
        <w:t xml:space="preserve"> 145, 19</w:t>
      </w:r>
      <w:r>
        <w:rPr>
          <w:lang w:val="mk-MK"/>
        </w:rPr>
        <w:t xml:space="preserve"> јуни </w:t>
      </w:r>
      <w:r w:rsidRPr="006472AF">
        <w:rPr>
          <w:lang w:val="ru-RU"/>
        </w:rPr>
        <w:t>1996</w:t>
      </w:r>
      <w:r>
        <w:rPr>
          <w:lang w:val="mk-MK"/>
        </w:rPr>
        <w:t xml:space="preserve"> год</w:t>
      </w:r>
      <w:r w:rsidRPr="006472AF">
        <w:rPr>
          <w:lang w:val="ru-RU"/>
        </w:rPr>
        <w:t xml:space="preserve">, </w:t>
      </w:r>
      <w:r>
        <w:rPr>
          <w:lang w:val="mk-MK"/>
        </w:rPr>
        <w:t>стр</w:t>
      </w:r>
      <w:r w:rsidRPr="006472AF">
        <w:rPr>
          <w:lang w:val="ru-RU"/>
        </w:rPr>
        <w:t xml:space="preserve">. 4. </w:t>
      </w:r>
      <w:r>
        <w:rPr>
          <w:lang w:val="mk-MK"/>
        </w:rPr>
        <w:t xml:space="preserve">Директива изменета со Директивата </w:t>
      </w:r>
      <w:r w:rsidRPr="006472AF">
        <w:rPr>
          <w:lang w:val="ru-RU"/>
        </w:rPr>
        <w:t>97/75/</w:t>
      </w:r>
      <w:r>
        <w:t>E</w:t>
      </w:r>
      <w:r>
        <w:rPr>
          <w:lang w:val="mk-MK"/>
        </w:rPr>
        <w:t>З</w:t>
      </w:r>
      <w:r w:rsidRPr="006472AF">
        <w:rPr>
          <w:lang w:val="ru-RU"/>
        </w:rPr>
        <w:t xml:space="preserve"> (</w:t>
      </w:r>
      <w:r>
        <w:rPr>
          <w:lang w:val="mk-MK"/>
        </w:rPr>
        <w:t>Сл.весник бр.</w:t>
      </w:r>
      <w:r w:rsidRPr="006472AF">
        <w:rPr>
          <w:lang w:val="ru-RU"/>
        </w:rPr>
        <w:t xml:space="preserve"> </w:t>
      </w:r>
      <w:r>
        <w:t>L</w:t>
      </w:r>
      <w:r w:rsidRPr="006472AF">
        <w:rPr>
          <w:lang w:val="ru-RU"/>
        </w:rPr>
        <w:t xml:space="preserve"> 10, 16</w:t>
      </w:r>
      <w:r>
        <w:rPr>
          <w:lang w:val="mk-MK"/>
        </w:rPr>
        <w:t xml:space="preserve"> јануари </w:t>
      </w:r>
      <w:r w:rsidRPr="006472AF">
        <w:rPr>
          <w:lang w:val="ru-RU"/>
        </w:rPr>
        <w:t>1998</w:t>
      </w:r>
      <w:r>
        <w:rPr>
          <w:lang w:val="mk-MK"/>
        </w:rPr>
        <w:t xml:space="preserve"> год</w:t>
      </w:r>
      <w:r w:rsidRPr="006472AF">
        <w:rPr>
          <w:lang w:val="ru-RU"/>
        </w:rPr>
        <w:t xml:space="preserve">, </w:t>
      </w:r>
      <w:r>
        <w:rPr>
          <w:lang w:val="mk-MK"/>
        </w:rPr>
        <w:t>стр</w:t>
      </w:r>
      <w:r w:rsidRPr="006472AF">
        <w:rPr>
          <w:lang w:val="ru-RU"/>
        </w:rPr>
        <w:t>.24).</w:t>
      </w:r>
    </w:p>
  </w:footnote>
  <w:footnote w:id="14">
    <w:p w:rsidR="00CC6B44" w:rsidRPr="006472AF" w:rsidRDefault="00CC6B44" w:rsidP="000E1A5D">
      <w:pPr>
        <w:pStyle w:val="FootnoteText"/>
        <w:rPr>
          <w:lang w:val="ru-RU"/>
        </w:rPr>
      </w:pPr>
      <w:r>
        <w:rPr>
          <w:rStyle w:val="FootnoteReference"/>
        </w:rPr>
        <w:footnoteRef/>
      </w:r>
      <w:r w:rsidRPr="006472AF">
        <w:rPr>
          <w:lang w:val="ru-RU"/>
        </w:rPr>
        <w:t xml:space="preserve"> </w:t>
      </w:r>
      <w:r>
        <w:rPr>
          <w:lang w:val="mk-MK"/>
        </w:rPr>
        <w:t>Сл.весник бр.</w:t>
      </w:r>
      <w:r w:rsidRPr="006472AF">
        <w:rPr>
          <w:lang w:val="ru-RU"/>
        </w:rPr>
        <w:t xml:space="preserve"> </w:t>
      </w:r>
      <w:r>
        <w:t>C</w:t>
      </w:r>
      <w:r w:rsidRPr="006472AF">
        <w:rPr>
          <w:lang w:val="ru-RU"/>
        </w:rPr>
        <w:t xml:space="preserve"> 218, 31</w:t>
      </w:r>
      <w:r>
        <w:rPr>
          <w:lang w:val="mk-MK"/>
        </w:rPr>
        <w:t xml:space="preserve"> јули </w:t>
      </w:r>
      <w:r w:rsidRPr="006472AF">
        <w:rPr>
          <w:lang w:val="ru-RU"/>
        </w:rPr>
        <w:t>2000</w:t>
      </w:r>
      <w:r>
        <w:rPr>
          <w:lang w:val="mk-MK"/>
        </w:rPr>
        <w:t xml:space="preserve"> год</w:t>
      </w:r>
      <w:r w:rsidRPr="006472AF">
        <w:rPr>
          <w:lang w:val="ru-RU"/>
        </w:rPr>
        <w:t xml:space="preserve">, </w:t>
      </w:r>
      <w:r>
        <w:rPr>
          <w:lang w:val="mk-MK"/>
        </w:rPr>
        <w:t>стр</w:t>
      </w:r>
      <w:r w:rsidRPr="006472AF">
        <w:rPr>
          <w:lang w:val="ru-RU"/>
        </w:rPr>
        <w:t xml:space="preserve"> 5</w:t>
      </w:r>
    </w:p>
    <w:p w:rsidR="00CC6B44" w:rsidRDefault="00CC6B44" w:rsidP="000E1A5D">
      <w:pPr>
        <w:pStyle w:val="FootnoteText"/>
      </w:pPr>
    </w:p>
  </w:footnote>
  <w:footnote w:id="15">
    <w:p w:rsidR="00CC6B44" w:rsidRDefault="00CC6B44">
      <w:pPr>
        <w:pStyle w:val="FootnoteText"/>
      </w:pPr>
      <w:r>
        <w:rPr>
          <w:rStyle w:val="FootnoteReference"/>
        </w:rPr>
        <w:footnoteRef/>
      </w:r>
      <w:r w:rsidRPr="006472AF">
        <w:rPr>
          <w:lang w:val="ru-RU"/>
        </w:rPr>
        <w:t xml:space="preserve"> </w:t>
      </w:r>
      <w:r>
        <w:rPr>
          <w:lang w:val="mk-MK"/>
        </w:rPr>
        <w:t>Сл.весник бр.</w:t>
      </w:r>
      <w:r w:rsidRPr="006472AF">
        <w:rPr>
          <w:lang w:val="ru-RU"/>
        </w:rPr>
        <w:t xml:space="preserve"> </w:t>
      </w:r>
      <w:r>
        <w:t>C</w:t>
      </w:r>
      <w:r w:rsidRPr="006472AF">
        <w:rPr>
          <w:lang w:val="ru-RU"/>
        </w:rPr>
        <w:t xml:space="preserve"> 321, 31</w:t>
      </w:r>
      <w:r>
        <w:rPr>
          <w:lang w:val="mk-MK"/>
        </w:rPr>
        <w:t xml:space="preserve"> декември </w:t>
      </w:r>
      <w:r w:rsidRPr="006472AF">
        <w:rPr>
          <w:lang w:val="ru-RU"/>
        </w:rPr>
        <w:t>2003</w:t>
      </w:r>
      <w:r>
        <w:rPr>
          <w:lang w:val="mk-MK"/>
        </w:rPr>
        <w:t xml:space="preserve"> год</w:t>
      </w:r>
      <w:r w:rsidRPr="006472AF">
        <w:rPr>
          <w:lang w:val="ru-RU"/>
        </w:rPr>
        <w:t xml:space="preserve">, </w:t>
      </w:r>
      <w:r>
        <w:rPr>
          <w:lang w:val="mk-MK"/>
        </w:rPr>
        <w:t>стр.</w:t>
      </w:r>
      <w:r w:rsidRPr="006472AF">
        <w:rPr>
          <w:lang w:val="ru-RU"/>
        </w:rPr>
        <w:t>1</w:t>
      </w:r>
    </w:p>
  </w:footnote>
  <w:footnote w:id="16">
    <w:p w:rsidR="00CC6B44" w:rsidRDefault="00CC6B44">
      <w:pPr>
        <w:pStyle w:val="FootnoteText"/>
      </w:pPr>
      <w:r>
        <w:rPr>
          <w:rStyle w:val="FootnoteReference"/>
        </w:rPr>
        <w:footnoteRef/>
      </w:r>
      <w:r w:rsidRPr="006472AF">
        <w:rPr>
          <w:lang w:val="ru-RU"/>
        </w:rPr>
        <w:t xml:space="preserve"> </w:t>
      </w:r>
      <w:r>
        <w:rPr>
          <w:lang w:val="mk-MK"/>
        </w:rPr>
        <w:t>Сл.весник бр.</w:t>
      </w:r>
      <w:r w:rsidRPr="006472AF">
        <w:rPr>
          <w:lang w:val="ru-RU"/>
        </w:rPr>
        <w:t xml:space="preserve"> </w:t>
      </w:r>
      <w:r>
        <w:t>L</w:t>
      </w:r>
      <w:r w:rsidRPr="006472AF">
        <w:rPr>
          <w:lang w:val="ru-RU"/>
        </w:rPr>
        <w:t xml:space="preserve"> 6, 10</w:t>
      </w:r>
      <w:r>
        <w:rPr>
          <w:lang w:val="mk-MK"/>
        </w:rPr>
        <w:t xml:space="preserve"> јануари </w:t>
      </w:r>
      <w:r w:rsidRPr="006472AF">
        <w:rPr>
          <w:lang w:val="ru-RU"/>
        </w:rPr>
        <w:t>1979</w:t>
      </w:r>
      <w:r>
        <w:rPr>
          <w:lang w:val="mk-MK"/>
        </w:rPr>
        <w:t xml:space="preserve"> год, стр.</w:t>
      </w:r>
      <w:r w:rsidRPr="006472AF">
        <w:rPr>
          <w:lang w:val="ru-RU"/>
        </w:rPr>
        <w:t>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44" w:rsidRPr="00823C06" w:rsidRDefault="00CC6B44" w:rsidP="00823C06">
    <w:pPr>
      <w:pStyle w:val="Header"/>
      <w:tabs>
        <w:tab w:val="right" w:pos="8364"/>
      </w:tabs>
      <w:jc w:val="both"/>
      <w:rPr>
        <w:sz w:val="16"/>
        <w:szCs w:val="16"/>
        <w:lang w:val="mk-MK"/>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120"/>
  <w:drawingGridVerticalSpacing w:val="136"/>
  <w:displayHorizontalDrawingGridEvery w:val="0"/>
  <w:displayVerticalDrawingGridEvery w:val="2"/>
  <w:characterSpacingControl w:val="doNotCompress"/>
  <w:doNotValidateAgainstSchema/>
  <w:doNotDemarcateInvalidXml/>
  <w:footnotePr>
    <w:numRestart w:val="eachPage"/>
    <w:footnote w:id="-1"/>
    <w:footnote w:id="0"/>
  </w:footnotePr>
  <w:endnotePr>
    <w:endnote w:id="-1"/>
    <w:endnote w:id="0"/>
  </w:endnotePr>
  <w:compat/>
  <w:rsids>
    <w:rsidRoot w:val="005E6875"/>
    <w:rsid w:val="00011316"/>
    <w:rsid w:val="00012DC5"/>
    <w:rsid w:val="00020440"/>
    <w:rsid w:val="00027662"/>
    <w:rsid w:val="0003013E"/>
    <w:rsid w:val="00041064"/>
    <w:rsid w:val="00041E40"/>
    <w:rsid w:val="00053F33"/>
    <w:rsid w:val="00057D48"/>
    <w:rsid w:val="00063369"/>
    <w:rsid w:val="00066842"/>
    <w:rsid w:val="000728C2"/>
    <w:rsid w:val="00076BD9"/>
    <w:rsid w:val="00076CE4"/>
    <w:rsid w:val="0007766E"/>
    <w:rsid w:val="00082178"/>
    <w:rsid w:val="000876D3"/>
    <w:rsid w:val="000943EB"/>
    <w:rsid w:val="000947F7"/>
    <w:rsid w:val="000B2014"/>
    <w:rsid w:val="000C486F"/>
    <w:rsid w:val="000C5AF4"/>
    <w:rsid w:val="000D1B42"/>
    <w:rsid w:val="000D2BF8"/>
    <w:rsid w:val="000E037A"/>
    <w:rsid w:val="000E1A5D"/>
    <w:rsid w:val="000E414A"/>
    <w:rsid w:val="000F139C"/>
    <w:rsid w:val="00100D99"/>
    <w:rsid w:val="00101EEA"/>
    <w:rsid w:val="0013523C"/>
    <w:rsid w:val="00136EAD"/>
    <w:rsid w:val="001506E4"/>
    <w:rsid w:val="00152102"/>
    <w:rsid w:val="001569C5"/>
    <w:rsid w:val="00167679"/>
    <w:rsid w:val="00173D2C"/>
    <w:rsid w:val="00176FBB"/>
    <w:rsid w:val="00183A10"/>
    <w:rsid w:val="00184895"/>
    <w:rsid w:val="00185423"/>
    <w:rsid w:val="00195BE0"/>
    <w:rsid w:val="001A12A7"/>
    <w:rsid w:val="001A2AD9"/>
    <w:rsid w:val="001B497C"/>
    <w:rsid w:val="001D049F"/>
    <w:rsid w:val="001D7D5E"/>
    <w:rsid w:val="001E7134"/>
    <w:rsid w:val="00202242"/>
    <w:rsid w:val="002030C0"/>
    <w:rsid w:val="00205D9C"/>
    <w:rsid w:val="0021461D"/>
    <w:rsid w:val="00225CA5"/>
    <w:rsid w:val="002368B5"/>
    <w:rsid w:val="002623E6"/>
    <w:rsid w:val="0026372D"/>
    <w:rsid w:val="002A6085"/>
    <w:rsid w:val="002B1814"/>
    <w:rsid w:val="002C40EC"/>
    <w:rsid w:val="002C74CF"/>
    <w:rsid w:val="002D02AD"/>
    <w:rsid w:val="002E25F4"/>
    <w:rsid w:val="002E7BCD"/>
    <w:rsid w:val="002F0706"/>
    <w:rsid w:val="002F1342"/>
    <w:rsid w:val="002F184A"/>
    <w:rsid w:val="003004A9"/>
    <w:rsid w:val="00306DF1"/>
    <w:rsid w:val="003116C7"/>
    <w:rsid w:val="0031264D"/>
    <w:rsid w:val="00312F7A"/>
    <w:rsid w:val="00316876"/>
    <w:rsid w:val="00337B84"/>
    <w:rsid w:val="0034624F"/>
    <w:rsid w:val="00355D3B"/>
    <w:rsid w:val="003664ED"/>
    <w:rsid w:val="00367245"/>
    <w:rsid w:val="00367BDB"/>
    <w:rsid w:val="0037197E"/>
    <w:rsid w:val="003849A2"/>
    <w:rsid w:val="003933C0"/>
    <w:rsid w:val="00396331"/>
    <w:rsid w:val="003A52FC"/>
    <w:rsid w:val="003B31AF"/>
    <w:rsid w:val="003C058A"/>
    <w:rsid w:val="003D219C"/>
    <w:rsid w:val="003D2593"/>
    <w:rsid w:val="003D73F8"/>
    <w:rsid w:val="003D768C"/>
    <w:rsid w:val="003F366A"/>
    <w:rsid w:val="003F3DA9"/>
    <w:rsid w:val="003F4177"/>
    <w:rsid w:val="00401D9E"/>
    <w:rsid w:val="00404527"/>
    <w:rsid w:val="004050A6"/>
    <w:rsid w:val="00405958"/>
    <w:rsid w:val="00412AF7"/>
    <w:rsid w:val="00431B09"/>
    <w:rsid w:val="004320D7"/>
    <w:rsid w:val="00443F29"/>
    <w:rsid w:val="00453B21"/>
    <w:rsid w:val="00456060"/>
    <w:rsid w:val="00465414"/>
    <w:rsid w:val="00465E2B"/>
    <w:rsid w:val="00466522"/>
    <w:rsid w:val="00486829"/>
    <w:rsid w:val="004D4B77"/>
    <w:rsid w:val="004E2657"/>
    <w:rsid w:val="004E57A0"/>
    <w:rsid w:val="004F1E1E"/>
    <w:rsid w:val="004F39A5"/>
    <w:rsid w:val="004F41DE"/>
    <w:rsid w:val="0050203C"/>
    <w:rsid w:val="00504946"/>
    <w:rsid w:val="00505B33"/>
    <w:rsid w:val="005146ED"/>
    <w:rsid w:val="0052163D"/>
    <w:rsid w:val="00523CB8"/>
    <w:rsid w:val="0053543A"/>
    <w:rsid w:val="00537132"/>
    <w:rsid w:val="0054222A"/>
    <w:rsid w:val="00542655"/>
    <w:rsid w:val="00546ECA"/>
    <w:rsid w:val="0056387A"/>
    <w:rsid w:val="00575F2D"/>
    <w:rsid w:val="00584DB7"/>
    <w:rsid w:val="00591944"/>
    <w:rsid w:val="005961D3"/>
    <w:rsid w:val="005962F6"/>
    <w:rsid w:val="005A1B0A"/>
    <w:rsid w:val="005B0EB9"/>
    <w:rsid w:val="005B7A89"/>
    <w:rsid w:val="005C2A4E"/>
    <w:rsid w:val="005C41FC"/>
    <w:rsid w:val="005E43A0"/>
    <w:rsid w:val="005E6875"/>
    <w:rsid w:val="005F0291"/>
    <w:rsid w:val="00603FFE"/>
    <w:rsid w:val="0060594E"/>
    <w:rsid w:val="0061008A"/>
    <w:rsid w:val="0062303C"/>
    <w:rsid w:val="00632E89"/>
    <w:rsid w:val="006454EE"/>
    <w:rsid w:val="006472AF"/>
    <w:rsid w:val="00651A1D"/>
    <w:rsid w:val="00656BD7"/>
    <w:rsid w:val="00676974"/>
    <w:rsid w:val="00686A2C"/>
    <w:rsid w:val="006905A8"/>
    <w:rsid w:val="00690E01"/>
    <w:rsid w:val="006D12AD"/>
    <w:rsid w:val="006D4841"/>
    <w:rsid w:val="006E35C3"/>
    <w:rsid w:val="006E6F08"/>
    <w:rsid w:val="006F5544"/>
    <w:rsid w:val="006F64FA"/>
    <w:rsid w:val="00716B90"/>
    <w:rsid w:val="00720B4C"/>
    <w:rsid w:val="00740583"/>
    <w:rsid w:val="00744326"/>
    <w:rsid w:val="00746FEC"/>
    <w:rsid w:val="00752171"/>
    <w:rsid w:val="007521E5"/>
    <w:rsid w:val="00753B59"/>
    <w:rsid w:val="00765994"/>
    <w:rsid w:val="00782E8D"/>
    <w:rsid w:val="007835FE"/>
    <w:rsid w:val="007A64D4"/>
    <w:rsid w:val="007C430A"/>
    <w:rsid w:val="007C604E"/>
    <w:rsid w:val="007F5639"/>
    <w:rsid w:val="00802952"/>
    <w:rsid w:val="00807368"/>
    <w:rsid w:val="00807B00"/>
    <w:rsid w:val="00811A00"/>
    <w:rsid w:val="00823C06"/>
    <w:rsid w:val="00842EAB"/>
    <w:rsid w:val="0085509F"/>
    <w:rsid w:val="00855CD1"/>
    <w:rsid w:val="0086272D"/>
    <w:rsid w:val="00875E3F"/>
    <w:rsid w:val="00876798"/>
    <w:rsid w:val="00880746"/>
    <w:rsid w:val="00885B8C"/>
    <w:rsid w:val="0088746E"/>
    <w:rsid w:val="008904F2"/>
    <w:rsid w:val="0089301D"/>
    <w:rsid w:val="008B426D"/>
    <w:rsid w:val="008C6444"/>
    <w:rsid w:val="008D096B"/>
    <w:rsid w:val="008E224B"/>
    <w:rsid w:val="008E3358"/>
    <w:rsid w:val="008F35F4"/>
    <w:rsid w:val="008F71A3"/>
    <w:rsid w:val="009129F6"/>
    <w:rsid w:val="0091617E"/>
    <w:rsid w:val="00923F54"/>
    <w:rsid w:val="00925150"/>
    <w:rsid w:val="00930CB3"/>
    <w:rsid w:val="00932487"/>
    <w:rsid w:val="0093604C"/>
    <w:rsid w:val="009536C5"/>
    <w:rsid w:val="00961E85"/>
    <w:rsid w:val="00965D49"/>
    <w:rsid w:val="00973DBB"/>
    <w:rsid w:val="00990402"/>
    <w:rsid w:val="009A41B2"/>
    <w:rsid w:val="009B3E13"/>
    <w:rsid w:val="009B7CD9"/>
    <w:rsid w:val="009C1683"/>
    <w:rsid w:val="009C39A5"/>
    <w:rsid w:val="009C73B7"/>
    <w:rsid w:val="009D1D18"/>
    <w:rsid w:val="009E052C"/>
    <w:rsid w:val="009E5573"/>
    <w:rsid w:val="009F60DA"/>
    <w:rsid w:val="00A03512"/>
    <w:rsid w:val="00A03998"/>
    <w:rsid w:val="00A32453"/>
    <w:rsid w:val="00A334DC"/>
    <w:rsid w:val="00A3471C"/>
    <w:rsid w:val="00A611D5"/>
    <w:rsid w:val="00A70944"/>
    <w:rsid w:val="00A83E56"/>
    <w:rsid w:val="00AA00F9"/>
    <w:rsid w:val="00AA199D"/>
    <w:rsid w:val="00AA61C8"/>
    <w:rsid w:val="00AA7269"/>
    <w:rsid w:val="00AB01E7"/>
    <w:rsid w:val="00AB7B42"/>
    <w:rsid w:val="00AC1EF3"/>
    <w:rsid w:val="00AD17EC"/>
    <w:rsid w:val="00AD38FE"/>
    <w:rsid w:val="00AD4EE2"/>
    <w:rsid w:val="00AE675C"/>
    <w:rsid w:val="00B02AE4"/>
    <w:rsid w:val="00B05101"/>
    <w:rsid w:val="00B07E28"/>
    <w:rsid w:val="00B1666D"/>
    <w:rsid w:val="00B16EC9"/>
    <w:rsid w:val="00B3502B"/>
    <w:rsid w:val="00B35B0A"/>
    <w:rsid w:val="00B35F12"/>
    <w:rsid w:val="00B45C1E"/>
    <w:rsid w:val="00B50EEA"/>
    <w:rsid w:val="00B5239F"/>
    <w:rsid w:val="00B573AA"/>
    <w:rsid w:val="00B73B94"/>
    <w:rsid w:val="00B861DF"/>
    <w:rsid w:val="00B92564"/>
    <w:rsid w:val="00BA5335"/>
    <w:rsid w:val="00BB29FD"/>
    <w:rsid w:val="00BC1046"/>
    <w:rsid w:val="00BC1DF8"/>
    <w:rsid w:val="00BC4133"/>
    <w:rsid w:val="00BC682C"/>
    <w:rsid w:val="00BE4E60"/>
    <w:rsid w:val="00BE7CAD"/>
    <w:rsid w:val="00BF3D2C"/>
    <w:rsid w:val="00C178A4"/>
    <w:rsid w:val="00C65B65"/>
    <w:rsid w:val="00C700B1"/>
    <w:rsid w:val="00CA3EBF"/>
    <w:rsid w:val="00CA4526"/>
    <w:rsid w:val="00CB4C4A"/>
    <w:rsid w:val="00CC05AF"/>
    <w:rsid w:val="00CC6B44"/>
    <w:rsid w:val="00CC7AEC"/>
    <w:rsid w:val="00CC7FED"/>
    <w:rsid w:val="00CD3F32"/>
    <w:rsid w:val="00CD5B10"/>
    <w:rsid w:val="00CE1DF9"/>
    <w:rsid w:val="00CF4407"/>
    <w:rsid w:val="00D005D5"/>
    <w:rsid w:val="00D03786"/>
    <w:rsid w:val="00D100C3"/>
    <w:rsid w:val="00D107F7"/>
    <w:rsid w:val="00D47F46"/>
    <w:rsid w:val="00D7094A"/>
    <w:rsid w:val="00D721E8"/>
    <w:rsid w:val="00D96A5C"/>
    <w:rsid w:val="00D97677"/>
    <w:rsid w:val="00DB7711"/>
    <w:rsid w:val="00DD2DD2"/>
    <w:rsid w:val="00DE0908"/>
    <w:rsid w:val="00DE2F97"/>
    <w:rsid w:val="00DE3C7A"/>
    <w:rsid w:val="00DE5BD2"/>
    <w:rsid w:val="00E10254"/>
    <w:rsid w:val="00E157A2"/>
    <w:rsid w:val="00E1780D"/>
    <w:rsid w:val="00E2010A"/>
    <w:rsid w:val="00E21E89"/>
    <w:rsid w:val="00E2652B"/>
    <w:rsid w:val="00E32379"/>
    <w:rsid w:val="00E47376"/>
    <w:rsid w:val="00E51C50"/>
    <w:rsid w:val="00E55CF3"/>
    <w:rsid w:val="00E65173"/>
    <w:rsid w:val="00E70B1C"/>
    <w:rsid w:val="00E72C88"/>
    <w:rsid w:val="00E72F2E"/>
    <w:rsid w:val="00E77800"/>
    <w:rsid w:val="00E80257"/>
    <w:rsid w:val="00E80FA4"/>
    <w:rsid w:val="00E929D2"/>
    <w:rsid w:val="00E9329C"/>
    <w:rsid w:val="00E97C39"/>
    <w:rsid w:val="00EA2D4F"/>
    <w:rsid w:val="00EB2277"/>
    <w:rsid w:val="00EC21CF"/>
    <w:rsid w:val="00EC6358"/>
    <w:rsid w:val="00EE133B"/>
    <w:rsid w:val="00EE3B1A"/>
    <w:rsid w:val="00EE7756"/>
    <w:rsid w:val="00EF0B5B"/>
    <w:rsid w:val="00EF7B03"/>
    <w:rsid w:val="00F041C7"/>
    <w:rsid w:val="00F13B23"/>
    <w:rsid w:val="00F1648E"/>
    <w:rsid w:val="00F205AE"/>
    <w:rsid w:val="00F320DF"/>
    <w:rsid w:val="00F343BD"/>
    <w:rsid w:val="00F36186"/>
    <w:rsid w:val="00F41CEB"/>
    <w:rsid w:val="00F43954"/>
    <w:rsid w:val="00F6340F"/>
    <w:rsid w:val="00F6599F"/>
    <w:rsid w:val="00F73F3B"/>
    <w:rsid w:val="00F758E3"/>
    <w:rsid w:val="00F77E53"/>
    <w:rsid w:val="00F93BAE"/>
    <w:rsid w:val="00F96EAF"/>
    <w:rsid w:val="00FA5378"/>
    <w:rsid w:val="00FB6113"/>
    <w:rsid w:val="00FC0E3A"/>
    <w:rsid w:val="00FC26A5"/>
    <w:rsid w:val="00FD5970"/>
    <w:rsid w:val="00FE0E48"/>
    <w:rsid w:val="00FE4354"/>
    <w:rsid w:val="00FE4FF6"/>
    <w:rsid w:val="00FF3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5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6875"/>
    <w:pPr>
      <w:spacing w:before="100" w:beforeAutospacing="1" w:after="100" w:afterAutospacing="1"/>
    </w:pPr>
  </w:style>
  <w:style w:type="paragraph" w:styleId="FootnoteText">
    <w:name w:val="footnote text"/>
    <w:basedOn w:val="Normal"/>
    <w:link w:val="FootnoteTextChar"/>
    <w:uiPriority w:val="99"/>
    <w:semiHidden/>
    <w:rsid w:val="005E6875"/>
    <w:rPr>
      <w:sz w:val="20"/>
      <w:szCs w:val="20"/>
    </w:rPr>
  </w:style>
  <w:style w:type="character" w:customStyle="1" w:styleId="FootnoteTextChar">
    <w:name w:val="Footnote Text Char"/>
    <w:basedOn w:val="DefaultParagraphFont"/>
    <w:link w:val="FootnoteText"/>
    <w:uiPriority w:val="99"/>
    <w:semiHidden/>
    <w:rsid w:val="009037D5"/>
    <w:rPr>
      <w:sz w:val="20"/>
      <w:szCs w:val="20"/>
    </w:rPr>
  </w:style>
  <w:style w:type="character" w:styleId="FootnoteReference">
    <w:name w:val="footnote reference"/>
    <w:basedOn w:val="DefaultParagraphFont"/>
    <w:uiPriority w:val="99"/>
    <w:semiHidden/>
    <w:rsid w:val="005E6875"/>
    <w:rPr>
      <w:vertAlign w:val="superscript"/>
    </w:rPr>
  </w:style>
  <w:style w:type="character" w:styleId="EndnoteReference">
    <w:name w:val="endnote reference"/>
    <w:basedOn w:val="DefaultParagraphFont"/>
    <w:uiPriority w:val="99"/>
    <w:semiHidden/>
    <w:rsid w:val="00765994"/>
    <w:rPr>
      <w:vertAlign w:val="superscript"/>
    </w:rPr>
  </w:style>
  <w:style w:type="table" w:styleId="TableGrid">
    <w:name w:val="Table Grid"/>
    <w:basedOn w:val="TableNormal"/>
    <w:uiPriority w:val="99"/>
    <w:rsid w:val="009B3E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C74CF"/>
    <w:pPr>
      <w:tabs>
        <w:tab w:val="center" w:pos="4320"/>
        <w:tab w:val="right" w:pos="8640"/>
      </w:tabs>
    </w:pPr>
  </w:style>
  <w:style w:type="character" w:customStyle="1" w:styleId="HeaderChar">
    <w:name w:val="Header Char"/>
    <w:basedOn w:val="DefaultParagraphFont"/>
    <w:link w:val="Header"/>
    <w:uiPriority w:val="99"/>
    <w:semiHidden/>
    <w:rsid w:val="009037D5"/>
    <w:rPr>
      <w:sz w:val="24"/>
      <w:szCs w:val="24"/>
    </w:rPr>
  </w:style>
  <w:style w:type="paragraph" w:styleId="Footer">
    <w:name w:val="footer"/>
    <w:basedOn w:val="Normal"/>
    <w:link w:val="FooterChar"/>
    <w:uiPriority w:val="99"/>
    <w:rsid w:val="002C74CF"/>
    <w:pPr>
      <w:tabs>
        <w:tab w:val="center" w:pos="4320"/>
        <w:tab w:val="right" w:pos="8640"/>
      </w:tabs>
    </w:pPr>
  </w:style>
  <w:style w:type="character" w:customStyle="1" w:styleId="FooterChar">
    <w:name w:val="Footer Char"/>
    <w:basedOn w:val="DefaultParagraphFont"/>
    <w:link w:val="Footer"/>
    <w:uiPriority w:val="99"/>
    <w:semiHidden/>
    <w:rsid w:val="009037D5"/>
    <w:rPr>
      <w:sz w:val="24"/>
      <w:szCs w:val="24"/>
    </w:rPr>
  </w:style>
  <w:style w:type="paragraph" w:styleId="BalloonText">
    <w:name w:val="Balloon Text"/>
    <w:basedOn w:val="Normal"/>
    <w:link w:val="BalloonTextChar"/>
    <w:uiPriority w:val="99"/>
    <w:semiHidden/>
    <w:rsid w:val="004050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50A6"/>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595557657">
      <w:marLeft w:val="0"/>
      <w:marRight w:val="0"/>
      <w:marTop w:val="0"/>
      <w:marBottom w:val="0"/>
      <w:divBdr>
        <w:top w:val="none" w:sz="0" w:space="0" w:color="auto"/>
        <w:left w:val="none" w:sz="0" w:space="0" w:color="auto"/>
        <w:bottom w:val="none" w:sz="0" w:space="0" w:color="auto"/>
        <w:right w:val="none" w:sz="0" w:space="0" w:color="auto"/>
      </w:divBdr>
      <w:divsChild>
        <w:div w:id="595557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7727</Words>
  <Characters>44049</Characters>
  <Application>Microsoft Office Word</Application>
  <DocSecurity>0</DocSecurity>
  <Lines>367</Lines>
  <Paragraphs>103</Paragraphs>
  <ScaleCrop>false</ScaleCrop>
  <Company>VRM</Company>
  <LinksUpToDate>false</LinksUpToDate>
  <CharactersWithSpaces>51673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2006/54/EC of the European Parliament and of the Council</dc:title>
  <dc:creator>Hristijan.Ivanovski</dc:creator>
  <cp:lastModifiedBy>Oredjep</cp:lastModifiedBy>
  <cp:revision>2</cp:revision>
  <cp:lastPrinted>2018-07-24T09:56:00Z</cp:lastPrinted>
  <dcterms:created xsi:type="dcterms:W3CDTF">2019-01-11T07:42:00Z</dcterms:created>
  <dcterms:modified xsi:type="dcterms:W3CDTF">2019-01-11T07:42:00Z</dcterms:modified>
</cp:coreProperties>
</file>