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6" w:rsidRPr="00B82E63" w:rsidRDefault="00734466" w:rsidP="00B82E63">
      <w:pPr>
        <w:pStyle w:val="Heading1a"/>
        <w:keepNext w:val="0"/>
        <w:keepLines w:val="0"/>
        <w:tabs>
          <w:tab w:val="clear" w:pos="-720"/>
        </w:tabs>
        <w:suppressAutoHyphens w:val="0"/>
        <w:jc w:val="both"/>
        <w:rPr>
          <w:bCs/>
          <w:smallCaps w:val="0"/>
          <w:lang w:val="mk-MK"/>
        </w:rPr>
      </w:pPr>
    </w:p>
    <w:p w:rsidR="00D90733" w:rsidRPr="00D31B89" w:rsidRDefault="00D90733" w:rsidP="00B82E63">
      <w:pPr>
        <w:suppressAutoHyphens/>
        <w:ind w:left="-709"/>
        <w:jc w:val="center"/>
        <w:rPr>
          <w:rFonts w:ascii="Times New Roman" w:hAnsi="Times New Roman"/>
          <w:b/>
          <w:spacing w:val="-2"/>
          <w:sz w:val="24"/>
          <w:lang w:val="mk-MK"/>
        </w:rPr>
      </w:pPr>
    </w:p>
    <w:p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rsidR="009830E4" w:rsidRDefault="007713DF" w:rsidP="00491B65">
      <w:pPr>
        <w:pStyle w:val="Title"/>
        <w:ind w:left="-709"/>
        <w:rPr>
          <w:spacing w:val="-2"/>
          <w:sz w:val="24"/>
        </w:rPr>
      </w:pPr>
      <w:r w:rsidRPr="00D31B89">
        <w:rPr>
          <w:spacing w:val="-2"/>
          <w:sz w:val="24"/>
          <w:lang w:val="mk-MK"/>
        </w:rPr>
        <w:t xml:space="preserve">ЗА </w:t>
      </w:r>
      <w:bookmarkStart w:id="0" w:name="_GoBack"/>
      <w:r w:rsidRPr="007713DF">
        <w:rPr>
          <w:rFonts w:hint="eastAsia"/>
          <w:spacing w:val="-2"/>
          <w:sz w:val="24"/>
          <w:lang w:val="mk-MK"/>
        </w:rPr>
        <w:t>ТЕХНИЧКА</w:t>
      </w:r>
      <w:r w:rsidRPr="007713DF">
        <w:rPr>
          <w:spacing w:val="-2"/>
          <w:sz w:val="24"/>
          <w:lang w:val="mk-MK"/>
        </w:rPr>
        <w:t xml:space="preserve"> </w:t>
      </w:r>
      <w:r w:rsidRPr="007713DF">
        <w:rPr>
          <w:rFonts w:hint="eastAsia"/>
          <w:spacing w:val="-2"/>
          <w:sz w:val="24"/>
          <w:lang w:val="mk-MK"/>
        </w:rPr>
        <w:t>ПОМОШ</w:t>
      </w:r>
      <w:r w:rsidRPr="007713DF">
        <w:rPr>
          <w:spacing w:val="-2"/>
          <w:sz w:val="24"/>
          <w:lang w:val="mk-MK"/>
        </w:rPr>
        <w:t xml:space="preserve"> </w:t>
      </w:r>
      <w:r w:rsidRPr="007713DF">
        <w:rPr>
          <w:rFonts w:hint="eastAsia"/>
          <w:spacing w:val="-2"/>
          <w:sz w:val="24"/>
          <w:lang w:val="mk-MK"/>
        </w:rPr>
        <w:t>ЗА</w:t>
      </w:r>
      <w:r w:rsidRPr="007713DF">
        <w:rPr>
          <w:spacing w:val="-2"/>
          <w:sz w:val="24"/>
          <w:lang w:val="mk-MK"/>
        </w:rPr>
        <w:t xml:space="preserve"> </w:t>
      </w:r>
      <w:r w:rsidRPr="007713DF">
        <w:rPr>
          <w:rFonts w:hint="eastAsia"/>
          <w:spacing w:val="-2"/>
          <w:sz w:val="24"/>
          <w:lang w:val="mk-MK"/>
        </w:rPr>
        <w:t>РЕВИЗИЈА</w:t>
      </w:r>
      <w:r w:rsidRPr="007713DF">
        <w:rPr>
          <w:spacing w:val="-2"/>
          <w:sz w:val="24"/>
          <w:lang w:val="mk-MK"/>
        </w:rPr>
        <w:t xml:space="preserve"> </w:t>
      </w:r>
      <w:r w:rsidRPr="007713DF">
        <w:rPr>
          <w:rFonts w:hint="eastAsia"/>
          <w:spacing w:val="-2"/>
          <w:sz w:val="24"/>
          <w:lang w:val="mk-MK"/>
        </w:rPr>
        <w:t>НА</w:t>
      </w:r>
      <w:r w:rsidRPr="007713DF">
        <w:rPr>
          <w:spacing w:val="-2"/>
          <w:sz w:val="24"/>
          <w:lang w:val="mk-MK"/>
        </w:rPr>
        <w:t xml:space="preserve"> </w:t>
      </w:r>
      <w:r w:rsidRPr="007713DF">
        <w:rPr>
          <w:rFonts w:hint="eastAsia"/>
          <w:spacing w:val="-2"/>
          <w:sz w:val="24"/>
          <w:lang w:val="mk-MK"/>
        </w:rPr>
        <w:t>РАМКАТА</w:t>
      </w:r>
      <w:r w:rsidRPr="007713DF">
        <w:rPr>
          <w:spacing w:val="-2"/>
          <w:sz w:val="24"/>
          <w:lang w:val="mk-MK"/>
        </w:rPr>
        <w:t xml:space="preserve"> </w:t>
      </w:r>
      <w:r w:rsidRPr="007713DF">
        <w:rPr>
          <w:rFonts w:hint="eastAsia"/>
          <w:spacing w:val="-2"/>
          <w:sz w:val="24"/>
          <w:lang w:val="mk-MK"/>
        </w:rPr>
        <w:t>ЗА</w:t>
      </w:r>
      <w:r w:rsidRPr="007713DF">
        <w:rPr>
          <w:spacing w:val="-2"/>
          <w:sz w:val="24"/>
          <w:lang w:val="mk-MK"/>
        </w:rPr>
        <w:t xml:space="preserve"> </w:t>
      </w:r>
      <w:r w:rsidRPr="007713DF">
        <w:rPr>
          <w:rFonts w:hint="eastAsia"/>
          <w:spacing w:val="-2"/>
          <w:sz w:val="24"/>
          <w:lang w:val="mk-MK"/>
        </w:rPr>
        <w:t>УНАПРЕДУВАЊЕ</w:t>
      </w:r>
      <w:r w:rsidRPr="007713DF">
        <w:rPr>
          <w:spacing w:val="-2"/>
          <w:sz w:val="24"/>
          <w:lang w:val="mk-MK"/>
        </w:rPr>
        <w:t xml:space="preserve"> </w:t>
      </w:r>
      <w:r w:rsidRPr="007713DF">
        <w:rPr>
          <w:rFonts w:hint="eastAsia"/>
          <w:spacing w:val="-2"/>
          <w:sz w:val="24"/>
          <w:lang w:val="mk-MK"/>
        </w:rPr>
        <w:t>НА</w:t>
      </w:r>
      <w:r w:rsidRPr="007713DF">
        <w:rPr>
          <w:spacing w:val="-2"/>
          <w:sz w:val="24"/>
          <w:lang w:val="mk-MK"/>
        </w:rPr>
        <w:t xml:space="preserve"> </w:t>
      </w:r>
      <w:r w:rsidRPr="007713DF">
        <w:rPr>
          <w:rFonts w:hint="eastAsia"/>
          <w:spacing w:val="-2"/>
          <w:sz w:val="24"/>
          <w:lang w:val="mk-MK"/>
        </w:rPr>
        <w:t>УЧИЛИШТАТА</w:t>
      </w:r>
      <w:r w:rsidRPr="007713DF">
        <w:rPr>
          <w:spacing w:val="-2"/>
          <w:sz w:val="24"/>
          <w:lang w:val="mk-MK"/>
        </w:rPr>
        <w:t xml:space="preserve">, </w:t>
      </w:r>
      <w:r w:rsidRPr="007713DF">
        <w:rPr>
          <w:rFonts w:hint="eastAsia"/>
          <w:spacing w:val="-2"/>
          <w:sz w:val="24"/>
          <w:lang w:val="mk-MK"/>
        </w:rPr>
        <w:t>ФУНКЦИОНАЛНА</w:t>
      </w:r>
      <w:r w:rsidRPr="007713DF">
        <w:rPr>
          <w:spacing w:val="-2"/>
          <w:sz w:val="24"/>
          <w:lang w:val="mk-MK"/>
        </w:rPr>
        <w:t xml:space="preserve"> </w:t>
      </w:r>
      <w:r w:rsidRPr="007713DF">
        <w:rPr>
          <w:rFonts w:hint="eastAsia"/>
          <w:spacing w:val="-2"/>
          <w:sz w:val="24"/>
          <w:lang w:val="mk-MK"/>
        </w:rPr>
        <w:t>АНАЛИЗА</w:t>
      </w:r>
      <w:r w:rsidRPr="007713DF">
        <w:rPr>
          <w:spacing w:val="-2"/>
          <w:sz w:val="24"/>
          <w:lang w:val="mk-MK"/>
        </w:rPr>
        <w:t xml:space="preserve"> </w:t>
      </w:r>
      <w:r w:rsidRPr="007713DF">
        <w:rPr>
          <w:rFonts w:hint="eastAsia"/>
          <w:spacing w:val="-2"/>
          <w:sz w:val="24"/>
          <w:lang w:val="mk-MK"/>
        </w:rPr>
        <w:t>И</w:t>
      </w:r>
      <w:r w:rsidRPr="007713DF">
        <w:rPr>
          <w:spacing w:val="-2"/>
          <w:sz w:val="24"/>
          <w:lang w:val="mk-MK"/>
        </w:rPr>
        <w:t xml:space="preserve"> </w:t>
      </w:r>
      <w:r w:rsidRPr="007713DF">
        <w:rPr>
          <w:rFonts w:hint="eastAsia"/>
          <w:spacing w:val="-2"/>
          <w:sz w:val="24"/>
          <w:lang w:val="mk-MK"/>
        </w:rPr>
        <w:t>ДИЗАЈН</w:t>
      </w:r>
      <w:r w:rsidRPr="007713DF">
        <w:rPr>
          <w:spacing w:val="-2"/>
          <w:sz w:val="24"/>
          <w:lang w:val="mk-MK"/>
        </w:rPr>
        <w:t xml:space="preserve"> </w:t>
      </w:r>
      <w:r w:rsidRPr="007713DF">
        <w:rPr>
          <w:rFonts w:hint="eastAsia"/>
          <w:spacing w:val="-2"/>
          <w:sz w:val="24"/>
          <w:lang w:val="mk-MK"/>
        </w:rPr>
        <w:t>И</w:t>
      </w:r>
      <w:r w:rsidRPr="007713DF">
        <w:rPr>
          <w:spacing w:val="-2"/>
          <w:sz w:val="24"/>
          <w:lang w:val="mk-MK"/>
        </w:rPr>
        <w:t xml:space="preserve"> </w:t>
      </w:r>
      <w:r w:rsidRPr="007713DF">
        <w:rPr>
          <w:rFonts w:hint="eastAsia"/>
          <w:spacing w:val="-2"/>
          <w:sz w:val="24"/>
          <w:lang w:val="mk-MK"/>
        </w:rPr>
        <w:t>ИМПЛЕМЕНТАЦИЈА</w:t>
      </w:r>
      <w:r w:rsidRPr="007713DF">
        <w:rPr>
          <w:spacing w:val="-2"/>
          <w:sz w:val="24"/>
          <w:lang w:val="mk-MK"/>
        </w:rPr>
        <w:t xml:space="preserve"> </w:t>
      </w:r>
      <w:r w:rsidRPr="007713DF">
        <w:rPr>
          <w:rFonts w:hint="eastAsia"/>
          <w:spacing w:val="-2"/>
          <w:sz w:val="24"/>
          <w:lang w:val="mk-MK"/>
        </w:rPr>
        <w:t>НА</w:t>
      </w:r>
      <w:r w:rsidRPr="007713DF">
        <w:rPr>
          <w:spacing w:val="-2"/>
          <w:sz w:val="24"/>
          <w:lang w:val="mk-MK"/>
        </w:rPr>
        <w:t xml:space="preserve"> </w:t>
      </w:r>
      <w:r w:rsidRPr="007713DF">
        <w:rPr>
          <w:rFonts w:hint="eastAsia"/>
          <w:spacing w:val="-2"/>
          <w:sz w:val="24"/>
          <w:lang w:val="mk-MK"/>
        </w:rPr>
        <w:t>ГРАНТ</w:t>
      </w:r>
      <w:r w:rsidRPr="007713DF">
        <w:rPr>
          <w:spacing w:val="-2"/>
          <w:sz w:val="24"/>
          <w:lang w:val="mk-MK"/>
        </w:rPr>
        <w:t xml:space="preserve"> </w:t>
      </w:r>
      <w:r w:rsidRPr="007713DF">
        <w:rPr>
          <w:rFonts w:hint="eastAsia"/>
          <w:spacing w:val="-2"/>
          <w:sz w:val="24"/>
          <w:lang w:val="mk-MK"/>
        </w:rPr>
        <w:t>ПРОГРАМА</w:t>
      </w:r>
      <w:r w:rsidRPr="007713DF">
        <w:rPr>
          <w:spacing w:val="-2"/>
          <w:sz w:val="24"/>
          <w:lang w:val="mk-MK"/>
        </w:rPr>
        <w:t xml:space="preserve"> </w:t>
      </w:r>
      <w:r w:rsidRPr="007713DF">
        <w:rPr>
          <w:rFonts w:hint="eastAsia"/>
          <w:spacing w:val="-2"/>
          <w:sz w:val="24"/>
          <w:lang w:val="mk-MK"/>
        </w:rPr>
        <w:t>ЗА</w:t>
      </w:r>
      <w:r w:rsidRPr="007713DF">
        <w:rPr>
          <w:spacing w:val="-2"/>
          <w:sz w:val="24"/>
          <w:lang w:val="mk-MK"/>
        </w:rPr>
        <w:t xml:space="preserve"> </w:t>
      </w:r>
      <w:r w:rsidRPr="007713DF">
        <w:rPr>
          <w:rFonts w:hint="eastAsia"/>
          <w:spacing w:val="-2"/>
          <w:sz w:val="24"/>
          <w:lang w:val="mk-MK"/>
        </w:rPr>
        <w:t>УЧИЛИШТАТА</w:t>
      </w:r>
      <w:bookmarkEnd w:id="0"/>
    </w:p>
    <w:p w:rsidR="007713DF" w:rsidRPr="007713DF" w:rsidRDefault="007713DF" w:rsidP="00491B65">
      <w:pPr>
        <w:pStyle w:val="Title"/>
        <w:ind w:left="-709"/>
        <w:rPr>
          <w:spacing w:val="-2"/>
          <w:sz w:val="24"/>
        </w:rPr>
      </w:pPr>
    </w:p>
    <w:p w:rsidR="005E26BF" w:rsidRDefault="00491B65" w:rsidP="00491B65">
      <w:pPr>
        <w:pStyle w:val="BodyText"/>
        <w:ind w:left="-709"/>
        <w:jc w:val="center"/>
        <w:rPr>
          <w:rFonts w:ascii="Times New Roman" w:hAnsi="Times New Roman"/>
          <w:b/>
          <w:lang w:val="mk-MK"/>
        </w:rPr>
      </w:pPr>
      <w:r w:rsidRPr="00491B65">
        <w:rPr>
          <w:rFonts w:ascii="Times New Roman" w:hAnsi="Times New Roman"/>
          <w:b/>
          <w:lang w:val="mk-MK"/>
        </w:rPr>
        <w:t>(</w:t>
      </w:r>
      <w:r w:rsidRPr="00491B65">
        <w:rPr>
          <w:rFonts w:ascii="Times New Roman" w:hAnsi="Times New Roman" w:hint="eastAsia"/>
          <w:b/>
          <w:lang w:val="mk-MK"/>
        </w:rPr>
        <w:t>реф</w:t>
      </w:r>
      <w:r w:rsidRPr="00491B65">
        <w:rPr>
          <w:rFonts w:ascii="Times New Roman" w:hAnsi="Times New Roman"/>
          <w:b/>
          <w:lang w:val="mk-MK"/>
        </w:rPr>
        <w:t>.</w:t>
      </w:r>
      <w:r w:rsidRPr="00491B65">
        <w:rPr>
          <w:rFonts w:ascii="Times New Roman" w:hAnsi="Times New Roman" w:hint="eastAsia"/>
          <w:b/>
          <w:lang w:val="mk-MK"/>
        </w:rPr>
        <w:t>бр</w:t>
      </w:r>
      <w:r w:rsidRPr="00491B65">
        <w:rPr>
          <w:rFonts w:ascii="Times New Roman" w:hAnsi="Times New Roman"/>
          <w:b/>
          <w:lang w:val="mk-MK"/>
        </w:rPr>
        <w:t xml:space="preserve">. </w:t>
      </w:r>
      <w:r w:rsidR="007713DF" w:rsidRPr="007713DF">
        <w:rPr>
          <w:rFonts w:ascii="Times New Roman" w:hAnsi="Times New Roman"/>
          <w:b/>
          <w:lang w:val="mk-MK"/>
        </w:rPr>
        <w:t>MK-MES-263212-CS-CQS/046-21</w:t>
      </w:r>
      <w:r w:rsidRPr="00491B65">
        <w:rPr>
          <w:rFonts w:ascii="Times New Roman" w:hAnsi="Times New Roman"/>
          <w:b/>
          <w:lang w:val="mk-MK"/>
        </w:rPr>
        <w:t>)</w:t>
      </w:r>
    </w:p>
    <w:p w:rsidR="00491B65" w:rsidRDefault="00491B65" w:rsidP="00491B65">
      <w:pPr>
        <w:pStyle w:val="BodyText"/>
        <w:ind w:left="-709"/>
        <w:jc w:val="center"/>
        <w:rPr>
          <w:rFonts w:ascii="Times New Roman" w:hAnsi="Times New Roman"/>
          <w:b/>
          <w:lang w:val="mk-MK"/>
        </w:rPr>
      </w:pPr>
    </w:p>
    <w:p w:rsidR="00491B65" w:rsidRDefault="00491B65" w:rsidP="00491B65">
      <w:pPr>
        <w:pStyle w:val="BodyText"/>
        <w:ind w:left="-709"/>
        <w:jc w:val="center"/>
        <w:rPr>
          <w:rFonts w:ascii="Times New Roman" w:hAnsi="Times New Roman"/>
          <w:b/>
          <w:lang w:val="mk-MK"/>
        </w:rPr>
      </w:pPr>
    </w:p>
    <w:p w:rsidR="00491B65" w:rsidRPr="00D31B89" w:rsidRDefault="00491B65" w:rsidP="00491B65">
      <w:pPr>
        <w:pStyle w:val="BodyText"/>
        <w:ind w:left="-709"/>
        <w:jc w:val="center"/>
        <w:rPr>
          <w:rFonts w:ascii="Times New Roman" w:hAnsi="Times New Roman"/>
        </w:rPr>
      </w:pPr>
    </w:p>
    <w:p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rsidR="009830E4" w:rsidRPr="00D31B89" w:rsidRDefault="008562F9" w:rsidP="00B82E63">
      <w:pPr>
        <w:suppressAutoHyphens/>
        <w:ind w:left="-709"/>
        <w:jc w:val="both"/>
        <w:rPr>
          <w:rFonts w:ascii="Times New Roman" w:hAnsi="Times New Roman"/>
          <w:b/>
          <w:spacing w:val="-2"/>
          <w:sz w:val="24"/>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D31B89">
        <w:rPr>
          <w:rFonts w:ascii="Times New Roman" w:hAnsi="Times New Roman"/>
          <w:b/>
        </w:rPr>
        <w:t>:</w:t>
      </w:r>
      <w:r w:rsidR="00287A53" w:rsidRPr="00D31B89">
        <w:rPr>
          <w:rFonts w:ascii="Times New Roman" w:hAnsi="Times New Roman"/>
          <w:b/>
        </w:rPr>
        <w:t xml:space="preserve"> </w:t>
      </w:r>
      <w:r w:rsidR="00C72E0D" w:rsidRPr="00C72E0D">
        <w:rPr>
          <w:rFonts w:ascii="Times New Roman" w:hAnsi="Times New Roman"/>
          <w:b/>
        </w:rPr>
        <w:t xml:space="preserve">9182-MK </w:t>
      </w:r>
    </w:p>
    <w:p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rsidR="00916E24" w:rsidRPr="00D31B89" w:rsidRDefault="0029654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и</w:t>
      </w:r>
      <w:r w:rsidRPr="00D31B89">
        <w:rPr>
          <w:rFonts w:ascii="Times New Roman" w:hAnsi="Times New Roman"/>
          <w:spacing w:val="-2"/>
          <w:sz w:val="24"/>
          <w:lang w:val="mk-MK"/>
        </w:rPr>
        <w:t xml:space="preserve"> е одобрен заем од страна на Меѓународната банка за обнова и развој</w:t>
      </w:r>
      <w:r w:rsidR="00D0022D">
        <w:rPr>
          <w:rFonts w:ascii="Times New Roman" w:hAnsi="Times New Roman"/>
          <w:spacing w:val="-2"/>
          <w:sz w:val="24"/>
          <w:lang w:val="mk-MK"/>
        </w:rPr>
        <w:t>- гру</w:t>
      </w:r>
      <w:r w:rsidRPr="00D31B89">
        <w:rPr>
          <w:rFonts w:ascii="Times New Roman" w:hAnsi="Times New Roman"/>
          <w:spacing w:val="-2"/>
          <w:sz w:val="24"/>
          <w:lang w:val="mk-MK"/>
        </w:rPr>
        <w:t xml:space="preserve">пација </w:t>
      </w:r>
      <w:r w:rsidR="00130F24" w:rsidRPr="00D31B89">
        <w:rPr>
          <w:rFonts w:ascii="Times New Roman" w:hAnsi="Times New Roman"/>
          <w:spacing w:val="-2"/>
          <w:sz w:val="24"/>
          <w:lang w:val="mk-MK"/>
        </w:rPr>
        <w:t xml:space="preserve">Светска банка </w:t>
      </w:r>
      <w:r w:rsidR="00D0022D">
        <w:rPr>
          <w:rFonts w:ascii="Times New Roman" w:hAnsi="Times New Roman"/>
          <w:spacing w:val="-2"/>
          <w:sz w:val="24"/>
          <w:lang w:val="mk-MK"/>
        </w:rPr>
        <w:t>за</w:t>
      </w:r>
      <w:r w:rsidRPr="00D31B89">
        <w:rPr>
          <w:rFonts w:ascii="Times New Roman" w:hAnsi="Times New Roman"/>
          <w:spacing w:val="-2"/>
          <w:sz w:val="24"/>
          <w:lang w:val="mk-MK"/>
        </w:rPr>
        <w:t xml:space="preserve"> </w:t>
      </w:r>
      <w:r w:rsidR="00130F24" w:rsidRPr="00D31B89">
        <w:rPr>
          <w:rFonts w:ascii="Times New Roman" w:hAnsi="Times New Roman"/>
          <w:spacing w:val="-2"/>
          <w:sz w:val="24"/>
          <w:lang w:val="mk-MK"/>
        </w:rPr>
        <w:t xml:space="preserve">имплементација на Проектот за </w:t>
      </w:r>
      <w:r w:rsidR="00491B65">
        <w:rPr>
          <w:rFonts w:ascii="Times New Roman" w:hAnsi="Times New Roman"/>
          <w:spacing w:val="-2"/>
          <w:sz w:val="24"/>
          <w:lang w:val="mk-MK"/>
        </w:rPr>
        <w:t>унапредување на основното образование</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обврските што ќе произлезат од договорот што ќе се склучи за </w:t>
      </w:r>
      <w:r w:rsidR="002D2FAF" w:rsidRPr="00D31B89">
        <w:rPr>
          <w:rFonts w:ascii="Times New Roman" w:hAnsi="Times New Roman"/>
          <w:spacing w:val="-2"/>
          <w:sz w:val="24"/>
          <w:lang w:val="mk-MK"/>
        </w:rPr>
        <w:t xml:space="preserve">обезбедување услуги за </w:t>
      </w:r>
      <w:r w:rsidR="007713DF" w:rsidRPr="007713DF">
        <w:rPr>
          <w:rFonts w:ascii="Times New Roman" w:hAnsi="Times New Roman" w:hint="eastAsia"/>
          <w:spacing w:val="-2"/>
          <w:sz w:val="24"/>
          <w:lang w:val="mk-MK"/>
        </w:rPr>
        <w:t>техничка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помош</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за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ревизија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на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рамката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за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унапредување</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на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училиштата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функционална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анализа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и</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дизајн</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и</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имплементација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на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грант</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програма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за</w:t>
      </w:r>
      <w:r w:rsidR="007713DF" w:rsidRPr="007713DF">
        <w:rPr>
          <w:rFonts w:ascii="Times New Roman" w:hAnsi="Times New Roman"/>
          <w:spacing w:val="-2"/>
          <w:sz w:val="24"/>
          <w:lang w:val="mk-MK"/>
        </w:rPr>
        <w:t xml:space="preserve"> </w:t>
      </w:r>
      <w:r w:rsidR="007713DF" w:rsidRPr="007713DF">
        <w:rPr>
          <w:rFonts w:ascii="Times New Roman" w:hAnsi="Times New Roman" w:hint="eastAsia"/>
          <w:spacing w:val="-2"/>
          <w:sz w:val="24"/>
          <w:lang w:val="mk-MK"/>
        </w:rPr>
        <w:t>училиштата</w:t>
      </w:r>
      <w:r w:rsidR="009830E4" w:rsidRPr="00D31B89">
        <w:rPr>
          <w:rFonts w:ascii="Times New Roman" w:hAnsi="Times New Roman"/>
          <w:spacing w:val="-2"/>
          <w:sz w:val="24"/>
          <w:lang w:val="mk-MK"/>
        </w:rPr>
        <w:t>.</w:t>
      </w:r>
      <w:r w:rsidR="009830E4" w:rsidRPr="00D31B89">
        <w:rPr>
          <w:rFonts w:ascii="Times New Roman" w:hAnsi="Times New Roman"/>
          <w:spacing w:val="-2"/>
          <w:sz w:val="24"/>
        </w:rPr>
        <w:t xml:space="preserve"> </w:t>
      </w:r>
    </w:p>
    <w:p w:rsidR="00C35B4E" w:rsidRPr="00D31B89" w:rsidRDefault="00C35B4E" w:rsidP="00B82E63">
      <w:pPr>
        <w:pStyle w:val="ListParagraph"/>
        <w:suppressAutoHyphens/>
        <w:spacing w:after="0" w:line="240" w:lineRule="auto"/>
        <w:ind w:left="-709"/>
        <w:jc w:val="both"/>
        <w:rPr>
          <w:rFonts w:ascii="Times New Roman" w:hAnsi="Times New Roman"/>
          <w:spacing w:val="-2"/>
          <w:sz w:val="24"/>
        </w:rPr>
      </w:pPr>
    </w:p>
    <w:p w:rsidR="002F2823" w:rsidRPr="00871CBE" w:rsidRDefault="002D2FAF" w:rsidP="007713DF">
      <w:pPr>
        <w:pStyle w:val="ListParagraph"/>
        <w:spacing w:line="240" w:lineRule="auto"/>
        <w:ind w:left="-709"/>
        <w:jc w:val="both"/>
        <w:rPr>
          <w:rFonts w:ascii="Times New Roman" w:hAnsi="Times New Roman"/>
          <w:spacing w:val="-2"/>
          <w:sz w:val="24"/>
        </w:rPr>
      </w:pPr>
      <w:r w:rsidRPr="00D31B89">
        <w:rPr>
          <w:rFonts w:ascii="Times New Roman" w:hAnsi="Times New Roman"/>
          <w:spacing w:val="-2"/>
          <w:sz w:val="24"/>
          <w:lang w:val="mk-MK"/>
        </w:rPr>
        <w:t>Консултантските услуги вклучуваат</w:t>
      </w:r>
      <w:r w:rsidR="007713DF">
        <w:rPr>
          <w:rFonts w:ascii="Times New Roman" w:hAnsi="Times New Roman"/>
          <w:spacing w:val="-2"/>
          <w:sz w:val="24"/>
        </w:rPr>
        <w:t xml:space="preserve"> </w:t>
      </w:r>
      <w:r w:rsidR="007713DF">
        <w:rPr>
          <w:rFonts w:ascii="Times New Roman" w:hAnsi="Times New Roman"/>
          <w:spacing w:val="-2"/>
          <w:sz w:val="24"/>
          <w:lang w:val="mk-MK"/>
        </w:rPr>
        <w:t xml:space="preserve">поддршка на Министерството за образование и наука и Државен просветен инспекторат во подобрување на системот за обезбедување квалитет (самоевалуација и интегрална евалуација на училиштата), ревидирање на индикаторите за следење на постигнувањата на училиштата, поддршка при подобрување на процесот на подготовка на развојните планови на училиштата и обука на сите засегнати страни, функционална анализа на Државниот просветен инспекторат и дизајн на грант програма за училиштата со цел да се поддржат училиштата во имплементација на активностите од развојните програми. </w:t>
      </w:r>
      <w:r w:rsidR="00130F24" w:rsidRPr="007713DF">
        <w:rPr>
          <w:rFonts w:ascii="Times New Roman" w:hAnsi="Times New Roman"/>
          <w:spacing w:val="-2"/>
          <w:sz w:val="24"/>
          <w:szCs w:val="20"/>
          <w:lang w:val="mk-MK"/>
        </w:rPr>
        <w:t>Предвидено</w:t>
      </w:r>
      <w:r w:rsidR="00130F24" w:rsidRPr="007713DF">
        <w:rPr>
          <w:rFonts w:ascii="Times New Roman" w:hAnsi="Times New Roman"/>
          <w:sz w:val="24"/>
          <w:szCs w:val="24"/>
          <w:lang w:val="mk-MK"/>
        </w:rPr>
        <w:t xml:space="preserve"> времетраење на услугите е </w:t>
      </w:r>
      <w:r w:rsidR="007713DF">
        <w:rPr>
          <w:rFonts w:ascii="Times New Roman" w:hAnsi="Times New Roman"/>
          <w:sz w:val="24"/>
          <w:szCs w:val="24"/>
          <w:lang w:val="mk-MK"/>
        </w:rPr>
        <w:t>февруари 2022-</w:t>
      </w:r>
      <w:r w:rsidR="00871CBE">
        <w:rPr>
          <w:rFonts w:ascii="Times New Roman" w:hAnsi="Times New Roman"/>
          <w:sz w:val="24"/>
          <w:szCs w:val="24"/>
          <w:lang w:val="mk-MK"/>
        </w:rPr>
        <w:t xml:space="preserve"> </w:t>
      </w:r>
      <w:r w:rsidR="007713DF">
        <w:rPr>
          <w:rFonts w:ascii="Times New Roman" w:hAnsi="Times New Roman"/>
          <w:sz w:val="24"/>
          <w:szCs w:val="24"/>
          <w:lang w:val="mk-MK"/>
        </w:rPr>
        <w:t>февруари 2026</w:t>
      </w:r>
      <w:r w:rsidR="0081210B" w:rsidRPr="007713DF">
        <w:rPr>
          <w:rFonts w:ascii="Times New Roman" w:hAnsi="Times New Roman"/>
          <w:sz w:val="24"/>
          <w:szCs w:val="24"/>
          <w:lang w:val="mk-MK"/>
        </w:rPr>
        <w:t>.</w:t>
      </w:r>
      <w:r w:rsidR="00130F24" w:rsidRPr="007713DF">
        <w:rPr>
          <w:rFonts w:ascii="Times New Roman" w:hAnsi="Times New Roman"/>
          <w:spacing w:val="-2"/>
          <w:sz w:val="24"/>
          <w:lang w:val="mk-MK"/>
        </w:rPr>
        <w:t xml:space="preserve"> Описот на работни задачи на англиски јазик е достапен на</w:t>
      </w:r>
      <w:r w:rsidR="00B7257F" w:rsidRPr="007713DF">
        <w:rPr>
          <w:rFonts w:ascii="Times New Roman" w:hAnsi="Times New Roman"/>
          <w:spacing w:val="-2"/>
          <w:sz w:val="24"/>
          <w:lang w:val="mk-MK"/>
        </w:rPr>
        <w:t xml:space="preserve"> </w:t>
      </w:r>
      <w:r w:rsidR="00491B65" w:rsidRPr="007713DF">
        <w:rPr>
          <w:rFonts w:ascii="Times New Roman" w:hAnsi="Times New Roman"/>
          <w:spacing w:val="-2"/>
          <w:sz w:val="24"/>
          <w:lang w:val="mk-MK"/>
        </w:rPr>
        <w:t xml:space="preserve">ЕСЈН на </w:t>
      </w:r>
      <w:r w:rsidR="00491B65" w:rsidRPr="00871CBE">
        <w:rPr>
          <w:rFonts w:ascii="Times New Roman" w:hAnsi="Times New Roman"/>
          <w:spacing w:val="-2"/>
          <w:sz w:val="24"/>
          <w:u w:val="single"/>
          <w:lang w:val="mk-MK"/>
        </w:rPr>
        <w:t>https://e-nabavki.gov.mk/PublicAccess/home.aspx#/international-donor-announcements</w:t>
      </w:r>
      <w:r w:rsidR="00491B65" w:rsidRPr="007713DF">
        <w:rPr>
          <w:rFonts w:ascii="Times New Roman" w:hAnsi="Times New Roman"/>
          <w:spacing w:val="-2"/>
          <w:sz w:val="24"/>
          <w:lang w:val="mk-MK"/>
        </w:rPr>
        <w:t xml:space="preserve"> и на </w:t>
      </w:r>
      <w:r w:rsidR="00B7257F" w:rsidRPr="007713DF">
        <w:rPr>
          <w:rFonts w:ascii="Times New Roman" w:hAnsi="Times New Roman"/>
          <w:spacing w:val="-2"/>
          <w:sz w:val="24"/>
          <w:lang w:val="mk-MK"/>
        </w:rPr>
        <w:t>веб страната на Министерството за образование и наука:</w:t>
      </w:r>
      <w:r w:rsidR="00E572D1" w:rsidRPr="007713DF">
        <w:rPr>
          <w:rFonts w:ascii="Times New Roman" w:hAnsi="Times New Roman"/>
          <w:spacing w:val="-2"/>
          <w:sz w:val="24"/>
          <w:lang w:val="mk-MK"/>
        </w:rPr>
        <w:t xml:space="preserve"> </w:t>
      </w:r>
      <w:r w:rsidR="0081210B" w:rsidRPr="00871CBE">
        <w:rPr>
          <w:rFonts w:ascii="Times New Roman" w:hAnsi="Times New Roman"/>
          <w:spacing w:val="-2"/>
          <w:sz w:val="24"/>
          <w:u w:val="single"/>
          <w:lang w:val="mk-MK"/>
        </w:rPr>
        <w:t>http</w:t>
      </w:r>
      <w:r w:rsidR="00871CBE" w:rsidRPr="00871CBE">
        <w:rPr>
          <w:rFonts w:ascii="Times New Roman" w:hAnsi="Times New Roman"/>
          <w:spacing w:val="-2"/>
          <w:sz w:val="24"/>
          <w:u w:val="single"/>
          <w:lang w:val="mk-MK"/>
        </w:rPr>
        <w:t>s://mon.gov.mk/</w:t>
      </w:r>
      <w:proofErr w:type="spellStart"/>
      <w:r w:rsidR="00871CBE" w:rsidRPr="00871CBE">
        <w:rPr>
          <w:rFonts w:ascii="Times New Roman" w:hAnsi="Times New Roman"/>
          <w:spacing w:val="-2"/>
          <w:sz w:val="24"/>
          <w:u w:val="single"/>
        </w:rPr>
        <w:t>peip</w:t>
      </w:r>
      <w:proofErr w:type="spellEnd"/>
    </w:p>
    <w:p w:rsidR="00871CBE" w:rsidRDefault="002D2FAF" w:rsidP="00871CBE">
      <w:pPr>
        <w:suppressAutoHyphens/>
        <w:ind w:left="-709"/>
        <w:jc w:val="both"/>
        <w:rPr>
          <w:rFonts w:ascii="Times New Roman" w:hAnsi="Times New Roman"/>
          <w:spacing w:val="-2"/>
          <w:sz w:val="24"/>
        </w:rPr>
      </w:pPr>
      <w:r w:rsidRPr="00D31B89">
        <w:rPr>
          <w:rFonts w:ascii="Times New Roman" w:hAnsi="Times New Roman"/>
          <w:spacing w:val="-2"/>
          <w:sz w:val="24"/>
          <w:lang w:val="mk-MK"/>
        </w:rPr>
        <w:t>Министерството за образование и наука ги поканува соодветните 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Заинтересираните консултанти треба да достават информации/документи со кои ќе се потврди дека ги исполнуваат бараните квалификации и соодветното искуство за извршување на услугите. Критериумите кои треба да </w:t>
      </w:r>
      <w:r w:rsidR="0081210B">
        <w:rPr>
          <w:rFonts w:ascii="Times New Roman" w:hAnsi="Times New Roman"/>
          <w:spacing w:val="-2"/>
          <w:sz w:val="24"/>
          <w:lang w:val="mk-MK"/>
        </w:rPr>
        <w:t>ги исполнува компанијата за да биде избрана на</w:t>
      </w:r>
      <w:r w:rsidRPr="00D31B89">
        <w:rPr>
          <w:rFonts w:ascii="Times New Roman" w:hAnsi="Times New Roman"/>
          <w:spacing w:val="-2"/>
          <w:sz w:val="24"/>
          <w:lang w:val="mk-MK"/>
        </w:rPr>
        <w:t xml:space="preserve"> кусата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rsidR="00871CBE" w:rsidRDefault="00871CBE" w:rsidP="00871CBE">
      <w:pPr>
        <w:suppressAutoHyphens/>
        <w:ind w:left="-709"/>
        <w:jc w:val="both"/>
        <w:rPr>
          <w:rFonts w:ascii="Times New Roman" w:hAnsi="Times New Roman"/>
          <w:spacing w:val="-2"/>
          <w:sz w:val="24"/>
        </w:rPr>
      </w:pPr>
    </w:p>
    <w:p w:rsidR="00871CBE" w:rsidRPr="00C94B36" w:rsidRDefault="00871CBE" w:rsidP="00C94B36">
      <w:pPr>
        <w:pStyle w:val="ListParagraph"/>
        <w:numPr>
          <w:ilvl w:val="0"/>
          <w:numId w:val="7"/>
        </w:numPr>
        <w:suppressAutoHyphens/>
        <w:spacing w:line="240" w:lineRule="auto"/>
        <w:jc w:val="both"/>
        <w:rPr>
          <w:rFonts w:ascii="Times New Roman" w:hAnsi="Times New Roman"/>
          <w:spacing w:val="-2"/>
          <w:sz w:val="24"/>
          <w:lang w:val="mk-MK"/>
        </w:rPr>
      </w:pPr>
      <w:r w:rsidRPr="00C94B36">
        <w:rPr>
          <w:rFonts w:ascii="Times New Roman" w:hAnsi="Times New Roman"/>
          <w:spacing w:val="-2"/>
          <w:sz w:val="24"/>
          <w:lang w:val="mk-MK"/>
        </w:rPr>
        <w:t xml:space="preserve">Еспертиза во областа на обезбедување квалитет во образованието (со фокус на основно и средно образование), вклучувајќи и развој и имплементација на сеопфатен систем за обезбедување квалитет (училишна самоевалуација, надворешна евалуација и инспекција, евалуација на наставници и училишен раководен кадар и  евалуација на ученици во последните 5 години. </w:t>
      </w:r>
    </w:p>
    <w:p w:rsidR="00871CBE" w:rsidRPr="00C94B36" w:rsidRDefault="00871CBE" w:rsidP="00C94B36">
      <w:pPr>
        <w:numPr>
          <w:ilvl w:val="0"/>
          <w:numId w:val="7"/>
        </w:numPr>
        <w:spacing w:after="200"/>
        <w:jc w:val="both"/>
        <w:rPr>
          <w:rFonts w:ascii="Times New Roman" w:hAnsi="Times New Roman"/>
          <w:spacing w:val="-2"/>
          <w:sz w:val="24"/>
          <w:szCs w:val="22"/>
          <w:lang w:val="mk-MK"/>
        </w:rPr>
      </w:pPr>
      <w:r w:rsidRPr="00C94B36">
        <w:rPr>
          <w:rFonts w:ascii="Times New Roman" w:hAnsi="Times New Roman"/>
          <w:spacing w:val="-2"/>
          <w:sz w:val="24"/>
          <w:szCs w:val="22"/>
          <w:lang w:val="mk-MK"/>
        </w:rPr>
        <w:t>Искуство во организација и имплем</w:t>
      </w:r>
      <w:r w:rsidR="00C94B36">
        <w:rPr>
          <w:rFonts w:ascii="Times New Roman" w:hAnsi="Times New Roman"/>
          <w:spacing w:val="-2"/>
          <w:sz w:val="24"/>
          <w:szCs w:val="22"/>
          <w:lang w:val="mk-MK"/>
        </w:rPr>
        <w:t>е</w:t>
      </w:r>
      <w:r w:rsidRPr="00C94B36">
        <w:rPr>
          <w:rFonts w:ascii="Times New Roman" w:hAnsi="Times New Roman"/>
          <w:spacing w:val="-2"/>
          <w:sz w:val="24"/>
          <w:szCs w:val="22"/>
          <w:lang w:val="mk-MK"/>
        </w:rPr>
        <w:t xml:space="preserve">нтација на обуки од поголем обем на јавна администрација, државни органи и сл. </w:t>
      </w:r>
    </w:p>
    <w:p w:rsidR="00871CBE" w:rsidRPr="00C94B36" w:rsidRDefault="00871CBE" w:rsidP="00C94B36">
      <w:pPr>
        <w:numPr>
          <w:ilvl w:val="0"/>
          <w:numId w:val="7"/>
        </w:numPr>
        <w:spacing w:after="200"/>
        <w:jc w:val="both"/>
        <w:rPr>
          <w:rFonts w:ascii="Times New Roman" w:hAnsi="Times New Roman"/>
          <w:spacing w:val="-2"/>
          <w:sz w:val="24"/>
          <w:szCs w:val="22"/>
          <w:lang w:val="mk-MK"/>
        </w:rPr>
      </w:pPr>
      <w:r w:rsidRPr="00C94B36">
        <w:rPr>
          <w:rFonts w:ascii="Times New Roman" w:hAnsi="Times New Roman"/>
          <w:spacing w:val="-2"/>
          <w:sz w:val="24"/>
          <w:szCs w:val="22"/>
          <w:lang w:val="mk-MK"/>
        </w:rPr>
        <w:lastRenderedPageBreak/>
        <w:t>Искуство во развој и имплементација на грант</w:t>
      </w:r>
      <w:r w:rsidR="00C94B36" w:rsidRPr="00C94B36">
        <w:rPr>
          <w:rFonts w:ascii="Times New Roman" w:hAnsi="Times New Roman"/>
          <w:spacing w:val="-2"/>
          <w:sz w:val="24"/>
          <w:szCs w:val="22"/>
          <w:lang w:val="mk-MK"/>
        </w:rPr>
        <w:t xml:space="preserve"> програми</w:t>
      </w:r>
      <w:r w:rsidRPr="00C94B36">
        <w:rPr>
          <w:rFonts w:ascii="Times New Roman" w:hAnsi="Times New Roman"/>
          <w:spacing w:val="-2"/>
          <w:sz w:val="24"/>
          <w:szCs w:val="22"/>
          <w:lang w:val="mk-MK"/>
        </w:rPr>
        <w:t xml:space="preserve"> во секторот образование. </w:t>
      </w:r>
    </w:p>
    <w:p w:rsidR="00871CBE" w:rsidRPr="00C94B36" w:rsidRDefault="00C94B36" w:rsidP="00C94B36">
      <w:pPr>
        <w:numPr>
          <w:ilvl w:val="0"/>
          <w:numId w:val="7"/>
        </w:numPr>
        <w:spacing w:after="200"/>
        <w:jc w:val="both"/>
        <w:rPr>
          <w:rFonts w:ascii="Times New Roman" w:hAnsi="Times New Roman"/>
          <w:spacing w:val="-2"/>
          <w:sz w:val="24"/>
          <w:szCs w:val="22"/>
          <w:lang w:val="mk-MK"/>
        </w:rPr>
      </w:pPr>
      <w:r w:rsidRPr="00C94B36">
        <w:rPr>
          <w:rFonts w:ascii="Times New Roman" w:hAnsi="Times New Roman"/>
          <w:spacing w:val="-2"/>
          <w:sz w:val="24"/>
          <w:szCs w:val="22"/>
          <w:lang w:val="mk-MK"/>
        </w:rPr>
        <w:t>Претходно искуство во земјите од Западен Балкан ќе се смета за предност</w:t>
      </w:r>
      <w:r w:rsidR="00871CBE" w:rsidRPr="00C94B36">
        <w:rPr>
          <w:rFonts w:ascii="Times New Roman" w:hAnsi="Times New Roman"/>
          <w:spacing w:val="-2"/>
          <w:sz w:val="24"/>
          <w:szCs w:val="22"/>
          <w:lang w:val="mk-MK"/>
        </w:rPr>
        <w:t>.</w:t>
      </w:r>
    </w:p>
    <w:p w:rsidR="00871CBE" w:rsidRPr="00871CBE" w:rsidRDefault="00871CBE" w:rsidP="00B82E63">
      <w:pPr>
        <w:suppressAutoHyphens/>
        <w:ind w:left="-709"/>
        <w:jc w:val="both"/>
        <w:rPr>
          <w:rFonts w:ascii="Times New Roman" w:hAnsi="Times New Roman"/>
          <w:spacing w:val="-2"/>
          <w:sz w:val="24"/>
        </w:rPr>
      </w:pPr>
    </w:p>
    <w:p w:rsidR="002D2FAF" w:rsidRPr="00D31B89" w:rsidRDefault="002D2FAF" w:rsidP="00B82E63">
      <w:pPr>
        <w:suppressAutoHyphens/>
        <w:ind w:left="-709"/>
        <w:jc w:val="both"/>
        <w:rPr>
          <w:rFonts w:ascii="Times New Roman" w:hAnsi="Times New Roman"/>
          <w:spacing w:val="-2"/>
          <w:sz w:val="24"/>
          <w:lang w:val="mk-MK"/>
        </w:rPr>
      </w:pPr>
      <w:r w:rsidRPr="00D0022D">
        <w:rPr>
          <w:rFonts w:ascii="Times New Roman" w:hAnsi="Times New Roman"/>
          <w:spacing w:val="-2"/>
          <w:sz w:val="24"/>
          <w:lang w:val="mk-MK"/>
        </w:rPr>
        <w:t xml:space="preserve">Биографиите на индивидуалните експерти нема да бидат земени предвид при првичната оценка на квалификациите на фирмата за </w:t>
      </w:r>
      <w:r w:rsidR="001E29BC" w:rsidRPr="00D0022D">
        <w:rPr>
          <w:rFonts w:ascii="Times New Roman" w:hAnsi="Times New Roman"/>
          <w:spacing w:val="-2"/>
          <w:sz w:val="24"/>
          <w:lang w:val="mk-MK"/>
        </w:rPr>
        <w:t>формирање</w:t>
      </w:r>
      <w:r w:rsidRPr="00D0022D">
        <w:rPr>
          <w:rFonts w:ascii="Times New Roman" w:hAnsi="Times New Roman"/>
          <w:spacing w:val="-2"/>
          <w:sz w:val="24"/>
          <w:lang w:val="mk-MK"/>
        </w:rPr>
        <w:t xml:space="preserve"> на </w:t>
      </w:r>
      <w:r w:rsidR="00D0022D" w:rsidRPr="00D0022D">
        <w:rPr>
          <w:rFonts w:ascii="Times New Roman" w:hAnsi="Times New Roman"/>
          <w:spacing w:val="-2"/>
          <w:sz w:val="24"/>
          <w:lang w:val="mk-MK"/>
        </w:rPr>
        <w:t>кратката</w:t>
      </w:r>
      <w:r w:rsidRPr="00D0022D">
        <w:rPr>
          <w:rFonts w:ascii="Times New Roman" w:hAnsi="Times New Roman"/>
          <w:spacing w:val="-2"/>
          <w:sz w:val="24"/>
          <w:lang w:val="mk-MK"/>
        </w:rPr>
        <w:t xml:space="preserve"> листа.</w:t>
      </w:r>
    </w:p>
    <w:p w:rsidR="003122F3" w:rsidRPr="00D31B89" w:rsidRDefault="000540B5" w:rsidP="00B82E63">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 xml:space="preserve">Регулативата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набавки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Светска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Банка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финансирање</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инвестициски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проекти</w:t>
      </w:r>
      <w:proofErr w:type="spellEnd"/>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491444">
        <w:rPr>
          <w:rFonts w:ascii="Times New Roman" w:hAnsi="Times New Roman"/>
          <w:spacing w:val="-2"/>
          <w:sz w:val="24"/>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Pr="00491444">
        <w:rPr>
          <w:rFonts w:ascii="Times New Roman" w:hAnsi="Times New Roman"/>
          <w:spacing w:val="-2"/>
          <w:sz w:val="24"/>
          <w:lang w:val="mk-MK"/>
        </w:rPr>
        <w:t>.</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rsidR="002D2FAF" w:rsidRPr="00D31B89" w:rsidRDefault="002D2FAF" w:rsidP="00B82E63">
      <w:pPr>
        <w:suppressAutoHyphens/>
        <w:ind w:left="-709"/>
        <w:jc w:val="both"/>
        <w:rPr>
          <w:rFonts w:ascii="Times New Roman" w:hAnsi="Times New Roman"/>
          <w:spacing w:val="-2"/>
          <w:sz w:val="24"/>
          <w:lang w:val="mk-MK"/>
        </w:rPr>
      </w:pPr>
    </w:p>
    <w:p w:rsidR="00491444" w:rsidRPr="00015696" w:rsidRDefault="002D2FAF" w:rsidP="00491444">
      <w:pPr>
        <w:suppressAutoHyphens/>
        <w:ind w:left="-709"/>
        <w:jc w:val="both"/>
        <w:rPr>
          <w:rFonts w:ascii="Times New Roman" w:hAnsi="Times New Roman"/>
          <w:b/>
          <w:spacing w:val="-2"/>
          <w:sz w:val="24"/>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w:t>
      </w:r>
      <w:r w:rsidR="00C94B36">
        <w:rPr>
          <w:rFonts w:ascii="Times New Roman" w:hAnsi="Times New Roman"/>
          <w:b/>
          <w:spacing w:val="-2"/>
          <w:sz w:val="24"/>
          <w:lang w:val="mk-MK"/>
        </w:rPr>
        <w:t xml:space="preserve">писмо за интерес и </w:t>
      </w:r>
      <w:r w:rsidR="001E29BC" w:rsidRPr="0081210B">
        <w:rPr>
          <w:rFonts w:ascii="Times New Roman" w:hAnsi="Times New Roman"/>
          <w:b/>
          <w:spacing w:val="-2"/>
          <w:sz w:val="24"/>
          <w:lang w:val="mk-MK"/>
        </w:rPr>
        <w:t>портфолио на фирмата</w:t>
      </w:r>
      <w:r w:rsidR="00C94B36">
        <w:rPr>
          <w:rFonts w:ascii="Times New Roman" w:hAnsi="Times New Roman"/>
          <w:b/>
          <w:spacing w:val="-2"/>
          <w:sz w:val="24"/>
          <w:lang w:val="mk-MK"/>
        </w:rPr>
        <w:t xml:space="preserve"> преку која се претставува исполнетоста на горенаведените критериуми</w:t>
      </w:r>
      <w:r w:rsidR="001E29BC" w:rsidRPr="0081210B">
        <w:rPr>
          <w:rFonts w:ascii="Times New Roman" w:hAnsi="Times New Roman"/>
          <w:b/>
          <w:spacing w:val="-2"/>
          <w:sz w:val="24"/>
          <w:lang w:val="mk-MK"/>
        </w:rPr>
        <w:t xml:space="preserve">) </w:t>
      </w:r>
      <w:r w:rsidRPr="0081210B">
        <w:rPr>
          <w:rFonts w:ascii="Times New Roman" w:hAnsi="Times New Roman"/>
          <w:b/>
          <w:spacing w:val="-2"/>
          <w:sz w:val="24"/>
          <w:lang w:val="mk-MK"/>
        </w:rPr>
        <w:t xml:space="preserve">на англиски или македонски јазик треба да се достават </w:t>
      </w:r>
      <w:r w:rsidR="00491444" w:rsidRPr="0081210B">
        <w:rPr>
          <w:rFonts w:ascii="Times New Roman" w:hAnsi="Times New Roman"/>
          <w:b/>
          <w:spacing w:val="-2"/>
          <w:sz w:val="24"/>
          <w:lang w:val="mk-MK"/>
        </w:rPr>
        <w:t xml:space="preserve">најдоцна до </w:t>
      </w:r>
      <w:r w:rsidR="00C94B36">
        <w:rPr>
          <w:rFonts w:ascii="Times New Roman" w:hAnsi="Times New Roman"/>
          <w:b/>
          <w:spacing w:val="-2"/>
          <w:sz w:val="24"/>
          <w:lang w:val="mk-MK"/>
        </w:rPr>
        <w:t>17 декември</w:t>
      </w:r>
      <w:r w:rsidR="0081210B" w:rsidRPr="0081210B">
        <w:rPr>
          <w:rFonts w:ascii="Times New Roman" w:hAnsi="Times New Roman"/>
          <w:b/>
          <w:spacing w:val="-2"/>
          <w:sz w:val="24"/>
          <w:lang w:val="mk-MK"/>
        </w:rPr>
        <w:t xml:space="preserve"> 2021</w:t>
      </w:r>
      <w:r w:rsidR="00015696">
        <w:rPr>
          <w:rFonts w:ascii="Times New Roman" w:hAnsi="Times New Roman"/>
          <w:b/>
          <w:spacing w:val="-2"/>
          <w:sz w:val="24"/>
        </w:rPr>
        <w:t>.</w:t>
      </w:r>
    </w:p>
    <w:p w:rsidR="00C94B36" w:rsidRPr="0081210B" w:rsidRDefault="00C94B36" w:rsidP="00491444">
      <w:pPr>
        <w:suppressAutoHyphens/>
        <w:ind w:left="-709"/>
        <w:jc w:val="both"/>
        <w:rPr>
          <w:rFonts w:ascii="Times New Roman" w:hAnsi="Times New Roman"/>
          <w:b/>
          <w:spacing w:val="-2"/>
          <w:sz w:val="24"/>
          <w:lang w:val="mk-MK"/>
        </w:rPr>
      </w:pPr>
    </w:p>
    <w:p w:rsidR="00491444" w:rsidRPr="00C94B36" w:rsidRDefault="002D2FAF" w:rsidP="00491444">
      <w:pPr>
        <w:suppressAutoHyphens/>
        <w:ind w:left="-709"/>
        <w:jc w:val="both"/>
        <w:rPr>
          <w:rStyle w:val="Hyperlink"/>
          <w:rFonts w:ascii="Times New Roman" w:hAnsi="Times New Roman"/>
          <w:spacing w:val="-2"/>
          <w:sz w:val="24"/>
          <w:lang w:val="mk-MK"/>
        </w:rPr>
      </w:pPr>
      <w:r w:rsidRPr="00C94B36">
        <w:rPr>
          <w:rFonts w:ascii="Times New Roman" w:hAnsi="Times New Roman"/>
          <w:spacing w:val="-2"/>
          <w:sz w:val="24"/>
          <w:lang w:val="mk-MK"/>
        </w:rPr>
        <w:t xml:space="preserve">на </w:t>
      </w:r>
      <w:r w:rsidR="00A00494" w:rsidRPr="00C94B36">
        <w:rPr>
          <w:rFonts w:ascii="Times New Roman" w:hAnsi="Times New Roman"/>
          <w:spacing w:val="-2"/>
          <w:sz w:val="24"/>
          <w:lang w:val="mk-MK"/>
        </w:rPr>
        <w:t>следната електронска адреса</w:t>
      </w:r>
      <w:r w:rsidR="00491444" w:rsidRPr="00C94B36">
        <w:rPr>
          <w:rFonts w:ascii="Times New Roman" w:hAnsi="Times New Roman"/>
          <w:spacing w:val="-2"/>
          <w:sz w:val="24"/>
        </w:rPr>
        <w:t>:</w:t>
      </w:r>
      <w:r w:rsidR="00491444" w:rsidRPr="00C94B36">
        <w:rPr>
          <w:rFonts w:ascii="Times New Roman" w:hAnsi="Times New Roman"/>
          <w:spacing w:val="-2"/>
          <w:sz w:val="24"/>
          <w:lang w:val="mk-MK"/>
        </w:rPr>
        <w:t xml:space="preserve"> </w:t>
      </w:r>
      <w:r w:rsidR="00491444" w:rsidRPr="00C94B36">
        <w:rPr>
          <w:rFonts w:ascii="Times New Roman" w:hAnsi="Times New Roman"/>
          <w:spacing w:val="-2"/>
          <w:sz w:val="24"/>
        </w:rPr>
        <w:t>danijela.maneva@mon.gov.mk (CC:</w:t>
      </w:r>
      <w:r w:rsidR="00C94B36" w:rsidRPr="00C94B36">
        <w:rPr>
          <w:rFonts w:ascii="Times New Roman" w:hAnsi="Times New Roman"/>
          <w:spacing w:val="-2"/>
          <w:sz w:val="24"/>
          <w:lang w:val="mk-MK"/>
        </w:rPr>
        <w:t xml:space="preserve"> </w:t>
      </w:r>
      <w:r w:rsidR="00491444" w:rsidRPr="00C94B36">
        <w:rPr>
          <w:rFonts w:ascii="Times New Roman" w:hAnsi="Times New Roman"/>
          <w:spacing w:val="-2"/>
          <w:sz w:val="24"/>
        </w:rPr>
        <w:t>igor.krstevski@mon.gov.mk</w:t>
      </w:r>
      <w:r w:rsidR="00C94B36">
        <w:rPr>
          <w:rFonts w:ascii="Times New Roman" w:hAnsi="Times New Roman"/>
          <w:spacing w:val="-2"/>
          <w:sz w:val="24"/>
          <w:lang w:val="mk-MK"/>
        </w:rPr>
        <w:t>)</w:t>
      </w:r>
    </w:p>
    <w:p w:rsidR="00C94B36" w:rsidRDefault="00C94B36" w:rsidP="00491444">
      <w:pPr>
        <w:suppressAutoHyphens/>
        <w:ind w:left="-709"/>
        <w:jc w:val="both"/>
        <w:rPr>
          <w:rFonts w:ascii="Times New Roman" w:hAnsi="Times New Roman"/>
          <w:spacing w:val="-2"/>
          <w:sz w:val="24"/>
          <w:lang w:val="mk-MK"/>
        </w:rPr>
      </w:pPr>
    </w:p>
    <w:p w:rsidR="00522FF5" w:rsidRDefault="00491444" w:rsidP="00491444">
      <w:pPr>
        <w:suppressAutoHyphens/>
        <w:ind w:left="-709"/>
        <w:rPr>
          <w:rFonts w:ascii="Times New Roman" w:hAnsi="Times New Roman"/>
          <w:spacing w:val="-2"/>
          <w:sz w:val="24"/>
          <w:lang w:val="mk-MK"/>
        </w:rPr>
      </w:pPr>
      <w:r w:rsidRPr="00522FF5">
        <w:rPr>
          <w:rFonts w:ascii="Times New Roman" w:hAnsi="Times New Roman"/>
          <w:spacing w:val="-2"/>
          <w:sz w:val="24"/>
          <w:u w:val="single"/>
          <w:lang w:val="mk-MK"/>
        </w:rPr>
        <w:t>или</w:t>
      </w:r>
      <w:r>
        <w:rPr>
          <w:rFonts w:ascii="Times New Roman" w:hAnsi="Times New Roman"/>
          <w:spacing w:val="-2"/>
          <w:sz w:val="24"/>
          <w:lang w:val="mk-MK"/>
        </w:rPr>
        <w:t xml:space="preserve"> </w:t>
      </w:r>
      <w:r w:rsidR="002D2FAF" w:rsidRPr="00D31B89">
        <w:rPr>
          <w:rFonts w:ascii="Times New Roman" w:hAnsi="Times New Roman"/>
          <w:spacing w:val="-2"/>
          <w:sz w:val="24"/>
          <w:lang w:val="mk-MK"/>
        </w:rPr>
        <w:t xml:space="preserve">по пошта </w:t>
      </w:r>
      <w:r>
        <w:rPr>
          <w:rFonts w:ascii="Times New Roman" w:hAnsi="Times New Roman"/>
          <w:spacing w:val="-2"/>
          <w:sz w:val="24"/>
          <w:lang w:val="mk-MK"/>
        </w:rPr>
        <w:t xml:space="preserve"> на следната адреса: </w:t>
      </w:r>
    </w:p>
    <w:p w:rsidR="00C94B36" w:rsidRDefault="00C94B36" w:rsidP="00491444">
      <w:pPr>
        <w:suppressAutoHyphens/>
        <w:ind w:left="-709"/>
        <w:rPr>
          <w:rFonts w:ascii="Times New Roman" w:hAnsi="Times New Roman"/>
          <w:spacing w:val="-2"/>
          <w:sz w:val="24"/>
          <w:lang w:val="mk-MK"/>
        </w:rPr>
      </w:pPr>
    </w:p>
    <w:p w:rsidR="00491444" w:rsidRPr="00D31B89" w:rsidRDefault="002D2FAF" w:rsidP="00491444">
      <w:pPr>
        <w:suppressAutoHyphens/>
        <w:ind w:left="-709"/>
        <w:rPr>
          <w:rFonts w:ascii="Times New Roman" w:hAnsi="Times New Roman"/>
          <w:iCs/>
          <w:spacing w:val="-2"/>
          <w:sz w:val="24"/>
        </w:rPr>
      </w:pPr>
      <w:r w:rsidRPr="00D31B89">
        <w:rPr>
          <w:rFonts w:ascii="Times New Roman" w:hAnsi="Times New Roman"/>
          <w:iCs/>
          <w:spacing w:val="-2"/>
          <w:sz w:val="24"/>
          <w:lang w:val="mk-MK"/>
        </w:rPr>
        <w:t>Министерство за образование и наука-</w:t>
      </w:r>
      <w:r w:rsidRPr="00D31B89">
        <w:rPr>
          <w:rFonts w:ascii="Times New Roman" w:hAnsi="Times New Roman"/>
          <w:iCs/>
          <w:spacing w:val="-2"/>
          <w:sz w:val="24"/>
        </w:rPr>
        <w:t xml:space="preserve"> </w:t>
      </w:r>
      <w:r w:rsidRPr="00D31B89">
        <w:rPr>
          <w:rFonts w:ascii="Times New Roman" w:hAnsi="Times New Roman"/>
          <w:iCs/>
          <w:spacing w:val="-2"/>
          <w:sz w:val="24"/>
          <w:lang w:val="mk-MK"/>
        </w:rPr>
        <w:t xml:space="preserve">Проект </w:t>
      </w:r>
      <w:r w:rsidR="00C94B36">
        <w:rPr>
          <w:rFonts w:ascii="Times New Roman" w:hAnsi="Times New Roman"/>
          <w:iCs/>
          <w:spacing w:val="-2"/>
          <w:sz w:val="24"/>
          <w:lang w:val="mk-MK"/>
        </w:rPr>
        <w:t>ПЕИП</w:t>
      </w:r>
      <w:r w:rsidR="00491444">
        <w:rPr>
          <w:rFonts w:ascii="Times New Roman" w:hAnsi="Times New Roman"/>
          <w:iCs/>
          <w:spacing w:val="-2"/>
          <w:sz w:val="24"/>
          <w:lang w:val="mk-MK"/>
        </w:rPr>
        <w:t xml:space="preserve">, </w:t>
      </w:r>
      <w:r w:rsidR="00491444" w:rsidRPr="00D31B89">
        <w:rPr>
          <w:rFonts w:ascii="Times New Roman" w:hAnsi="Times New Roman"/>
          <w:iCs/>
          <w:spacing w:val="-2"/>
          <w:sz w:val="24"/>
          <w:lang w:val="mk-MK"/>
        </w:rPr>
        <w:t>ул. „Св.Кирил и Методиј“ бр. 54, 1000 Скопје</w:t>
      </w:r>
      <w:r w:rsidR="00491444">
        <w:rPr>
          <w:rFonts w:ascii="Times New Roman" w:hAnsi="Times New Roman"/>
          <w:iCs/>
          <w:spacing w:val="-2"/>
          <w:sz w:val="24"/>
          <w:lang w:val="mk-MK"/>
        </w:rPr>
        <w:t>,</w:t>
      </w:r>
      <w:r w:rsidR="00491444" w:rsidRPr="00491444">
        <w:rPr>
          <w:rFonts w:ascii="Times New Roman" w:hAnsi="Times New Roman"/>
          <w:iCs/>
          <w:spacing w:val="-2"/>
          <w:sz w:val="24"/>
          <w:lang w:val="mk-MK"/>
        </w:rPr>
        <w:t xml:space="preserve"> </w:t>
      </w:r>
      <w:r w:rsidR="00491444" w:rsidRPr="00D31B89">
        <w:rPr>
          <w:rFonts w:ascii="Times New Roman" w:hAnsi="Times New Roman"/>
          <w:iCs/>
          <w:spacing w:val="-2"/>
          <w:sz w:val="24"/>
          <w:lang w:val="mk-MK"/>
        </w:rPr>
        <w:t>Република Северна Македонија</w:t>
      </w:r>
    </w:p>
    <w:p w:rsidR="002D2FAF" w:rsidRPr="0081210B" w:rsidRDefault="00491444" w:rsidP="00491444">
      <w:pPr>
        <w:suppressAutoHyphens/>
        <w:ind w:left="-709"/>
        <w:jc w:val="both"/>
        <w:rPr>
          <w:rFonts w:ascii="Times New Roman" w:hAnsi="Times New Roman"/>
          <w:iCs/>
          <w:spacing w:val="-2"/>
          <w:sz w:val="24"/>
          <w:lang w:val="mk-MK"/>
        </w:rPr>
      </w:pPr>
      <w:r w:rsidRPr="00491444">
        <w:rPr>
          <w:rFonts w:ascii="Times New Roman" w:hAnsi="Times New Roman"/>
          <w:iCs/>
          <w:spacing w:val="-2"/>
          <w:sz w:val="24"/>
          <w:lang w:val="mk-MK"/>
        </w:rPr>
        <w:t>Со назнака з</w:t>
      </w:r>
      <w:r w:rsidR="002D2FAF" w:rsidRPr="00491444">
        <w:rPr>
          <w:rFonts w:ascii="Times New Roman" w:hAnsi="Times New Roman"/>
          <w:iCs/>
          <w:spacing w:val="-2"/>
          <w:sz w:val="24"/>
          <w:lang w:val="mk-MK"/>
        </w:rPr>
        <w:t>а</w:t>
      </w:r>
      <w:r w:rsidR="002D2FAF" w:rsidRPr="00491444">
        <w:rPr>
          <w:rFonts w:ascii="Times New Roman" w:hAnsi="Times New Roman"/>
          <w:iCs/>
          <w:spacing w:val="-2"/>
          <w:sz w:val="24"/>
        </w:rPr>
        <w:t xml:space="preserve">: </w:t>
      </w:r>
      <w:r w:rsidR="002D2FAF" w:rsidRPr="00491444">
        <w:rPr>
          <w:rFonts w:ascii="Times New Roman" w:hAnsi="Times New Roman"/>
          <w:iCs/>
          <w:spacing w:val="-2"/>
          <w:sz w:val="24"/>
          <w:lang w:val="mk-MK"/>
        </w:rPr>
        <w:t>Данијела Манева</w:t>
      </w:r>
      <w:r>
        <w:rPr>
          <w:rFonts w:ascii="Times New Roman" w:hAnsi="Times New Roman"/>
          <w:iCs/>
          <w:spacing w:val="-2"/>
          <w:sz w:val="24"/>
          <w:lang w:val="mk-MK"/>
        </w:rPr>
        <w:t>- Специјалист за набавки, Проект ПЕИП</w:t>
      </w:r>
      <w:r w:rsidR="002D2FAF" w:rsidRPr="00F1293D">
        <w:rPr>
          <w:rFonts w:ascii="Times New Roman" w:hAnsi="Times New Roman"/>
          <w:iCs/>
          <w:spacing w:val="-2"/>
          <w:sz w:val="24"/>
          <w:lang w:val="mk-MK"/>
        </w:rPr>
        <w:t xml:space="preserve"> (</w:t>
      </w:r>
      <w:r w:rsidR="002D2FAF" w:rsidRPr="00491444">
        <w:rPr>
          <w:rFonts w:ascii="Times New Roman" w:hAnsi="Times New Roman"/>
          <w:iCs/>
          <w:spacing w:val="-2"/>
          <w:sz w:val="24"/>
          <w:lang w:val="mk-MK"/>
        </w:rPr>
        <w:t>по оглас б</w:t>
      </w:r>
      <w:r w:rsidR="002D2FAF" w:rsidRPr="0081210B">
        <w:rPr>
          <w:rFonts w:ascii="Times New Roman" w:hAnsi="Times New Roman"/>
          <w:iCs/>
          <w:spacing w:val="-2"/>
          <w:sz w:val="24"/>
          <w:lang w:val="mk-MK"/>
        </w:rPr>
        <w:t>р.</w:t>
      </w:r>
      <w:r w:rsidR="0081210B">
        <w:rPr>
          <w:rFonts w:ascii="Times New Roman" w:hAnsi="Times New Roman"/>
          <w:iCs/>
          <w:spacing w:val="-2"/>
          <w:sz w:val="24"/>
          <w:lang w:val="mk-MK"/>
        </w:rPr>
        <w:t xml:space="preserve"> </w:t>
      </w:r>
      <w:r w:rsidR="0081210B" w:rsidRPr="00F1293D">
        <w:rPr>
          <w:rFonts w:ascii="Times New Roman" w:hAnsi="Times New Roman"/>
          <w:iCs/>
          <w:spacing w:val="-2"/>
          <w:sz w:val="24"/>
          <w:lang w:val="mk-MK"/>
        </w:rPr>
        <w:t>0</w:t>
      </w:r>
      <w:r w:rsidR="00C94B36">
        <w:rPr>
          <w:rFonts w:ascii="Times New Roman" w:hAnsi="Times New Roman"/>
          <w:iCs/>
          <w:spacing w:val="-2"/>
          <w:sz w:val="24"/>
          <w:lang w:val="mk-MK"/>
        </w:rPr>
        <w:t>46</w:t>
      </w:r>
      <w:r w:rsidR="0081210B" w:rsidRPr="00F1293D">
        <w:rPr>
          <w:rFonts w:ascii="Times New Roman" w:hAnsi="Times New Roman"/>
          <w:iCs/>
          <w:spacing w:val="-2"/>
          <w:sz w:val="24"/>
          <w:lang w:val="mk-MK"/>
        </w:rPr>
        <w:t>-21)</w:t>
      </w:r>
    </w:p>
    <w:p w:rsidR="00491444" w:rsidRPr="00D31B89" w:rsidRDefault="00491444">
      <w:pPr>
        <w:suppressAutoHyphens/>
        <w:ind w:left="-709"/>
        <w:jc w:val="both"/>
        <w:rPr>
          <w:rFonts w:ascii="Times New Roman" w:hAnsi="Times New Roman"/>
          <w:color w:val="FF0000"/>
          <w:spacing w:val="-2"/>
        </w:rPr>
      </w:pPr>
    </w:p>
    <w:sectPr w:rsidR="00491444" w:rsidRPr="00D31B89" w:rsidSect="00B82E63">
      <w:headerReference w:type="default" r:id="rId9"/>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98" w:rsidRDefault="00482198">
      <w:r>
        <w:separator/>
      </w:r>
    </w:p>
  </w:endnote>
  <w:endnote w:type="continuationSeparator" w:id="0">
    <w:p w:rsidR="00482198" w:rsidRDefault="00482198"/>
  </w:endnote>
  <w:endnote w:type="continuationNotice" w:id="1">
    <w:p w:rsidR="00482198" w:rsidRDefault="0048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98" w:rsidRDefault="00482198">
      <w:r>
        <w:rPr>
          <w:sz w:val="24"/>
        </w:rPr>
        <w:separator/>
      </w:r>
    </w:p>
  </w:footnote>
  <w:footnote w:type="continuationSeparator" w:id="0">
    <w:p w:rsidR="00482198" w:rsidRDefault="0048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1F0A"/>
    <w:rsid w:val="00015696"/>
    <w:rsid w:val="00015CD6"/>
    <w:rsid w:val="000540B5"/>
    <w:rsid w:val="00067D9C"/>
    <w:rsid w:val="00092AB0"/>
    <w:rsid w:val="0009395E"/>
    <w:rsid w:val="00096BD6"/>
    <w:rsid w:val="000A4184"/>
    <w:rsid w:val="000C4041"/>
    <w:rsid w:val="000C4F5A"/>
    <w:rsid w:val="000F7728"/>
    <w:rsid w:val="0011152D"/>
    <w:rsid w:val="00123744"/>
    <w:rsid w:val="00130F24"/>
    <w:rsid w:val="001B0D84"/>
    <w:rsid w:val="001D70EB"/>
    <w:rsid w:val="001E29BC"/>
    <w:rsid w:val="002110E0"/>
    <w:rsid w:val="002727A9"/>
    <w:rsid w:val="00287A53"/>
    <w:rsid w:val="0029207F"/>
    <w:rsid w:val="0029654F"/>
    <w:rsid w:val="002D2FAF"/>
    <w:rsid w:val="002F2823"/>
    <w:rsid w:val="003122F3"/>
    <w:rsid w:val="00347078"/>
    <w:rsid w:val="00357959"/>
    <w:rsid w:val="003824B3"/>
    <w:rsid w:val="003E5A69"/>
    <w:rsid w:val="003F4126"/>
    <w:rsid w:val="00405D3F"/>
    <w:rsid w:val="00461916"/>
    <w:rsid w:val="00482198"/>
    <w:rsid w:val="00491444"/>
    <w:rsid w:val="00491B65"/>
    <w:rsid w:val="004A7A5A"/>
    <w:rsid w:val="004C12A5"/>
    <w:rsid w:val="004E2E45"/>
    <w:rsid w:val="004E5A0A"/>
    <w:rsid w:val="004E721D"/>
    <w:rsid w:val="00522CFF"/>
    <w:rsid w:val="00522FF5"/>
    <w:rsid w:val="00527040"/>
    <w:rsid w:val="0054426C"/>
    <w:rsid w:val="00560B09"/>
    <w:rsid w:val="00564040"/>
    <w:rsid w:val="005B76A3"/>
    <w:rsid w:val="005D0D90"/>
    <w:rsid w:val="005E26BF"/>
    <w:rsid w:val="00601DD1"/>
    <w:rsid w:val="006210E0"/>
    <w:rsid w:val="00635B99"/>
    <w:rsid w:val="00643DF3"/>
    <w:rsid w:val="0065201D"/>
    <w:rsid w:val="00670D37"/>
    <w:rsid w:val="006864A9"/>
    <w:rsid w:val="00697647"/>
    <w:rsid w:val="006B41EB"/>
    <w:rsid w:val="006D6898"/>
    <w:rsid w:val="006F3706"/>
    <w:rsid w:val="00734466"/>
    <w:rsid w:val="0075323A"/>
    <w:rsid w:val="007713DF"/>
    <w:rsid w:val="007879B3"/>
    <w:rsid w:val="007D59F6"/>
    <w:rsid w:val="0081210B"/>
    <w:rsid w:val="0083067D"/>
    <w:rsid w:val="008562F9"/>
    <w:rsid w:val="00864FBB"/>
    <w:rsid w:val="00871CBE"/>
    <w:rsid w:val="008929AC"/>
    <w:rsid w:val="008A4AA7"/>
    <w:rsid w:val="008E30B9"/>
    <w:rsid w:val="008F755F"/>
    <w:rsid w:val="0090571C"/>
    <w:rsid w:val="00912A90"/>
    <w:rsid w:val="00916E24"/>
    <w:rsid w:val="009268B0"/>
    <w:rsid w:val="00930D65"/>
    <w:rsid w:val="00932483"/>
    <w:rsid w:val="00956D0E"/>
    <w:rsid w:val="00966565"/>
    <w:rsid w:val="009830E4"/>
    <w:rsid w:val="0098722C"/>
    <w:rsid w:val="009F5125"/>
    <w:rsid w:val="00A00494"/>
    <w:rsid w:val="00A05A45"/>
    <w:rsid w:val="00A52C40"/>
    <w:rsid w:val="00A76E67"/>
    <w:rsid w:val="00A94810"/>
    <w:rsid w:val="00AA0A3C"/>
    <w:rsid w:val="00B16E0A"/>
    <w:rsid w:val="00B23394"/>
    <w:rsid w:val="00B3630A"/>
    <w:rsid w:val="00B40F25"/>
    <w:rsid w:val="00B4187C"/>
    <w:rsid w:val="00B51866"/>
    <w:rsid w:val="00B57B67"/>
    <w:rsid w:val="00B7257F"/>
    <w:rsid w:val="00B82E63"/>
    <w:rsid w:val="00BA4299"/>
    <w:rsid w:val="00BB48BB"/>
    <w:rsid w:val="00BC1BB9"/>
    <w:rsid w:val="00BC3F69"/>
    <w:rsid w:val="00BD6CBC"/>
    <w:rsid w:val="00C35B4E"/>
    <w:rsid w:val="00C54AC7"/>
    <w:rsid w:val="00C72E0D"/>
    <w:rsid w:val="00C84711"/>
    <w:rsid w:val="00C90298"/>
    <w:rsid w:val="00C94B36"/>
    <w:rsid w:val="00CC309C"/>
    <w:rsid w:val="00CD1072"/>
    <w:rsid w:val="00D0022D"/>
    <w:rsid w:val="00D31B89"/>
    <w:rsid w:val="00D52FD0"/>
    <w:rsid w:val="00D90733"/>
    <w:rsid w:val="00DA15DD"/>
    <w:rsid w:val="00DD1D25"/>
    <w:rsid w:val="00DD75EC"/>
    <w:rsid w:val="00E0646B"/>
    <w:rsid w:val="00E07E32"/>
    <w:rsid w:val="00E5391B"/>
    <w:rsid w:val="00E572D1"/>
    <w:rsid w:val="00EB5460"/>
    <w:rsid w:val="00EC50B8"/>
    <w:rsid w:val="00F03629"/>
    <w:rsid w:val="00F1293D"/>
    <w:rsid w:val="00F17486"/>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A1C6-6B22-44CA-8D68-94F25A2B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5618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37</cp:revision>
  <cp:lastPrinted>2011-11-02T17:37:00Z</cp:lastPrinted>
  <dcterms:created xsi:type="dcterms:W3CDTF">2014-07-16T09:08:00Z</dcterms:created>
  <dcterms:modified xsi:type="dcterms:W3CDTF">2021-12-02T09:14:00Z</dcterms:modified>
</cp:coreProperties>
</file>