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D919F" w14:textId="04E1AD49" w:rsidR="00984662" w:rsidRPr="00433C4A" w:rsidRDefault="000C648C" w:rsidP="00984662">
      <w:pPr>
        <w:jc w:val="right"/>
        <w:rPr>
          <w:rFonts w:ascii="StobiSerif Regular" w:hAnsi="StobiSerif Regular"/>
          <w:b/>
          <w:sz w:val="22"/>
          <w:szCs w:val="22"/>
        </w:rPr>
      </w:pPr>
      <w:r>
        <w:rPr>
          <w:rFonts w:ascii="StobiSerif Regular" w:hAnsi="StobiSerif Regular"/>
          <w:b/>
          <w:sz w:val="22"/>
          <w:szCs w:val="22"/>
        </w:rPr>
        <w:t>ПРИЛОГ</w:t>
      </w:r>
      <w:r w:rsidR="00984662" w:rsidRPr="00433C4A">
        <w:rPr>
          <w:rFonts w:ascii="StobiSerif Regular" w:hAnsi="StobiSerif Regular"/>
          <w:b/>
          <w:sz w:val="22"/>
          <w:szCs w:val="22"/>
        </w:rPr>
        <w:t xml:space="preserve"> бр. </w:t>
      </w:r>
      <w:r>
        <w:rPr>
          <w:rFonts w:ascii="StobiSerif Regular" w:hAnsi="StobiSerif Regular"/>
          <w:b/>
          <w:sz w:val="22"/>
          <w:szCs w:val="22"/>
        </w:rPr>
        <w:t>2</w:t>
      </w:r>
    </w:p>
    <w:p w14:paraId="47D88037" w14:textId="77777777" w:rsidR="00984662" w:rsidRPr="00433C4A" w:rsidRDefault="00984662" w:rsidP="00984662">
      <w:pPr>
        <w:jc w:val="center"/>
        <w:rPr>
          <w:rFonts w:ascii="StobiSerif Regular" w:hAnsi="StobiSerif Regular"/>
          <w:b/>
          <w:sz w:val="22"/>
          <w:szCs w:val="22"/>
        </w:rPr>
      </w:pPr>
    </w:p>
    <w:p w14:paraId="57BB96C5" w14:textId="77777777" w:rsidR="00984662" w:rsidRDefault="00984662" w:rsidP="00984662">
      <w:pPr>
        <w:jc w:val="center"/>
        <w:rPr>
          <w:rFonts w:ascii="StobiSerif Regular" w:hAnsi="StobiSerif Regular"/>
          <w:b/>
          <w:sz w:val="22"/>
          <w:szCs w:val="22"/>
          <w:lang w:val="ru-RU"/>
        </w:rPr>
      </w:pPr>
      <w:r w:rsidRPr="00433C4A">
        <w:rPr>
          <w:rFonts w:ascii="StobiSerif Regular" w:hAnsi="StobiSerif Regular"/>
          <w:b/>
          <w:sz w:val="22"/>
          <w:szCs w:val="22"/>
          <w:lang w:val="ru-RU"/>
        </w:rPr>
        <w:t>УТВРДУВАЊЕ НА РИЗИЦИ</w:t>
      </w:r>
      <w:r w:rsidRPr="00433C4A">
        <w:rPr>
          <w:rFonts w:ascii="StobiSerif Regular" w:hAnsi="StobiSerif Regular"/>
          <w:b/>
          <w:sz w:val="22"/>
          <w:szCs w:val="22"/>
        </w:rPr>
        <w:t xml:space="preserve"> </w:t>
      </w:r>
      <w:r w:rsidRPr="00433C4A">
        <w:rPr>
          <w:rFonts w:ascii="StobiSerif Regular" w:hAnsi="StobiSerif Regular"/>
          <w:b/>
          <w:sz w:val="22"/>
          <w:szCs w:val="22"/>
          <w:lang w:val="ru-RU"/>
        </w:rPr>
        <w:t xml:space="preserve"> </w:t>
      </w:r>
    </w:p>
    <w:p w14:paraId="5293E6C5" w14:textId="2B96F957" w:rsidR="00984662" w:rsidRDefault="00984662" w:rsidP="00984662">
      <w:pPr>
        <w:jc w:val="center"/>
        <w:rPr>
          <w:rFonts w:ascii="StobiSerif Regular" w:hAnsi="StobiSerif Regular"/>
          <w:b/>
          <w:sz w:val="22"/>
          <w:szCs w:val="22"/>
          <w:lang w:val="ru-RU"/>
        </w:rPr>
      </w:pPr>
      <w:r w:rsidRPr="00FD4651">
        <w:rPr>
          <w:rFonts w:ascii="StobiSerif Regular" w:hAnsi="StobiSerif Regular"/>
          <w:b/>
          <w:bCs/>
          <w:sz w:val="22"/>
          <w:szCs w:val="22"/>
        </w:rPr>
        <w:t>ПРИОРИТЕТНА ОБЛАСТ</w:t>
      </w:r>
      <w:r w:rsidR="0080199C">
        <w:rPr>
          <w:rFonts w:ascii="StobiSerif Regular" w:hAnsi="StobiSerif Regular"/>
          <w:b/>
          <w:bCs/>
          <w:sz w:val="22"/>
          <w:szCs w:val="22"/>
        </w:rPr>
        <w:t xml:space="preserve"> 1</w:t>
      </w:r>
      <w:r w:rsidRPr="00FD4651">
        <w:rPr>
          <w:rFonts w:ascii="StobiSerif Regular" w:hAnsi="StobiSerif Regular"/>
          <w:b/>
          <w:bCs/>
          <w:sz w:val="22"/>
          <w:szCs w:val="22"/>
        </w:rPr>
        <w:t>: КРЕИРАЊЕ НА ПОЛИТИКИ И КООРДИНАЦИЈА</w:t>
      </w:r>
    </w:p>
    <w:p w14:paraId="0F09004A" w14:textId="77777777" w:rsidR="00984662" w:rsidRDefault="00984662" w:rsidP="00984662">
      <w:pPr>
        <w:jc w:val="center"/>
        <w:rPr>
          <w:rFonts w:ascii="StobiSerif Regular" w:hAnsi="StobiSerif Regular"/>
          <w:b/>
          <w:sz w:val="22"/>
          <w:szCs w:val="22"/>
          <w:lang w:val="ru-RU"/>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28"/>
        <w:gridCol w:w="2184"/>
        <w:gridCol w:w="2696"/>
      </w:tblGrid>
      <w:tr w:rsidR="00984662" w14:paraId="6051FAB5" w14:textId="77777777" w:rsidTr="00624D7A">
        <w:tc>
          <w:tcPr>
            <w:tcW w:w="2532" w:type="dxa"/>
            <w:tcBorders>
              <w:top w:val="single" w:sz="4" w:space="0" w:color="auto"/>
              <w:left w:val="single" w:sz="4" w:space="0" w:color="auto"/>
              <w:bottom w:val="single" w:sz="4" w:space="0" w:color="auto"/>
              <w:right w:val="single" w:sz="4" w:space="0" w:color="auto"/>
            </w:tcBorders>
            <w:hideMark/>
          </w:tcPr>
          <w:p w14:paraId="675CDFDC" w14:textId="77777777" w:rsidR="00984662" w:rsidRDefault="00984662" w:rsidP="00624D7A">
            <w:pPr>
              <w:spacing w:after="160" w:line="254" w:lineRule="auto"/>
              <w:jc w:val="center"/>
              <w:rPr>
                <w:rFonts w:ascii="StobiSerif Regular" w:hAnsi="StobiSerif Regular"/>
                <w:b/>
                <w:sz w:val="22"/>
                <w:szCs w:val="22"/>
                <w:lang w:val="ru-RU" w:eastAsia="en-US"/>
              </w:rPr>
            </w:pPr>
            <w:r>
              <w:rPr>
                <w:rFonts w:ascii="StobiSerif Regular" w:hAnsi="StobiSerif Regular"/>
                <w:b/>
                <w:sz w:val="22"/>
                <w:szCs w:val="22"/>
                <w:lang w:val="ru-RU"/>
              </w:rPr>
              <w:t>РИЗИК</w:t>
            </w:r>
          </w:p>
        </w:tc>
        <w:tc>
          <w:tcPr>
            <w:tcW w:w="2228" w:type="dxa"/>
            <w:tcBorders>
              <w:top w:val="single" w:sz="4" w:space="0" w:color="auto"/>
              <w:left w:val="single" w:sz="4" w:space="0" w:color="auto"/>
              <w:bottom w:val="single" w:sz="4" w:space="0" w:color="auto"/>
              <w:right w:val="single" w:sz="4" w:space="0" w:color="auto"/>
            </w:tcBorders>
            <w:hideMark/>
          </w:tcPr>
          <w:p w14:paraId="7104F7F9" w14:textId="77777777" w:rsidR="00984662" w:rsidRDefault="00984662" w:rsidP="00624D7A">
            <w:pPr>
              <w:spacing w:after="160" w:line="254" w:lineRule="auto"/>
              <w:jc w:val="center"/>
              <w:rPr>
                <w:rFonts w:ascii="StobiSerif Regular" w:hAnsi="StobiSerif Regular"/>
                <w:b/>
                <w:sz w:val="22"/>
                <w:szCs w:val="22"/>
                <w:lang w:val="ru-RU" w:eastAsia="en-US"/>
              </w:rPr>
            </w:pPr>
            <w:r>
              <w:rPr>
                <w:rFonts w:ascii="StobiSerif Regular" w:hAnsi="StobiSerif Regular"/>
                <w:b/>
                <w:sz w:val="22"/>
                <w:szCs w:val="22"/>
                <w:lang w:val="ru-RU"/>
              </w:rPr>
              <w:t>ВЕРОЈАТНОСТ ЗА НАСТАНУВАЊЕ НА РИЗИКОТ</w:t>
            </w:r>
          </w:p>
        </w:tc>
        <w:tc>
          <w:tcPr>
            <w:tcW w:w="2184" w:type="dxa"/>
            <w:tcBorders>
              <w:top w:val="single" w:sz="4" w:space="0" w:color="auto"/>
              <w:left w:val="single" w:sz="4" w:space="0" w:color="auto"/>
              <w:bottom w:val="single" w:sz="4" w:space="0" w:color="auto"/>
              <w:right w:val="single" w:sz="4" w:space="0" w:color="auto"/>
            </w:tcBorders>
            <w:hideMark/>
          </w:tcPr>
          <w:p w14:paraId="66AA11BA" w14:textId="77777777" w:rsidR="00984662" w:rsidRDefault="00984662" w:rsidP="00624D7A">
            <w:pPr>
              <w:spacing w:after="160" w:line="254" w:lineRule="auto"/>
              <w:jc w:val="center"/>
              <w:rPr>
                <w:rFonts w:ascii="StobiSerif Regular" w:hAnsi="StobiSerif Regular"/>
                <w:b/>
                <w:sz w:val="22"/>
                <w:szCs w:val="22"/>
                <w:lang w:val="ru-RU" w:eastAsia="en-US"/>
              </w:rPr>
            </w:pPr>
            <w:r>
              <w:rPr>
                <w:rFonts w:ascii="StobiSerif Regular" w:hAnsi="StobiSerif Regular"/>
                <w:b/>
                <w:sz w:val="22"/>
                <w:szCs w:val="22"/>
                <w:lang w:val="ru-RU"/>
              </w:rPr>
              <w:t>ВЛИЈАНИЕ НА РИЗИКОТ ВРЗ ОСТВАРУВАЊЕ НА ЦЕЛИТЕ</w:t>
            </w:r>
          </w:p>
        </w:tc>
        <w:tc>
          <w:tcPr>
            <w:tcW w:w="2696" w:type="dxa"/>
            <w:tcBorders>
              <w:top w:val="single" w:sz="4" w:space="0" w:color="auto"/>
              <w:left w:val="single" w:sz="4" w:space="0" w:color="auto"/>
              <w:bottom w:val="single" w:sz="4" w:space="0" w:color="auto"/>
              <w:right w:val="single" w:sz="4" w:space="0" w:color="auto"/>
            </w:tcBorders>
            <w:hideMark/>
          </w:tcPr>
          <w:p w14:paraId="2576F998" w14:textId="77777777" w:rsidR="00984662" w:rsidRDefault="00984662" w:rsidP="00624D7A">
            <w:pPr>
              <w:spacing w:after="160" w:line="254" w:lineRule="auto"/>
              <w:jc w:val="center"/>
              <w:rPr>
                <w:rFonts w:ascii="StobiSerif Regular" w:hAnsi="StobiSerif Regular"/>
                <w:b/>
                <w:sz w:val="22"/>
                <w:szCs w:val="22"/>
                <w:lang w:val="ru-RU" w:eastAsia="en-US"/>
              </w:rPr>
            </w:pPr>
            <w:r>
              <w:rPr>
                <w:rFonts w:ascii="StobiSerif Regular" w:hAnsi="StobiSerif Regular"/>
                <w:b/>
                <w:sz w:val="22"/>
                <w:szCs w:val="22"/>
                <w:lang w:val="ru-RU"/>
              </w:rPr>
              <w:t>МЕРКИ ЗА СПРАВУВАЊЕ СО РИЗИКОТ</w:t>
            </w:r>
          </w:p>
        </w:tc>
      </w:tr>
      <w:tr w:rsidR="00984662" w14:paraId="4F3A920B" w14:textId="77777777" w:rsidTr="00624D7A">
        <w:tc>
          <w:tcPr>
            <w:tcW w:w="2532" w:type="dxa"/>
            <w:tcBorders>
              <w:top w:val="single" w:sz="4" w:space="0" w:color="auto"/>
              <w:left w:val="single" w:sz="4" w:space="0" w:color="auto"/>
              <w:bottom w:val="single" w:sz="4" w:space="0" w:color="auto"/>
              <w:right w:val="single" w:sz="4" w:space="0" w:color="auto"/>
            </w:tcBorders>
            <w:vAlign w:val="center"/>
          </w:tcPr>
          <w:p w14:paraId="040AA7A8" w14:textId="77777777" w:rsidR="00984662" w:rsidRDefault="00984662" w:rsidP="00624D7A">
            <w:pPr>
              <w:spacing w:after="160" w:line="254" w:lineRule="auto"/>
              <w:jc w:val="left"/>
              <w:rPr>
                <w:rFonts w:ascii="StobiSerif Regular" w:hAnsi="StobiSerif Regular"/>
                <w:sz w:val="22"/>
                <w:szCs w:val="22"/>
                <w:lang w:val="ru-RU"/>
              </w:rPr>
            </w:pPr>
            <w:r>
              <w:rPr>
                <w:rFonts w:ascii="StobiSerif Regular" w:hAnsi="StobiSerif Regular"/>
                <w:sz w:val="22"/>
                <w:szCs w:val="22"/>
                <w:lang w:val="ru-RU"/>
              </w:rPr>
              <w:t>Недостиг на политичко лидерство за ефективно, ефикасно и инклузивно креирање на политики и донесување на закони</w:t>
            </w:r>
          </w:p>
        </w:tc>
        <w:tc>
          <w:tcPr>
            <w:tcW w:w="2228" w:type="dxa"/>
            <w:tcBorders>
              <w:top w:val="single" w:sz="4" w:space="0" w:color="auto"/>
              <w:left w:val="single" w:sz="4" w:space="0" w:color="auto"/>
              <w:bottom w:val="single" w:sz="4" w:space="0" w:color="auto"/>
              <w:right w:val="single" w:sz="4" w:space="0" w:color="auto"/>
            </w:tcBorders>
            <w:vAlign w:val="center"/>
          </w:tcPr>
          <w:p w14:paraId="27CE78A0" w14:textId="77777777" w:rsidR="00984662" w:rsidRDefault="00984662" w:rsidP="00624D7A">
            <w:pPr>
              <w:jc w:val="center"/>
              <w:rPr>
                <w:rFonts w:ascii="StobiSerif Regular" w:hAnsi="StobiSerif Regular"/>
                <w:sz w:val="22"/>
                <w:szCs w:val="22"/>
              </w:rPr>
            </w:pPr>
            <w:r>
              <w:rPr>
                <w:rFonts w:ascii="StobiSerif Regular" w:hAnsi="StobiSerif Regular"/>
                <w:sz w:val="22"/>
                <w:szCs w:val="22"/>
              </w:rPr>
              <w:t>Мала</w:t>
            </w:r>
          </w:p>
        </w:tc>
        <w:tc>
          <w:tcPr>
            <w:tcW w:w="2184" w:type="dxa"/>
            <w:tcBorders>
              <w:top w:val="single" w:sz="4" w:space="0" w:color="auto"/>
              <w:left w:val="single" w:sz="4" w:space="0" w:color="auto"/>
              <w:bottom w:val="single" w:sz="4" w:space="0" w:color="auto"/>
              <w:right w:val="single" w:sz="4" w:space="0" w:color="auto"/>
            </w:tcBorders>
            <w:vAlign w:val="center"/>
          </w:tcPr>
          <w:p w14:paraId="36F66C7D" w14:textId="77777777" w:rsidR="00984662" w:rsidRDefault="00984662" w:rsidP="00624D7A">
            <w:pPr>
              <w:jc w:val="center"/>
              <w:rPr>
                <w:rFonts w:ascii="StobiSerif Regular" w:hAnsi="StobiSerif Regular"/>
                <w:sz w:val="22"/>
                <w:szCs w:val="22"/>
              </w:rPr>
            </w:pPr>
            <w:r>
              <w:rPr>
                <w:rFonts w:ascii="StobiSerif Regular" w:hAnsi="StobiSerif Regular"/>
                <w:sz w:val="22"/>
                <w:szCs w:val="22"/>
              </w:rPr>
              <w:t>Големо</w:t>
            </w:r>
          </w:p>
        </w:tc>
        <w:tc>
          <w:tcPr>
            <w:tcW w:w="2696" w:type="dxa"/>
            <w:tcBorders>
              <w:top w:val="single" w:sz="4" w:space="0" w:color="auto"/>
              <w:left w:val="single" w:sz="4" w:space="0" w:color="auto"/>
              <w:bottom w:val="single" w:sz="4" w:space="0" w:color="auto"/>
              <w:right w:val="single" w:sz="4" w:space="0" w:color="auto"/>
            </w:tcBorders>
          </w:tcPr>
          <w:p w14:paraId="26ACD380" w14:textId="77777777" w:rsidR="00984662" w:rsidRDefault="00984662" w:rsidP="00624D7A">
            <w:pPr>
              <w:spacing w:after="160" w:line="254" w:lineRule="auto"/>
              <w:jc w:val="left"/>
              <w:rPr>
                <w:rFonts w:ascii="StobiSerif Regular" w:hAnsi="StobiSerif Regular"/>
                <w:sz w:val="22"/>
                <w:szCs w:val="22"/>
                <w:lang w:val="ru-RU"/>
              </w:rPr>
            </w:pPr>
            <w:r>
              <w:rPr>
                <w:rFonts w:ascii="StobiSerif Regular" w:hAnsi="StobiSerif Regular"/>
                <w:sz w:val="22"/>
                <w:szCs w:val="22"/>
                <w:lang w:val="ru-RU"/>
              </w:rPr>
              <w:t xml:space="preserve">Навремено информирање и обезбедување поддршка </w:t>
            </w:r>
            <w:r w:rsidRPr="002D2501">
              <w:rPr>
                <w:rFonts w:ascii="StobiSerif Regular" w:hAnsi="StobiSerif Regular"/>
                <w:sz w:val="22"/>
                <w:szCs w:val="22"/>
                <w:lang w:val="ru-RU"/>
              </w:rPr>
              <w:t xml:space="preserve">од Советот за реформа на јавната администрација </w:t>
            </w:r>
            <w:r>
              <w:rPr>
                <w:rFonts w:ascii="StobiSerif Regular" w:hAnsi="StobiSerif Regular"/>
                <w:sz w:val="22"/>
                <w:szCs w:val="22"/>
                <w:lang w:val="ru-RU"/>
              </w:rPr>
              <w:t>за спроведување на реформите во областа на креирање на политики и координација</w:t>
            </w:r>
          </w:p>
        </w:tc>
      </w:tr>
      <w:tr w:rsidR="00984662" w14:paraId="7F68DBFF" w14:textId="77777777" w:rsidTr="00624D7A">
        <w:tc>
          <w:tcPr>
            <w:tcW w:w="2532" w:type="dxa"/>
            <w:tcBorders>
              <w:top w:val="single" w:sz="4" w:space="0" w:color="auto"/>
              <w:left w:val="single" w:sz="4" w:space="0" w:color="auto"/>
              <w:bottom w:val="single" w:sz="4" w:space="0" w:color="auto"/>
              <w:right w:val="single" w:sz="4" w:space="0" w:color="auto"/>
            </w:tcBorders>
            <w:vAlign w:val="center"/>
          </w:tcPr>
          <w:p w14:paraId="150180D9" w14:textId="77777777" w:rsidR="00984662" w:rsidRDefault="00984662" w:rsidP="00624D7A">
            <w:pPr>
              <w:spacing w:after="160" w:line="254" w:lineRule="auto"/>
              <w:jc w:val="left"/>
              <w:rPr>
                <w:rFonts w:ascii="StobiSerif Regular" w:hAnsi="StobiSerif Regular"/>
                <w:sz w:val="22"/>
                <w:szCs w:val="22"/>
                <w:lang w:val="ru-RU"/>
              </w:rPr>
            </w:pPr>
            <w:r>
              <w:rPr>
                <w:rFonts w:ascii="StobiSerif Regular" w:hAnsi="StobiSerif Regular"/>
                <w:sz w:val="22"/>
                <w:szCs w:val="22"/>
              </w:rPr>
              <w:t xml:space="preserve">Ограничени капацитети за спроведување обуки на доволен број државни службеници за стратешко и буџетско планирање, за подготвување, следење, известување и оценување на секторските и </w:t>
            </w:r>
            <w:proofErr w:type="spellStart"/>
            <w:r>
              <w:rPr>
                <w:rFonts w:ascii="StobiSerif Regular" w:hAnsi="StobiSerif Regular"/>
                <w:sz w:val="22"/>
                <w:szCs w:val="22"/>
              </w:rPr>
              <w:t>мултисекторските</w:t>
            </w:r>
            <w:proofErr w:type="spellEnd"/>
            <w:r>
              <w:rPr>
                <w:rFonts w:ascii="StobiSerif Regular" w:hAnsi="StobiSerif Regular"/>
                <w:sz w:val="22"/>
                <w:szCs w:val="22"/>
              </w:rPr>
              <w:t xml:space="preserve"> стратегии, за </w:t>
            </w:r>
            <w:proofErr w:type="spellStart"/>
            <w:r>
              <w:rPr>
                <w:rFonts w:ascii="StobiSerif Regular" w:hAnsi="StobiSerif Regular"/>
                <w:sz w:val="22"/>
                <w:szCs w:val="22"/>
              </w:rPr>
              <w:t>номотехнички</w:t>
            </w:r>
            <w:proofErr w:type="spellEnd"/>
            <w:r>
              <w:rPr>
                <w:rFonts w:ascii="StobiSerif Regular" w:hAnsi="StobiSerif Regular"/>
                <w:sz w:val="22"/>
                <w:szCs w:val="22"/>
              </w:rPr>
              <w:t xml:space="preserve"> правила и за транспонирање на правото на ЕУ во </w:t>
            </w:r>
            <w:r>
              <w:rPr>
                <w:rFonts w:ascii="StobiSerif Regular" w:hAnsi="StobiSerif Regular"/>
                <w:sz w:val="22"/>
                <w:szCs w:val="22"/>
              </w:rPr>
              <w:lastRenderedPageBreak/>
              <w:t>националното законодавство</w:t>
            </w:r>
          </w:p>
        </w:tc>
        <w:tc>
          <w:tcPr>
            <w:tcW w:w="2228" w:type="dxa"/>
            <w:tcBorders>
              <w:top w:val="single" w:sz="4" w:space="0" w:color="auto"/>
              <w:left w:val="single" w:sz="4" w:space="0" w:color="auto"/>
              <w:bottom w:val="single" w:sz="4" w:space="0" w:color="auto"/>
              <w:right w:val="single" w:sz="4" w:space="0" w:color="auto"/>
            </w:tcBorders>
            <w:vAlign w:val="center"/>
          </w:tcPr>
          <w:p w14:paraId="75B8B7EE" w14:textId="77777777" w:rsidR="00984662" w:rsidRDefault="00984662" w:rsidP="00624D7A">
            <w:pPr>
              <w:jc w:val="center"/>
              <w:rPr>
                <w:rFonts w:ascii="StobiSerif Regular" w:hAnsi="StobiSerif Regular"/>
                <w:sz w:val="22"/>
                <w:szCs w:val="22"/>
              </w:rPr>
            </w:pPr>
            <w:r>
              <w:rPr>
                <w:rFonts w:ascii="StobiSerif Regular" w:hAnsi="StobiSerif Regular"/>
                <w:sz w:val="22"/>
                <w:szCs w:val="22"/>
              </w:rPr>
              <w:lastRenderedPageBreak/>
              <w:t>Средна</w:t>
            </w:r>
          </w:p>
        </w:tc>
        <w:tc>
          <w:tcPr>
            <w:tcW w:w="2184" w:type="dxa"/>
            <w:tcBorders>
              <w:top w:val="single" w:sz="4" w:space="0" w:color="auto"/>
              <w:left w:val="single" w:sz="4" w:space="0" w:color="auto"/>
              <w:bottom w:val="single" w:sz="4" w:space="0" w:color="auto"/>
              <w:right w:val="single" w:sz="4" w:space="0" w:color="auto"/>
            </w:tcBorders>
            <w:vAlign w:val="center"/>
          </w:tcPr>
          <w:p w14:paraId="4A752104" w14:textId="77777777" w:rsidR="00984662" w:rsidRDefault="00984662" w:rsidP="00624D7A">
            <w:pPr>
              <w:jc w:val="center"/>
              <w:rPr>
                <w:rFonts w:ascii="StobiSerif Regular" w:hAnsi="StobiSerif Regular"/>
                <w:sz w:val="22"/>
                <w:szCs w:val="22"/>
              </w:rPr>
            </w:pPr>
            <w:r>
              <w:rPr>
                <w:rFonts w:ascii="StobiSerif Regular" w:hAnsi="StobiSerif Regular"/>
                <w:sz w:val="22"/>
                <w:szCs w:val="22"/>
              </w:rPr>
              <w:t>Големо</w:t>
            </w:r>
          </w:p>
        </w:tc>
        <w:tc>
          <w:tcPr>
            <w:tcW w:w="2696" w:type="dxa"/>
            <w:tcBorders>
              <w:top w:val="single" w:sz="4" w:space="0" w:color="auto"/>
              <w:left w:val="single" w:sz="4" w:space="0" w:color="auto"/>
              <w:bottom w:val="single" w:sz="4" w:space="0" w:color="auto"/>
              <w:right w:val="single" w:sz="4" w:space="0" w:color="auto"/>
            </w:tcBorders>
            <w:vAlign w:val="center"/>
          </w:tcPr>
          <w:p w14:paraId="0A808487" w14:textId="77777777" w:rsidR="00984662" w:rsidRDefault="00984662" w:rsidP="0080199C">
            <w:pPr>
              <w:spacing w:line="254" w:lineRule="auto"/>
              <w:jc w:val="left"/>
              <w:rPr>
                <w:rFonts w:ascii="StobiSerif Regular" w:hAnsi="StobiSerif Regular"/>
                <w:sz w:val="22"/>
                <w:szCs w:val="22"/>
                <w:lang w:val="ru-RU"/>
              </w:rPr>
            </w:pPr>
            <w:r>
              <w:rPr>
                <w:rFonts w:ascii="StobiSerif Regular" w:hAnsi="StobiSerif Regular"/>
                <w:sz w:val="22"/>
                <w:szCs w:val="22"/>
                <w:lang w:val="ru-RU"/>
              </w:rPr>
              <w:t>Подготовка и спроведување на план за обука на предавачи од Генералниот секретаријат, Секретаријатот за законодавство, Секретаријатот за европски прашања и Министерството за финансии, со што ќе се зголеми нивниот капацитет да спроведуваат обуки во овие области</w:t>
            </w:r>
          </w:p>
        </w:tc>
      </w:tr>
      <w:tr w:rsidR="00984662" w14:paraId="245C7B43" w14:textId="77777777" w:rsidTr="00624D7A">
        <w:tc>
          <w:tcPr>
            <w:tcW w:w="2532" w:type="dxa"/>
            <w:tcBorders>
              <w:top w:val="single" w:sz="4" w:space="0" w:color="auto"/>
              <w:left w:val="single" w:sz="4" w:space="0" w:color="auto"/>
              <w:bottom w:val="single" w:sz="4" w:space="0" w:color="auto"/>
              <w:right w:val="single" w:sz="4" w:space="0" w:color="auto"/>
            </w:tcBorders>
            <w:vAlign w:val="center"/>
          </w:tcPr>
          <w:p w14:paraId="74CCC53D" w14:textId="77777777" w:rsidR="00984662" w:rsidRDefault="00984662" w:rsidP="00624D7A">
            <w:pPr>
              <w:spacing w:after="160" w:line="254" w:lineRule="auto"/>
              <w:jc w:val="left"/>
              <w:rPr>
                <w:rFonts w:ascii="StobiSerif Regular" w:hAnsi="StobiSerif Regular"/>
                <w:sz w:val="22"/>
                <w:szCs w:val="22"/>
                <w:lang w:val="ru-RU"/>
              </w:rPr>
            </w:pPr>
            <w:r>
              <w:rPr>
                <w:rFonts w:ascii="StobiSerif Regular" w:hAnsi="StobiSerif Regular"/>
                <w:sz w:val="22"/>
                <w:szCs w:val="22"/>
              </w:rPr>
              <w:lastRenderedPageBreak/>
              <w:t xml:space="preserve">Недоволна експертиза во органите на државна управа за </w:t>
            </w:r>
            <w:proofErr w:type="spellStart"/>
            <w:r>
              <w:rPr>
                <w:rFonts w:ascii="StobiSerif Regular" w:hAnsi="StobiSerif Regular"/>
                <w:sz w:val="22"/>
                <w:szCs w:val="22"/>
              </w:rPr>
              <w:t>партиципативно</w:t>
            </w:r>
            <w:proofErr w:type="spellEnd"/>
            <w:r>
              <w:rPr>
                <w:rFonts w:ascii="StobiSerif Regular" w:hAnsi="StobiSerif Regular"/>
                <w:sz w:val="22"/>
                <w:szCs w:val="22"/>
              </w:rPr>
              <w:t xml:space="preserve"> креирање политики, поради што постои ризик процесот на консултации само формално да се спроведува, без да се обезбеди суштинско учество на засегнатите страни </w:t>
            </w:r>
          </w:p>
        </w:tc>
        <w:tc>
          <w:tcPr>
            <w:tcW w:w="2228" w:type="dxa"/>
            <w:tcBorders>
              <w:top w:val="single" w:sz="4" w:space="0" w:color="auto"/>
              <w:left w:val="single" w:sz="4" w:space="0" w:color="auto"/>
              <w:bottom w:val="single" w:sz="4" w:space="0" w:color="auto"/>
              <w:right w:val="single" w:sz="4" w:space="0" w:color="auto"/>
            </w:tcBorders>
            <w:vAlign w:val="center"/>
          </w:tcPr>
          <w:p w14:paraId="6EB79BE2" w14:textId="77777777" w:rsidR="00984662" w:rsidRDefault="00984662" w:rsidP="00624D7A">
            <w:pPr>
              <w:jc w:val="center"/>
              <w:rPr>
                <w:rFonts w:ascii="StobiSerif Regular" w:hAnsi="StobiSerif Regular"/>
                <w:sz w:val="22"/>
                <w:szCs w:val="22"/>
              </w:rPr>
            </w:pPr>
            <w:r>
              <w:rPr>
                <w:rFonts w:ascii="StobiSerif Regular" w:hAnsi="StobiSerif Regular"/>
                <w:sz w:val="22"/>
                <w:szCs w:val="22"/>
              </w:rPr>
              <w:t>Средна</w:t>
            </w:r>
          </w:p>
        </w:tc>
        <w:tc>
          <w:tcPr>
            <w:tcW w:w="2184" w:type="dxa"/>
            <w:tcBorders>
              <w:top w:val="single" w:sz="4" w:space="0" w:color="auto"/>
              <w:left w:val="single" w:sz="4" w:space="0" w:color="auto"/>
              <w:bottom w:val="single" w:sz="4" w:space="0" w:color="auto"/>
              <w:right w:val="single" w:sz="4" w:space="0" w:color="auto"/>
            </w:tcBorders>
            <w:vAlign w:val="center"/>
          </w:tcPr>
          <w:p w14:paraId="14E42E81" w14:textId="77777777" w:rsidR="00984662" w:rsidRDefault="00984662" w:rsidP="00624D7A">
            <w:pPr>
              <w:jc w:val="center"/>
              <w:rPr>
                <w:rFonts w:ascii="StobiSerif Regular" w:hAnsi="StobiSerif Regular"/>
                <w:sz w:val="22"/>
                <w:szCs w:val="22"/>
              </w:rPr>
            </w:pPr>
            <w:r>
              <w:rPr>
                <w:rFonts w:ascii="StobiSerif Regular" w:hAnsi="StobiSerif Regular"/>
                <w:sz w:val="22"/>
                <w:szCs w:val="22"/>
              </w:rPr>
              <w:t>Големо</w:t>
            </w:r>
          </w:p>
        </w:tc>
        <w:tc>
          <w:tcPr>
            <w:tcW w:w="2696" w:type="dxa"/>
            <w:tcBorders>
              <w:top w:val="single" w:sz="4" w:space="0" w:color="auto"/>
              <w:left w:val="single" w:sz="4" w:space="0" w:color="auto"/>
              <w:bottom w:val="single" w:sz="4" w:space="0" w:color="auto"/>
              <w:right w:val="single" w:sz="4" w:space="0" w:color="auto"/>
            </w:tcBorders>
          </w:tcPr>
          <w:p w14:paraId="10D8D904" w14:textId="77777777" w:rsidR="00984662" w:rsidRDefault="00984662" w:rsidP="00624D7A">
            <w:pPr>
              <w:spacing w:after="160" w:line="254" w:lineRule="auto"/>
              <w:jc w:val="left"/>
              <w:rPr>
                <w:rFonts w:ascii="StobiSerif Regular" w:hAnsi="StobiSerif Regular"/>
                <w:sz w:val="22"/>
                <w:szCs w:val="22"/>
              </w:rPr>
            </w:pPr>
            <w:r>
              <w:rPr>
                <w:rFonts w:ascii="StobiSerif Regular" w:hAnsi="StobiSerif Regular"/>
                <w:sz w:val="22"/>
                <w:szCs w:val="22"/>
              </w:rPr>
              <w:t xml:space="preserve">- Јакнење на капацитетите на административните службеници за активно вклучување на засегнатите страни во процесот на консултации преку </w:t>
            </w:r>
            <w:proofErr w:type="spellStart"/>
            <w:r>
              <w:rPr>
                <w:rFonts w:ascii="StobiSerif Regular" w:hAnsi="StobiSerif Regular"/>
                <w:sz w:val="22"/>
                <w:szCs w:val="22"/>
              </w:rPr>
              <w:t>генеричката</w:t>
            </w:r>
            <w:proofErr w:type="spellEnd"/>
            <w:r>
              <w:rPr>
                <w:rFonts w:ascii="StobiSerif Regular" w:hAnsi="StobiSerif Regular"/>
                <w:sz w:val="22"/>
                <w:szCs w:val="22"/>
              </w:rPr>
              <w:t xml:space="preserve"> обука „Креирање и дефинирање на политики“</w:t>
            </w:r>
          </w:p>
          <w:p w14:paraId="6A0A333C" w14:textId="77777777" w:rsidR="00984662" w:rsidRPr="00D9258A" w:rsidRDefault="00984662" w:rsidP="00624D7A">
            <w:pPr>
              <w:spacing w:after="160" w:line="254" w:lineRule="auto"/>
              <w:jc w:val="left"/>
              <w:rPr>
                <w:rFonts w:ascii="StobiSerif Regular" w:hAnsi="StobiSerif Regular"/>
                <w:sz w:val="22"/>
                <w:szCs w:val="22"/>
                <w:lang w:val="en-US"/>
              </w:rPr>
            </w:pPr>
            <w:r>
              <w:rPr>
                <w:rFonts w:ascii="StobiSerif Regular" w:hAnsi="StobiSerif Regular"/>
                <w:sz w:val="22"/>
                <w:szCs w:val="22"/>
              </w:rPr>
              <w:t xml:space="preserve">-Зајакната контрола на </w:t>
            </w:r>
            <w:proofErr w:type="spellStart"/>
            <w:r>
              <w:rPr>
                <w:rFonts w:ascii="StobiSerif Regular" w:hAnsi="StobiSerif Regular"/>
                <w:sz w:val="22"/>
                <w:szCs w:val="22"/>
              </w:rPr>
              <w:t>постоечките</w:t>
            </w:r>
            <w:proofErr w:type="spellEnd"/>
            <w:r>
              <w:rPr>
                <w:rFonts w:ascii="StobiSerif Regular" w:hAnsi="StobiSerif Regular"/>
                <w:sz w:val="22"/>
                <w:szCs w:val="22"/>
              </w:rPr>
              <w:t xml:space="preserve"> механизми во Деловникот за работа на Владата и Методологијата за ПВР како: почитување на роковите за спроведување на консултациите, пополнување на извештајот за процесот на консултации и др.</w:t>
            </w:r>
          </w:p>
        </w:tc>
      </w:tr>
    </w:tbl>
    <w:p w14:paraId="469CC2ED" w14:textId="77777777" w:rsidR="0080199C" w:rsidRDefault="0080199C" w:rsidP="00F53A13">
      <w:pPr>
        <w:jc w:val="center"/>
        <w:rPr>
          <w:rFonts w:ascii="StobiSerif Regular" w:hAnsi="StobiSerif Regular"/>
          <w:b/>
          <w:bCs/>
          <w:sz w:val="22"/>
          <w:szCs w:val="22"/>
        </w:rPr>
      </w:pPr>
    </w:p>
    <w:p w14:paraId="406EB7CF" w14:textId="77777777" w:rsidR="0080199C" w:rsidRDefault="0080199C" w:rsidP="00F53A13">
      <w:pPr>
        <w:jc w:val="center"/>
        <w:rPr>
          <w:rFonts w:ascii="StobiSerif Regular" w:hAnsi="StobiSerif Regular"/>
          <w:b/>
          <w:bCs/>
          <w:sz w:val="22"/>
          <w:szCs w:val="22"/>
        </w:rPr>
      </w:pPr>
    </w:p>
    <w:p w14:paraId="75AC6E65" w14:textId="5A4C6941" w:rsidR="00F53A13" w:rsidRDefault="00F53A13" w:rsidP="00F53A13">
      <w:pPr>
        <w:jc w:val="center"/>
        <w:rPr>
          <w:rFonts w:ascii="StobiSerif Regular" w:hAnsi="StobiSerif Regular"/>
          <w:b/>
          <w:bCs/>
        </w:rPr>
      </w:pPr>
      <w:r w:rsidRPr="00FD4651">
        <w:rPr>
          <w:rFonts w:ascii="StobiSerif Regular" w:hAnsi="StobiSerif Regular"/>
          <w:b/>
          <w:bCs/>
          <w:sz w:val="22"/>
          <w:szCs w:val="22"/>
        </w:rPr>
        <w:t>ПРИОРИТЕТНА ОБЛАСТ</w:t>
      </w:r>
      <w:r w:rsidR="0080199C">
        <w:rPr>
          <w:rFonts w:ascii="StobiSerif Regular" w:hAnsi="StobiSerif Regular"/>
          <w:b/>
          <w:bCs/>
          <w:sz w:val="22"/>
          <w:szCs w:val="22"/>
        </w:rPr>
        <w:t xml:space="preserve"> 2</w:t>
      </w:r>
      <w:r w:rsidRPr="00FD4651">
        <w:rPr>
          <w:rFonts w:ascii="StobiSerif Regular" w:hAnsi="StobiSerif Regular"/>
          <w:b/>
          <w:bCs/>
          <w:sz w:val="22"/>
          <w:szCs w:val="22"/>
        </w:rPr>
        <w:t>:</w:t>
      </w:r>
      <w:r w:rsidRPr="00F53A13">
        <w:rPr>
          <w:rFonts w:ascii="StobiSerif Regular" w:hAnsi="StobiSerif Regular"/>
          <w:b/>
          <w:bCs/>
        </w:rPr>
        <w:t xml:space="preserve"> </w:t>
      </w:r>
      <w:r w:rsidRPr="00CD4181">
        <w:rPr>
          <w:rFonts w:ascii="StobiSerif Regular" w:hAnsi="StobiSerif Regular"/>
          <w:b/>
          <w:bCs/>
        </w:rPr>
        <w:t>ЈАВНА СЛУЖБА И УПРАВУВАЊЕ СО ЧОВЕЧКИ РЕСУРСИ</w:t>
      </w:r>
    </w:p>
    <w:p w14:paraId="13C23CC5" w14:textId="59ACA580" w:rsidR="00984662" w:rsidRDefault="00984662" w:rsidP="00984662">
      <w:pPr>
        <w:jc w:val="center"/>
        <w:rPr>
          <w:rFonts w:ascii="StobiSerif Regular" w:hAnsi="StobiSerif Regular"/>
          <w:b/>
          <w:sz w:val="22"/>
          <w:szCs w:val="22"/>
          <w:lang w:val="ru-RU"/>
        </w:rPr>
      </w:pPr>
    </w:p>
    <w:p w14:paraId="6E404ACB" w14:textId="77777777" w:rsidR="00984662" w:rsidRPr="00433C4A" w:rsidRDefault="00984662" w:rsidP="00984662">
      <w:pPr>
        <w:jc w:val="center"/>
        <w:rPr>
          <w:rFonts w:ascii="StobiSerif Regular" w:hAnsi="StobiSerif Regular"/>
          <w:b/>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257"/>
        <w:gridCol w:w="2215"/>
        <w:gridCol w:w="2179"/>
      </w:tblGrid>
      <w:tr w:rsidR="00984662" w:rsidRPr="00433C4A" w14:paraId="272EDA00" w14:textId="77777777" w:rsidTr="007160A1">
        <w:tc>
          <w:tcPr>
            <w:tcW w:w="2409" w:type="dxa"/>
            <w:tcBorders>
              <w:top w:val="single" w:sz="4" w:space="0" w:color="auto"/>
              <w:left w:val="single" w:sz="4" w:space="0" w:color="auto"/>
              <w:bottom w:val="single" w:sz="4" w:space="0" w:color="auto"/>
              <w:right w:val="single" w:sz="4" w:space="0" w:color="auto"/>
            </w:tcBorders>
            <w:hideMark/>
          </w:tcPr>
          <w:p w14:paraId="33822E41" w14:textId="77777777" w:rsidR="00984662" w:rsidRPr="00433C4A" w:rsidRDefault="00984662" w:rsidP="00624D7A">
            <w:pPr>
              <w:spacing w:after="160" w:line="256" w:lineRule="auto"/>
              <w:jc w:val="center"/>
              <w:rPr>
                <w:rFonts w:ascii="StobiSerif Regular" w:hAnsi="StobiSerif Regular"/>
                <w:b/>
                <w:sz w:val="22"/>
                <w:szCs w:val="22"/>
                <w:lang w:val="ru-RU" w:eastAsia="en-US"/>
              </w:rPr>
            </w:pPr>
            <w:r w:rsidRPr="00433C4A">
              <w:rPr>
                <w:rFonts w:ascii="StobiSerif Regular" w:hAnsi="StobiSerif Regular"/>
                <w:b/>
                <w:sz w:val="22"/>
                <w:szCs w:val="22"/>
                <w:lang w:val="ru-RU"/>
              </w:rPr>
              <w:t>РИЗИК</w:t>
            </w:r>
          </w:p>
        </w:tc>
        <w:tc>
          <w:tcPr>
            <w:tcW w:w="2257" w:type="dxa"/>
            <w:tcBorders>
              <w:top w:val="single" w:sz="4" w:space="0" w:color="auto"/>
              <w:left w:val="single" w:sz="4" w:space="0" w:color="auto"/>
              <w:bottom w:val="single" w:sz="4" w:space="0" w:color="auto"/>
              <w:right w:val="single" w:sz="4" w:space="0" w:color="auto"/>
            </w:tcBorders>
            <w:hideMark/>
          </w:tcPr>
          <w:p w14:paraId="24354BA8" w14:textId="77777777" w:rsidR="00984662" w:rsidRPr="00433C4A" w:rsidRDefault="00984662" w:rsidP="00624D7A">
            <w:pPr>
              <w:spacing w:after="160" w:line="256" w:lineRule="auto"/>
              <w:jc w:val="center"/>
              <w:rPr>
                <w:rFonts w:ascii="StobiSerif Regular" w:hAnsi="StobiSerif Regular"/>
                <w:b/>
                <w:sz w:val="22"/>
                <w:szCs w:val="22"/>
                <w:lang w:val="ru-RU" w:eastAsia="en-US"/>
              </w:rPr>
            </w:pPr>
            <w:r w:rsidRPr="00433C4A">
              <w:rPr>
                <w:rFonts w:ascii="StobiSerif Regular" w:hAnsi="StobiSerif Regular"/>
                <w:b/>
                <w:sz w:val="22"/>
                <w:szCs w:val="22"/>
                <w:lang w:val="ru-RU"/>
              </w:rPr>
              <w:t>ВЕРОЈАТНОСТ ЗА НАСТАНУВАЊЕ НА РИЗИКОТ</w:t>
            </w:r>
          </w:p>
        </w:tc>
        <w:tc>
          <w:tcPr>
            <w:tcW w:w="2215" w:type="dxa"/>
            <w:tcBorders>
              <w:top w:val="single" w:sz="4" w:space="0" w:color="auto"/>
              <w:left w:val="single" w:sz="4" w:space="0" w:color="auto"/>
              <w:bottom w:val="single" w:sz="4" w:space="0" w:color="auto"/>
              <w:right w:val="single" w:sz="4" w:space="0" w:color="auto"/>
            </w:tcBorders>
            <w:hideMark/>
          </w:tcPr>
          <w:p w14:paraId="2BA42FEB" w14:textId="77777777" w:rsidR="00984662" w:rsidRPr="00433C4A" w:rsidRDefault="00984662" w:rsidP="00624D7A">
            <w:pPr>
              <w:spacing w:after="160" w:line="256" w:lineRule="auto"/>
              <w:jc w:val="center"/>
              <w:rPr>
                <w:rFonts w:ascii="StobiSerif Regular" w:hAnsi="StobiSerif Regular"/>
                <w:b/>
                <w:sz w:val="22"/>
                <w:szCs w:val="22"/>
                <w:lang w:val="ru-RU" w:eastAsia="en-US"/>
              </w:rPr>
            </w:pPr>
            <w:r w:rsidRPr="00433C4A">
              <w:rPr>
                <w:rFonts w:ascii="StobiSerif Regular" w:hAnsi="StobiSerif Regular"/>
                <w:b/>
                <w:sz w:val="22"/>
                <w:szCs w:val="22"/>
                <w:lang w:val="ru-RU"/>
              </w:rPr>
              <w:t>ВЛИЈАНИЕ НА РИЗИКОТ ВРЗ ОСТВАРУВАЊЕ НА ЦЕЛИТЕ</w:t>
            </w:r>
          </w:p>
        </w:tc>
        <w:tc>
          <w:tcPr>
            <w:tcW w:w="2179" w:type="dxa"/>
            <w:tcBorders>
              <w:top w:val="single" w:sz="4" w:space="0" w:color="auto"/>
              <w:left w:val="single" w:sz="4" w:space="0" w:color="auto"/>
              <w:bottom w:val="single" w:sz="4" w:space="0" w:color="auto"/>
              <w:right w:val="single" w:sz="4" w:space="0" w:color="auto"/>
            </w:tcBorders>
            <w:hideMark/>
          </w:tcPr>
          <w:p w14:paraId="54CF1393" w14:textId="77777777" w:rsidR="00984662" w:rsidRPr="00433C4A" w:rsidRDefault="00984662" w:rsidP="00624D7A">
            <w:pPr>
              <w:spacing w:after="160" w:line="256" w:lineRule="auto"/>
              <w:jc w:val="center"/>
              <w:rPr>
                <w:rFonts w:ascii="StobiSerif Regular" w:hAnsi="StobiSerif Regular"/>
                <w:b/>
                <w:sz w:val="22"/>
                <w:szCs w:val="22"/>
                <w:lang w:val="ru-RU" w:eastAsia="en-US"/>
              </w:rPr>
            </w:pPr>
            <w:r w:rsidRPr="00433C4A">
              <w:rPr>
                <w:rFonts w:ascii="StobiSerif Regular" w:hAnsi="StobiSerif Regular"/>
                <w:b/>
                <w:sz w:val="22"/>
                <w:szCs w:val="22"/>
                <w:lang w:val="ru-RU"/>
              </w:rPr>
              <w:t>МЕРКИ ЗА СПРАВУВАЊЕ СО РИЗИКОТ</w:t>
            </w:r>
          </w:p>
        </w:tc>
      </w:tr>
      <w:tr w:rsidR="00984662" w:rsidRPr="00433C4A" w14:paraId="5D88CF3A" w14:textId="77777777" w:rsidTr="007160A1">
        <w:tc>
          <w:tcPr>
            <w:tcW w:w="2409" w:type="dxa"/>
            <w:tcBorders>
              <w:top w:val="single" w:sz="4" w:space="0" w:color="auto"/>
              <w:left w:val="single" w:sz="4" w:space="0" w:color="auto"/>
              <w:bottom w:val="single" w:sz="4" w:space="0" w:color="auto"/>
              <w:right w:val="single" w:sz="4" w:space="0" w:color="auto"/>
            </w:tcBorders>
            <w:hideMark/>
          </w:tcPr>
          <w:p w14:paraId="4B6E058B" w14:textId="77777777" w:rsidR="00984662" w:rsidRPr="00433C4A" w:rsidRDefault="00984662" w:rsidP="00624D7A">
            <w:pPr>
              <w:spacing w:after="160" w:line="256" w:lineRule="auto"/>
              <w:rPr>
                <w:rFonts w:ascii="StobiSerif Regular" w:hAnsi="StobiSerif Regular"/>
                <w:sz w:val="22"/>
                <w:szCs w:val="22"/>
                <w:lang w:val="ru-RU" w:eastAsia="en-US"/>
              </w:rPr>
            </w:pPr>
            <w:r>
              <w:rPr>
                <w:rFonts w:ascii="StobiSerif Regular" w:hAnsi="StobiSerif Regular"/>
                <w:sz w:val="22"/>
                <w:szCs w:val="22"/>
                <w:lang w:val="ru-RU"/>
              </w:rPr>
              <w:lastRenderedPageBreak/>
              <w:t>Недостаток на  политичка волја за реализација на утврдените мерки за реализација на оваа посебна цел</w:t>
            </w:r>
          </w:p>
        </w:tc>
        <w:tc>
          <w:tcPr>
            <w:tcW w:w="2257" w:type="dxa"/>
            <w:tcBorders>
              <w:top w:val="single" w:sz="4" w:space="0" w:color="auto"/>
              <w:left w:val="single" w:sz="4" w:space="0" w:color="auto"/>
              <w:bottom w:val="single" w:sz="4" w:space="0" w:color="auto"/>
              <w:right w:val="single" w:sz="4" w:space="0" w:color="auto"/>
            </w:tcBorders>
            <w:hideMark/>
          </w:tcPr>
          <w:p w14:paraId="56D793A4" w14:textId="77777777" w:rsidR="00984662" w:rsidRPr="00AF64E7" w:rsidRDefault="00984662" w:rsidP="00624D7A">
            <w:pPr>
              <w:spacing w:after="160" w:line="256" w:lineRule="auto"/>
              <w:rPr>
                <w:rFonts w:ascii="StobiSerif Regular" w:hAnsi="StobiSerif Regular"/>
                <w:sz w:val="22"/>
                <w:szCs w:val="22"/>
                <w:lang w:eastAsia="en-US"/>
              </w:rPr>
            </w:pPr>
            <w:r w:rsidRPr="00AF64E7">
              <w:rPr>
                <w:rFonts w:ascii="StobiSerif Regular" w:hAnsi="StobiSerif Regular"/>
                <w:sz w:val="22"/>
                <w:szCs w:val="22"/>
              </w:rPr>
              <w:t>Голема</w:t>
            </w:r>
          </w:p>
        </w:tc>
        <w:tc>
          <w:tcPr>
            <w:tcW w:w="2215" w:type="dxa"/>
            <w:tcBorders>
              <w:top w:val="single" w:sz="4" w:space="0" w:color="auto"/>
              <w:left w:val="single" w:sz="4" w:space="0" w:color="auto"/>
              <w:bottom w:val="single" w:sz="4" w:space="0" w:color="auto"/>
              <w:right w:val="single" w:sz="4" w:space="0" w:color="auto"/>
            </w:tcBorders>
            <w:hideMark/>
          </w:tcPr>
          <w:p w14:paraId="2747D4DE" w14:textId="77777777" w:rsidR="00984662" w:rsidRPr="00AF64E7" w:rsidRDefault="00984662" w:rsidP="00624D7A">
            <w:pPr>
              <w:spacing w:after="160" w:line="256" w:lineRule="auto"/>
              <w:rPr>
                <w:rFonts w:ascii="StobiSerif Regular" w:hAnsi="StobiSerif Regular"/>
                <w:sz w:val="22"/>
                <w:szCs w:val="22"/>
                <w:lang w:eastAsia="en-US"/>
              </w:rPr>
            </w:pPr>
            <w:r w:rsidRPr="00AF64E7">
              <w:rPr>
                <w:rFonts w:ascii="StobiSerif Regular" w:hAnsi="StobiSerif Regular"/>
                <w:sz w:val="22"/>
                <w:szCs w:val="22"/>
              </w:rPr>
              <w:t>Големо</w:t>
            </w:r>
          </w:p>
        </w:tc>
        <w:tc>
          <w:tcPr>
            <w:tcW w:w="2179" w:type="dxa"/>
            <w:tcBorders>
              <w:top w:val="single" w:sz="4" w:space="0" w:color="auto"/>
              <w:left w:val="single" w:sz="4" w:space="0" w:color="auto"/>
              <w:bottom w:val="single" w:sz="4" w:space="0" w:color="auto"/>
              <w:right w:val="single" w:sz="4" w:space="0" w:color="auto"/>
            </w:tcBorders>
            <w:hideMark/>
          </w:tcPr>
          <w:p w14:paraId="09BE1DC5" w14:textId="24DC6A64" w:rsidR="00984662" w:rsidRPr="00433C4A" w:rsidRDefault="0080199C" w:rsidP="00624D7A">
            <w:pPr>
              <w:spacing w:after="160" w:line="256" w:lineRule="auto"/>
              <w:rPr>
                <w:rFonts w:ascii="StobiSerif Regular" w:hAnsi="StobiSerif Regular"/>
                <w:sz w:val="22"/>
                <w:szCs w:val="22"/>
                <w:lang w:val="ru-RU" w:eastAsia="en-US"/>
              </w:rPr>
            </w:pPr>
            <w:r>
              <w:rPr>
                <w:rFonts w:ascii="StobiSerif Regular" w:hAnsi="StobiSerif Regular"/>
                <w:sz w:val="22"/>
                <w:szCs w:val="22"/>
                <w:lang w:val="ru-RU"/>
              </w:rPr>
              <w:t>В</w:t>
            </w:r>
            <w:r w:rsidR="00984662">
              <w:rPr>
                <w:rFonts w:ascii="StobiSerif Regular" w:hAnsi="StobiSerif Regular"/>
                <w:sz w:val="22"/>
                <w:szCs w:val="22"/>
                <w:lang w:val="ru-RU"/>
              </w:rPr>
              <w:t>лијание на промена на свеста кај носителите на јавни функции, за приоритетот на јавниот пред партискиот интерес</w:t>
            </w:r>
          </w:p>
        </w:tc>
      </w:tr>
      <w:tr w:rsidR="0080199C" w:rsidRPr="00433C4A" w14:paraId="008ABE5E" w14:textId="77777777" w:rsidTr="007160A1">
        <w:tc>
          <w:tcPr>
            <w:tcW w:w="2409" w:type="dxa"/>
            <w:tcBorders>
              <w:top w:val="single" w:sz="4" w:space="0" w:color="auto"/>
              <w:left w:val="single" w:sz="4" w:space="0" w:color="auto"/>
              <w:bottom w:val="single" w:sz="4" w:space="0" w:color="auto"/>
              <w:right w:val="single" w:sz="4" w:space="0" w:color="auto"/>
            </w:tcBorders>
          </w:tcPr>
          <w:p w14:paraId="72E729CF" w14:textId="3CB9F217" w:rsidR="0080199C" w:rsidRDefault="0080199C" w:rsidP="0080199C">
            <w:pPr>
              <w:spacing w:after="160" w:line="256" w:lineRule="auto"/>
              <w:rPr>
                <w:rFonts w:ascii="StobiSerif Regular" w:hAnsi="StobiSerif Regular"/>
                <w:sz w:val="22"/>
                <w:szCs w:val="22"/>
                <w:lang w:val="ru-RU"/>
              </w:rPr>
            </w:pPr>
            <w:r>
              <w:rPr>
                <w:rFonts w:ascii="StobiSerif Regular" w:hAnsi="StobiSerif Regular"/>
                <w:sz w:val="22"/>
                <w:szCs w:val="22"/>
                <w:lang w:val="ru-RU"/>
              </w:rPr>
              <w:t>Водење на лоша кадровска политика   што ќе резултира со натамошен забрзан одлив на професионалниот кадар  од институциите на јавниот сектор</w:t>
            </w:r>
          </w:p>
        </w:tc>
        <w:tc>
          <w:tcPr>
            <w:tcW w:w="2257" w:type="dxa"/>
            <w:tcBorders>
              <w:top w:val="single" w:sz="4" w:space="0" w:color="auto"/>
              <w:left w:val="single" w:sz="4" w:space="0" w:color="auto"/>
              <w:bottom w:val="single" w:sz="4" w:space="0" w:color="auto"/>
              <w:right w:val="single" w:sz="4" w:space="0" w:color="auto"/>
            </w:tcBorders>
          </w:tcPr>
          <w:p w14:paraId="293BE588" w14:textId="44892D81" w:rsidR="0080199C" w:rsidRPr="00AF64E7" w:rsidRDefault="0080199C" w:rsidP="0080199C">
            <w:pPr>
              <w:spacing w:after="160" w:line="256" w:lineRule="auto"/>
              <w:rPr>
                <w:rFonts w:ascii="StobiSerif Regular" w:hAnsi="StobiSerif Regular"/>
                <w:sz w:val="22"/>
                <w:szCs w:val="22"/>
              </w:rPr>
            </w:pPr>
            <w:r w:rsidRPr="00AF64E7">
              <w:rPr>
                <w:rFonts w:ascii="StobiSerif Regular" w:hAnsi="StobiSerif Regular"/>
                <w:sz w:val="22"/>
                <w:szCs w:val="22"/>
              </w:rPr>
              <w:t>Голема</w:t>
            </w:r>
          </w:p>
        </w:tc>
        <w:tc>
          <w:tcPr>
            <w:tcW w:w="2215" w:type="dxa"/>
            <w:tcBorders>
              <w:top w:val="single" w:sz="4" w:space="0" w:color="auto"/>
              <w:left w:val="single" w:sz="4" w:space="0" w:color="auto"/>
              <w:bottom w:val="single" w:sz="4" w:space="0" w:color="auto"/>
              <w:right w:val="single" w:sz="4" w:space="0" w:color="auto"/>
            </w:tcBorders>
          </w:tcPr>
          <w:p w14:paraId="79E16BA5" w14:textId="5DA37CD6" w:rsidR="0080199C" w:rsidRPr="00AF64E7" w:rsidRDefault="0080199C" w:rsidP="0080199C">
            <w:pPr>
              <w:spacing w:after="160" w:line="256" w:lineRule="auto"/>
              <w:rPr>
                <w:rFonts w:ascii="StobiSerif Regular" w:hAnsi="StobiSerif Regular"/>
                <w:sz w:val="22"/>
                <w:szCs w:val="22"/>
              </w:rPr>
            </w:pPr>
            <w:r w:rsidRPr="00AF64E7">
              <w:rPr>
                <w:rFonts w:ascii="StobiSerif Regular" w:hAnsi="StobiSerif Regular"/>
                <w:sz w:val="22"/>
                <w:szCs w:val="22"/>
              </w:rPr>
              <w:t>Големо</w:t>
            </w:r>
          </w:p>
        </w:tc>
        <w:tc>
          <w:tcPr>
            <w:tcW w:w="2179" w:type="dxa"/>
            <w:tcBorders>
              <w:top w:val="single" w:sz="4" w:space="0" w:color="auto"/>
              <w:left w:val="single" w:sz="4" w:space="0" w:color="auto"/>
              <w:bottom w:val="single" w:sz="4" w:space="0" w:color="auto"/>
              <w:right w:val="single" w:sz="4" w:space="0" w:color="auto"/>
            </w:tcBorders>
          </w:tcPr>
          <w:p w14:paraId="63F908D0" w14:textId="77777777" w:rsidR="0080199C" w:rsidRDefault="0080199C" w:rsidP="0080199C">
            <w:pPr>
              <w:spacing w:after="160" w:line="256" w:lineRule="auto"/>
              <w:rPr>
                <w:rFonts w:ascii="StobiSerif Regular" w:hAnsi="StobiSerif Regular"/>
                <w:sz w:val="22"/>
                <w:szCs w:val="22"/>
                <w:lang w:val="ru-RU"/>
              </w:rPr>
            </w:pPr>
            <w:r>
              <w:rPr>
                <w:rFonts w:ascii="StobiSerif Regular" w:hAnsi="StobiSerif Regular"/>
                <w:sz w:val="22"/>
                <w:szCs w:val="22"/>
                <w:lang w:val="ru-RU"/>
              </w:rPr>
              <w:t>- јакнење на меритократијата во водењето на процесите внатре во самите институции на јавниот сектор (вклучување на компетентните кадри од редот на вработените во водењето на процесите, наместо донесените партиски кадри по институциите</w:t>
            </w:r>
          </w:p>
          <w:p w14:paraId="63D4030E" w14:textId="77777777" w:rsidR="0080199C" w:rsidRDefault="0080199C" w:rsidP="0080199C">
            <w:pPr>
              <w:spacing w:after="160" w:line="256" w:lineRule="auto"/>
              <w:rPr>
                <w:rFonts w:ascii="StobiSerif Regular" w:hAnsi="StobiSerif Regular"/>
                <w:sz w:val="22"/>
                <w:szCs w:val="22"/>
                <w:lang w:val="ru-RU"/>
              </w:rPr>
            </w:pPr>
            <w:r>
              <w:rPr>
                <w:rFonts w:ascii="StobiSerif Regular" w:hAnsi="StobiSerif Regular"/>
                <w:sz w:val="22"/>
                <w:szCs w:val="22"/>
                <w:lang w:val="ru-RU"/>
              </w:rPr>
              <w:t>- унапредувањето и наградувањето да се базираат исклучиво и само на мерит принципите</w:t>
            </w:r>
          </w:p>
          <w:p w14:paraId="57EB7F98" w14:textId="578614B7" w:rsidR="0080199C" w:rsidRDefault="0080199C" w:rsidP="0080199C">
            <w:pPr>
              <w:spacing w:after="160" w:line="256" w:lineRule="auto"/>
              <w:rPr>
                <w:rFonts w:ascii="StobiSerif Regular" w:hAnsi="StobiSerif Regular"/>
                <w:sz w:val="22"/>
                <w:szCs w:val="22"/>
                <w:lang w:val="ru-RU"/>
              </w:rPr>
            </w:pPr>
            <w:r>
              <w:rPr>
                <w:rFonts w:ascii="StobiSerif Regular" w:hAnsi="StobiSerif Regular"/>
                <w:sz w:val="22"/>
                <w:szCs w:val="22"/>
                <w:lang w:val="ru-RU"/>
              </w:rPr>
              <w:t>- изнаоѓање на нови нечини и мерки за задржување на квалитетниот и професионален кадар во институциите</w:t>
            </w:r>
          </w:p>
        </w:tc>
      </w:tr>
      <w:tr w:rsidR="0080199C" w:rsidRPr="00433C4A" w14:paraId="6CFD0089" w14:textId="77777777" w:rsidTr="007160A1">
        <w:tc>
          <w:tcPr>
            <w:tcW w:w="2409" w:type="dxa"/>
            <w:tcBorders>
              <w:top w:val="single" w:sz="4" w:space="0" w:color="auto"/>
              <w:left w:val="single" w:sz="4" w:space="0" w:color="auto"/>
              <w:bottom w:val="single" w:sz="4" w:space="0" w:color="auto"/>
              <w:right w:val="single" w:sz="4" w:space="0" w:color="auto"/>
            </w:tcBorders>
          </w:tcPr>
          <w:p w14:paraId="7C32A61F" w14:textId="3B464C16" w:rsidR="0080199C" w:rsidRDefault="0080199C" w:rsidP="0080199C">
            <w:pPr>
              <w:spacing w:after="160" w:line="256" w:lineRule="auto"/>
              <w:rPr>
                <w:rFonts w:ascii="StobiSerif Regular" w:hAnsi="StobiSerif Regular"/>
                <w:sz w:val="22"/>
                <w:szCs w:val="22"/>
                <w:lang w:val="ru-RU"/>
              </w:rPr>
            </w:pPr>
            <w:r>
              <w:rPr>
                <w:rFonts w:ascii="StobiSerif Regular" w:hAnsi="StobiSerif Regular"/>
                <w:sz w:val="22"/>
                <w:szCs w:val="22"/>
                <w:lang w:val="ru-RU" w:eastAsia="en-US"/>
              </w:rPr>
              <w:lastRenderedPageBreak/>
              <w:t xml:space="preserve">Не </w:t>
            </w:r>
            <w:r>
              <w:rPr>
                <w:rFonts w:ascii="StobiSerif Regular" w:hAnsi="StobiSerif Regular"/>
                <w:sz w:val="22"/>
                <w:szCs w:val="22"/>
                <w:lang w:val="ru-RU"/>
              </w:rPr>
              <w:t>формирање на Академија за стручно усовршување на административните службеници во институциите на јавниот сектор</w:t>
            </w:r>
          </w:p>
        </w:tc>
        <w:tc>
          <w:tcPr>
            <w:tcW w:w="2257" w:type="dxa"/>
            <w:tcBorders>
              <w:top w:val="single" w:sz="4" w:space="0" w:color="auto"/>
              <w:left w:val="single" w:sz="4" w:space="0" w:color="auto"/>
              <w:bottom w:val="single" w:sz="4" w:space="0" w:color="auto"/>
              <w:right w:val="single" w:sz="4" w:space="0" w:color="auto"/>
            </w:tcBorders>
          </w:tcPr>
          <w:p w14:paraId="3E1BDEB6" w14:textId="12E1C249" w:rsidR="0080199C" w:rsidRPr="00AF64E7" w:rsidRDefault="0080199C" w:rsidP="0080199C">
            <w:pPr>
              <w:spacing w:after="160" w:line="256" w:lineRule="auto"/>
              <w:rPr>
                <w:rFonts w:ascii="StobiSerif Regular" w:hAnsi="StobiSerif Regular"/>
                <w:sz w:val="22"/>
                <w:szCs w:val="22"/>
              </w:rPr>
            </w:pPr>
            <w:r w:rsidRPr="00AF64E7">
              <w:rPr>
                <w:rFonts w:ascii="StobiSerif Regular" w:hAnsi="StobiSerif Regular"/>
                <w:sz w:val="22"/>
                <w:szCs w:val="22"/>
              </w:rPr>
              <w:t>Среден</w:t>
            </w:r>
          </w:p>
        </w:tc>
        <w:tc>
          <w:tcPr>
            <w:tcW w:w="2215" w:type="dxa"/>
            <w:tcBorders>
              <w:top w:val="single" w:sz="4" w:space="0" w:color="auto"/>
              <w:left w:val="single" w:sz="4" w:space="0" w:color="auto"/>
              <w:bottom w:val="single" w:sz="4" w:space="0" w:color="auto"/>
              <w:right w:val="single" w:sz="4" w:space="0" w:color="auto"/>
            </w:tcBorders>
          </w:tcPr>
          <w:p w14:paraId="4E3BB1E0" w14:textId="79E71946" w:rsidR="0080199C" w:rsidRPr="00AF64E7" w:rsidRDefault="0080199C" w:rsidP="0080199C">
            <w:pPr>
              <w:spacing w:after="160" w:line="256" w:lineRule="auto"/>
              <w:rPr>
                <w:rFonts w:ascii="StobiSerif Regular" w:hAnsi="StobiSerif Regular"/>
                <w:sz w:val="22"/>
                <w:szCs w:val="22"/>
              </w:rPr>
            </w:pPr>
            <w:r w:rsidRPr="00AF64E7">
              <w:rPr>
                <w:rFonts w:ascii="StobiSerif Regular" w:hAnsi="StobiSerif Regular"/>
                <w:sz w:val="22"/>
                <w:szCs w:val="22"/>
              </w:rPr>
              <w:t>Среден</w:t>
            </w:r>
          </w:p>
        </w:tc>
        <w:tc>
          <w:tcPr>
            <w:tcW w:w="2179" w:type="dxa"/>
            <w:tcBorders>
              <w:top w:val="single" w:sz="4" w:space="0" w:color="auto"/>
              <w:left w:val="single" w:sz="4" w:space="0" w:color="auto"/>
              <w:bottom w:val="single" w:sz="4" w:space="0" w:color="auto"/>
              <w:right w:val="single" w:sz="4" w:space="0" w:color="auto"/>
            </w:tcBorders>
          </w:tcPr>
          <w:p w14:paraId="31C17975" w14:textId="77777777" w:rsidR="0080199C" w:rsidRDefault="0080199C" w:rsidP="0080199C">
            <w:pPr>
              <w:spacing w:after="160" w:line="256" w:lineRule="auto"/>
              <w:rPr>
                <w:rFonts w:ascii="StobiSerif Regular" w:hAnsi="StobiSerif Regular"/>
                <w:sz w:val="22"/>
                <w:szCs w:val="22"/>
                <w:lang w:val="ru-RU"/>
              </w:rPr>
            </w:pPr>
            <w:r>
              <w:rPr>
                <w:rFonts w:ascii="StobiSerif Regular" w:hAnsi="StobiSerif Regular"/>
                <w:sz w:val="22"/>
                <w:szCs w:val="22"/>
                <w:lang w:val="ru-RU"/>
              </w:rPr>
              <w:t>- подигање на  свеста кај полтичките елити во земјата за важноста од квалитетен и стручен развој на јавната администрација</w:t>
            </w:r>
          </w:p>
          <w:p w14:paraId="6323BC55" w14:textId="665D4E0D" w:rsidR="0080199C" w:rsidRDefault="0080199C" w:rsidP="0080199C">
            <w:pPr>
              <w:spacing w:after="160" w:line="256" w:lineRule="auto"/>
              <w:rPr>
                <w:rFonts w:ascii="StobiSerif Regular" w:hAnsi="StobiSerif Regular"/>
                <w:sz w:val="22"/>
                <w:szCs w:val="22"/>
                <w:lang w:val="ru-RU"/>
              </w:rPr>
            </w:pPr>
            <w:r>
              <w:rPr>
                <w:rFonts w:ascii="StobiSerif Regular" w:hAnsi="StobiSerif Regular"/>
                <w:sz w:val="22"/>
                <w:szCs w:val="22"/>
                <w:lang w:val="ru-RU"/>
              </w:rPr>
              <w:t xml:space="preserve">- донесување на правна рамка за воспоставување на квалитететен систем за стручно усовршување на јавната администрација, која ќе обезбеди: формално – правно воспоставување  (формирање) на Академија за обуки и обезбедување на почетен капитал за отпочнување со работа, како и утврдување на услови за нејзино натамошно функционирање. </w:t>
            </w:r>
          </w:p>
        </w:tc>
      </w:tr>
      <w:tr w:rsidR="007160A1" w:rsidRPr="00433C4A" w14:paraId="7C071BED" w14:textId="77777777" w:rsidTr="007160A1">
        <w:tc>
          <w:tcPr>
            <w:tcW w:w="2409" w:type="dxa"/>
            <w:tcBorders>
              <w:top w:val="single" w:sz="4" w:space="0" w:color="auto"/>
              <w:left w:val="single" w:sz="4" w:space="0" w:color="auto"/>
              <w:bottom w:val="single" w:sz="4" w:space="0" w:color="auto"/>
              <w:right w:val="single" w:sz="4" w:space="0" w:color="auto"/>
            </w:tcBorders>
          </w:tcPr>
          <w:p w14:paraId="4D75F222" w14:textId="4DC003A5" w:rsidR="007160A1" w:rsidRDefault="007160A1" w:rsidP="007160A1">
            <w:pPr>
              <w:spacing w:after="160" w:line="256" w:lineRule="auto"/>
              <w:rPr>
                <w:rFonts w:ascii="StobiSerif Regular" w:hAnsi="StobiSerif Regular"/>
                <w:sz w:val="22"/>
                <w:szCs w:val="22"/>
                <w:lang w:val="ru-RU"/>
              </w:rPr>
            </w:pPr>
            <w:r>
              <w:rPr>
                <w:rFonts w:ascii="StobiSerif Regular" w:hAnsi="StobiSerif Regular"/>
                <w:sz w:val="22"/>
                <w:szCs w:val="22"/>
                <w:lang w:val="ru-RU"/>
              </w:rPr>
              <w:t xml:space="preserve">Не донесување на </w:t>
            </w:r>
            <w:r w:rsidRPr="00AA5A01">
              <w:rPr>
                <w:rFonts w:ascii="StobiSerif Regular" w:hAnsi="StobiSerif Regular"/>
                <w:sz w:val="22"/>
                <w:szCs w:val="22"/>
                <w:u w:val="single"/>
                <w:lang w:val="ru-RU"/>
              </w:rPr>
              <w:t>целосната</w:t>
            </w:r>
            <w:r>
              <w:rPr>
                <w:rFonts w:ascii="StobiSerif Regular" w:hAnsi="StobiSerif Regular"/>
                <w:sz w:val="22"/>
                <w:szCs w:val="22"/>
                <w:lang w:val="ru-RU"/>
              </w:rPr>
              <w:t xml:space="preserve"> правна рамка потребна за воспоставување на сеопфатен и кохерентен систем </w:t>
            </w:r>
            <w:r>
              <w:rPr>
                <w:rFonts w:ascii="StobiSerif Regular" w:hAnsi="StobiSerif Regular"/>
                <w:sz w:val="22"/>
                <w:szCs w:val="22"/>
                <w:lang w:val="ru-RU"/>
              </w:rPr>
              <w:lastRenderedPageBreak/>
              <w:t>на плати во јавниот сектор</w:t>
            </w:r>
          </w:p>
        </w:tc>
        <w:tc>
          <w:tcPr>
            <w:tcW w:w="2257" w:type="dxa"/>
            <w:tcBorders>
              <w:top w:val="single" w:sz="4" w:space="0" w:color="auto"/>
              <w:left w:val="single" w:sz="4" w:space="0" w:color="auto"/>
              <w:bottom w:val="single" w:sz="4" w:space="0" w:color="auto"/>
              <w:right w:val="single" w:sz="4" w:space="0" w:color="auto"/>
            </w:tcBorders>
          </w:tcPr>
          <w:p w14:paraId="40D6E64E" w14:textId="612AF154" w:rsidR="007160A1" w:rsidRPr="00AF64E7" w:rsidRDefault="007160A1" w:rsidP="007160A1">
            <w:pPr>
              <w:spacing w:after="160" w:line="256" w:lineRule="auto"/>
              <w:rPr>
                <w:rFonts w:ascii="StobiSerif Regular" w:hAnsi="StobiSerif Regular"/>
                <w:sz w:val="22"/>
                <w:szCs w:val="22"/>
              </w:rPr>
            </w:pPr>
            <w:r w:rsidRPr="00AF64E7">
              <w:rPr>
                <w:rFonts w:ascii="StobiSerif Regular" w:hAnsi="StobiSerif Regular"/>
                <w:sz w:val="22"/>
                <w:szCs w:val="22"/>
              </w:rPr>
              <w:lastRenderedPageBreak/>
              <w:t>Средна</w:t>
            </w:r>
          </w:p>
        </w:tc>
        <w:tc>
          <w:tcPr>
            <w:tcW w:w="2215" w:type="dxa"/>
            <w:tcBorders>
              <w:top w:val="single" w:sz="4" w:space="0" w:color="auto"/>
              <w:left w:val="single" w:sz="4" w:space="0" w:color="auto"/>
              <w:bottom w:val="single" w:sz="4" w:space="0" w:color="auto"/>
              <w:right w:val="single" w:sz="4" w:space="0" w:color="auto"/>
            </w:tcBorders>
          </w:tcPr>
          <w:p w14:paraId="0F4E2404" w14:textId="4778FFD4" w:rsidR="007160A1" w:rsidRPr="00AF64E7" w:rsidRDefault="007160A1" w:rsidP="007160A1">
            <w:pPr>
              <w:spacing w:after="160" w:line="256" w:lineRule="auto"/>
              <w:rPr>
                <w:rFonts w:ascii="StobiSerif Regular" w:hAnsi="StobiSerif Regular"/>
                <w:sz w:val="22"/>
                <w:szCs w:val="22"/>
              </w:rPr>
            </w:pPr>
            <w:r w:rsidRPr="00AF64E7">
              <w:rPr>
                <w:rFonts w:ascii="StobiSerif Regular" w:hAnsi="StobiSerif Regular"/>
                <w:sz w:val="22"/>
                <w:szCs w:val="22"/>
              </w:rPr>
              <w:t>Големо</w:t>
            </w:r>
          </w:p>
        </w:tc>
        <w:tc>
          <w:tcPr>
            <w:tcW w:w="2179" w:type="dxa"/>
            <w:tcBorders>
              <w:top w:val="single" w:sz="4" w:space="0" w:color="auto"/>
              <w:left w:val="single" w:sz="4" w:space="0" w:color="auto"/>
              <w:bottom w:val="single" w:sz="4" w:space="0" w:color="auto"/>
              <w:right w:val="single" w:sz="4" w:space="0" w:color="auto"/>
            </w:tcBorders>
          </w:tcPr>
          <w:p w14:paraId="07FB3977" w14:textId="336A3FE3" w:rsidR="007160A1" w:rsidRDefault="007160A1" w:rsidP="007160A1">
            <w:pPr>
              <w:spacing w:after="160" w:line="256" w:lineRule="auto"/>
              <w:rPr>
                <w:rFonts w:ascii="StobiSerif Regular" w:hAnsi="StobiSerif Regular"/>
                <w:sz w:val="22"/>
                <w:szCs w:val="22"/>
                <w:lang w:val="ru-RU"/>
              </w:rPr>
            </w:pPr>
            <w:r>
              <w:rPr>
                <w:rFonts w:ascii="StobiSerif Regular" w:hAnsi="StobiSerif Regular"/>
                <w:sz w:val="22"/>
                <w:szCs w:val="22"/>
                <w:lang w:val="ru-RU"/>
              </w:rPr>
              <w:t xml:space="preserve">- пред се постоење т.е. формирање на политичка воља за воспоставување на еден ваков систем кој што ќе значи крај на </w:t>
            </w:r>
            <w:r>
              <w:rPr>
                <w:rFonts w:ascii="StobiSerif Regular" w:hAnsi="StobiSerif Regular"/>
                <w:sz w:val="22"/>
                <w:szCs w:val="22"/>
                <w:lang w:val="ru-RU"/>
              </w:rPr>
              <w:lastRenderedPageBreak/>
              <w:t>самоволието и волонтаризмот во исплатата на платите во јавниот сектор</w:t>
            </w:r>
          </w:p>
          <w:p w14:paraId="43C87396" w14:textId="4BD84EB7" w:rsidR="007160A1" w:rsidRDefault="007160A1" w:rsidP="007160A1">
            <w:pPr>
              <w:spacing w:after="160" w:line="256" w:lineRule="auto"/>
              <w:rPr>
                <w:rFonts w:ascii="StobiSerif Regular" w:hAnsi="StobiSerif Regular"/>
                <w:sz w:val="22"/>
                <w:szCs w:val="22"/>
                <w:lang w:val="ru-RU"/>
              </w:rPr>
            </w:pPr>
            <w:r>
              <w:rPr>
                <w:rFonts w:ascii="StobiSerif Regular" w:hAnsi="StobiSerif Regular"/>
                <w:sz w:val="22"/>
                <w:szCs w:val="22"/>
                <w:lang w:val="ru-RU"/>
              </w:rPr>
              <w:t>- ангажирање на академската јавност и врвни експерти пред се од земјата кои работат на оваа проблематика и ги имаат потребните знаења од предметната област, чии што решенија после лесно ќе се преточат во закон.</w:t>
            </w:r>
          </w:p>
        </w:tc>
      </w:tr>
    </w:tbl>
    <w:p w14:paraId="6482DAE8" w14:textId="77777777" w:rsidR="00984662" w:rsidRDefault="00984662" w:rsidP="00984662">
      <w:pPr>
        <w:rPr>
          <w:rFonts w:asciiTheme="minorHAnsi" w:hAnsiTheme="minorHAnsi" w:cstheme="minorBidi"/>
          <w:sz w:val="22"/>
          <w:szCs w:val="22"/>
          <w:lang w:eastAsia="en-US"/>
        </w:rPr>
      </w:pPr>
    </w:p>
    <w:p w14:paraId="38F9C181" w14:textId="3D8A4BB8" w:rsidR="00984662" w:rsidRDefault="00984662" w:rsidP="00F53A13">
      <w:pPr>
        <w:pStyle w:val="PrilogLista"/>
        <w:numPr>
          <w:ilvl w:val="0"/>
          <w:numId w:val="0"/>
        </w:numPr>
      </w:pPr>
    </w:p>
    <w:p w14:paraId="63A1B4AF" w14:textId="77777777" w:rsidR="00984662" w:rsidRPr="00CC062A" w:rsidRDefault="00984662" w:rsidP="00984662">
      <w:pPr>
        <w:pStyle w:val="BodyText"/>
        <w:tabs>
          <w:tab w:val="left" w:pos="1440"/>
        </w:tabs>
        <w:spacing w:after="120" w:line="276" w:lineRule="auto"/>
        <w:jc w:val="left"/>
        <w:rPr>
          <w:sz w:val="16"/>
          <w:szCs w:val="16"/>
          <w:lang w:val="sq-AL"/>
        </w:rPr>
      </w:pPr>
      <w:r w:rsidRPr="00B7156D">
        <w:rPr>
          <w:szCs w:val="22"/>
        </w:rPr>
        <w:tab/>
      </w:r>
      <w:r w:rsidRPr="00B7156D">
        <w:rPr>
          <w:szCs w:val="22"/>
        </w:rPr>
        <w:tab/>
      </w:r>
      <w:r w:rsidRPr="00B7156D">
        <w:rPr>
          <w:rFonts w:cs="Calibri"/>
          <w:szCs w:val="22"/>
        </w:rPr>
        <w:t xml:space="preserve">                                                                                                                                                   </w:t>
      </w:r>
    </w:p>
    <w:p w14:paraId="05064F19" w14:textId="77777777" w:rsidR="00F53A13" w:rsidRDefault="00F53A13" w:rsidP="00F53A13">
      <w:pPr>
        <w:tabs>
          <w:tab w:val="left" w:pos="1440"/>
        </w:tabs>
        <w:spacing w:line="276" w:lineRule="auto"/>
        <w:rPr>
          <w:rFonts w:ascii="StobiSerif Regular" w:hAnsi="StobiSerif Regular"/>
          <w:b/>
          <w:bCs/>
          <w:sz w:val="22"/>
          <w:szCs w:val="22"/>
        </w:rPr>
      </w:pPr>
    </w:p>
    <w:p w14:paraId="5E8F4D03" w14:textId="25ACE817" w:rsidR="00F53A13" w:rsidRPr="000E2222" w:rsidRDefault="00F53A13" w:rsidP="00F53A13">
      <w:pPr>
        <w:tabs>
          <w:tab w:val="left" w:pos="1440"/>
        </w:tabs>
        <w:spacing w:line="276" w:lineRule="auto"/>
        <w:rPr>
          <w:rFonts w:cstheme="minorHAnsi"/>
          <w:b/>
          <w:bCs/>
        </w:rPr>
      </w:pPr>
      <w:r w:rsidRPr="00FD4651">
        <w:rPr>
          <w:rFonts w:ascii="StobiSerif Regular" w:hAnsi="StobiSerif Regular"/>
          <w:b/>
          <w:bCs/>
          <w:sz w:val="22"/>
          <w:szCs w:val="22"/>
        </w:rPr>
        <w:t>ПРИОРИТЕТНА ОБЛАСТ</w:t>
      </w:r>
      <w:r w:rsidR="0080199C">
        <w:rPr>
          <w:rFonts w:ascii="StobiSerif Regular" w:hAnsi="StobiSerif Regular"/>
          <w:b/>
          <w:bCs/>
          <w:sz w:val="22"/>
          <w:szCs w:val="22"/>
        </w:rPr>
        <w:t xml:space="preserve"> 3</w:t>
      </w:r>
      <w:r w:rsidRPr="00FD4651">
        <w:rPr>
          <w:rFonts w:ascii="StobiSerif Regular" w:hAnsi="StobiSerif Regular"/>
          <w:b/>
          <w:bCs/>
          <w:sz w:val="22"/>
          <w:szCs w:val="22"/>
        </w:rPr>
        <w:t>:</w:t>
      </w:r>
      <w:r w:rsidRPr="00F53A13">
        <w:rPr>
          <w:rFonts w:cstheme="minorHAnsi"/>
          <w:b/>
          <w:bCs/>
        </w:rPr>
        <w:t xml:space="preserve"> </w:t>
      </w:r>
      <w:r w:rsidRPr="00F53A13">
        <w:rPr>
          <w:rFonts w:ascii="StobiSerif Regular" w:hAnsi="StobiSerif Regular" w:cstheme="minorHAnsi"/>
          <w:b/>
          <w:bCs/>
          <w:sz w:val="22"/>
          <w:szCs w:val="22"/>
        </w:rPr>
        <w:t>ОДГОВОРНОСТ, ОТЧЕТНОСТ И ТРАНСПАРЕНТНОСТ</w:t>
      </w:r>
    </w:p>
    <w:p w14:paraId="7FAE702B" w14:textId="2C5849A0" w:rsidR="00984662" w:rsidRDefault="00984662" w:rsidP="00F53A13">
      <w:pPr>
        <w:jc w:val="center"/>
        <w:rPr>
          <w:rFonts w:ascii="StobiSerif Regular" w:hAnsi="StobiSerif Regular"/>
          <w:b/>
          <w:sz w:val="22"/>
          <w:szCs w:val="22"/>
        </w:rPr>
      </w:pPr>
    </w:p>
    <w:p w14:paraId="6212256B" w14:textId="77777777" w:rsidR="00984662" w:rsidRDefault="00984662" w:rsidP="00984662">
      <w:pPr>
        <w:jc w:val="center"/>
        <w:rPr>
          <w:rFonts w:ascii="StobiSerif Regular" w:hAnsi="StobiSerif Regular"/>
          <w:b/>
          <w:sz w:val="22"/>
          <w:szCs w:val="22"/>
          <w:lang w:val="ru-RU"/>
        </w:rPr>
      </w:pPr>
      <w:r w:rsidRPr="00433C4A">
        <w:rPr>
          <w:rFonts w:ascii="StobiSerif Regular" w:hAnsi="StobiSerif Regular"/>
          <w:b/>
          <w:sz w:val="22"/>
          <w:szCs w:val="22"/>
          <w:lang w:val="ru-RU"/>
        </w:rPr>
        <w:t xml:space="preserve"> </w:t>
      </w:r>
    </w:p>
    <w:p w14:paraId="6D326730" w14:textId="2C3C47CC" w:rsidR="00984662" w:rsidRPr="00F93849" w:rsidRDefault="00984662" w:rsidP="00984662">
      <w:pPr>
        <w:spacing w:after="160" w:line="256" w:lineRule="auto"/>
        <w:rPr>
          <w:rFonts w:asciiTheme="minorHAnsi" w:hAnsiTheme="minorHAnsi" w:cstheme="minorHAnsi"/>
          <w:b/>
          <w:bCs/>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7"/>
        <w:gridCol w:w="1798"/>
        <w:gridCol w:w="1756"/>
        <w:gridCol w:w="2059"/>
      </w:tblGrid>
      <w:tr w:rsidR="00984662" w:rsidRPr="00433C4A" w14:paraId="1495B094" w14:textId="77777777" w:rsidTr="00772765">
        <w:tc>
          <w:tcPr>
            <w:tcW w:w="3447" w:type="dxa"/>
            <w:tcBorders>
              <w:top w:val="single" w:sz="4" w:space="0" w:color="auto"/>
              <w:left w:val="single" w:sz="4" w:space="0" w:color="auto"/>
              <w:bottom w:val="single" w:sz="4" w:space="0" w:color="auto"/>
              <w:right w:val="single" w:sz="4" w:space="0" w:color="auto"/>
            </w:tcBorders>
            <w:hideMark/>
          </w:tcPr>
          <w:p w14:paraId="41AD9D2A" w14:textId="77777777" w:rsidR="00984662" w:rsidRPr="00433C4A" w:rsidRDefault="00984662" w:rsidP="00624D7A">
            <w:pPr>
              <w:spacing w:after="160" w:line="256" w:lineRule="auto"/>
              <w:jc w:val="center"/>
              <w:rPr>
                <w:rFonts w:ascii="StobiSerif Regular" w:hAnsi="StobiSerif Regular"/>
                <w:b/>
                <w:sz w:val="22"/>
                <w:szCs w:val="22"/>
                <w:lang w:val="ru-RU" w:eastAsia="en-US"/>
              </w:rPr>
            </w:pPr>
            <w:r w:rsidRPr="00433C4A">
              <w:rPr>
                <w:rFonts w:ascii="StobiSerif Regular" w:hAnsi="StobiSerif Regular"/>
                <w:b/>
                <w:sz w:val="22"/>
                <w:szCs w:val="22"/>
                <w:lang w:val="ru-RU"/>
              </w:rPr>
              <w:t>РИЗИК</w:t>
            </w:r>
          </w:p>
        </w:tc>
        <w:tc>
          <w:tcPr>
            <w:tcW w:w="1798" w:type="dxa"/>
            <w:tcBorders>
              <w:top w:val="single" w:sz="4" w:space="0" w:color="auto"/>
              <w:left w:val="single" w:sz="4" w:space="0" w:color="auto"/>
              <w:bottom w:val="single" w:sz="4" w:space="0" w:color="auto"/>
              <w:right w:val="single" w:sz="4" w:space="0" w:color="auto"/>
            </w:tcBorders>
            <w:hideMark/>
          </w:tcPr>
          <w:p w14:paraId="3C73307F" w14:textId="77777777" w:rsidR="00984662" w:rsidRPr="00433C4A" w:rsidRDefault="00984662" w:rsidP="00624D7A">
            <w:pPr>
              <w:spacing w:after="160" w:line="256" w:lineRule="auto"/>
              <w:jc w:val="center"/>
              <w:rPr>
                <w:rFonts w:ascii="StobiSerif Regular" w:hAnsi="StobiSerif Regular"/>
                <w:b/>
                <w:sz w:val="22"/>
                <w:szCs w:val="22"/>
                <w:lang w:val="ru-RU" w:eastAsia="en-US"/>
              </w:rPr>
            </w:pPr>
            <w:r w:rsidRPr="00433C4A">
              <w:rPr>
                <w:rFonts w:ascii="StobiSerif Regular" w:hAnsi="StobiSerif Regular"/>
                <w:b/>
                <w:sz w:val="22"/>
                <w:szCs w:val="22"/>
                <w:lang w:val="ru-RU"/>
              </w:rPr>
              <w:t>ВЕРОЈАТНОСТ ЗА НАСТАНУВАЊЕ НА РИЗИКОТ</w:t>
            </w:r>
          </w:p>
        </w:tc>
        <w:tc>
          <w:tcPr>
            <w:tcW w:w="1756" w:type="dxa"/>
            <w:tcBorders>
              <w:top w:val="single" w:sz="4" w:space="0" w:color="auto"/>
              <w:left w:val="single" w:sz="4" w:space="0" w:color="auto"/>
              <w:bottom w:val="single" w:sz="4" w:space="0" w:color="auto"/>
              <w:right w:val="single" w:sz="4" w:space="0" w:color="auto"/>
            </w:tcBorders>
            <w:hideMark/>
          </w:tcPr>
          <w:p w14:paraId="2A18429E" w14:textId="77777777" w:rsidR="00984662" w:rsidRPr="00433C4A" w:rsidRDefault="00984662" w:rsidP="00624D7A">
            <w:pPr>
              <w:spacing w:after="160" w:line="256" w:lineRule="auto"/>
              <w:jc w:val="center"/>
              <w:rPr>
                <w:rFonts w:ascii="StobiSerif Regular" w:hAnsi="StobiSerif Regular"/>
                <w:b/>
                <w:sz w:val="22"/>
                <w:szCs w:val="22"/>
                <w:lang w:val="ru-RU" w:eastAsia="en-US"/>
              </w:rPr>
            </w:pPr>
            <w:r w:rsidRPr="00433C4A">
              <w:rPr>
                <w:rFonts w:ascii="StobiSerif Regular" w:hAnsi="StobiSerif Regular"/>
                <w:b/>
                <w:sz w:val="22"/>
                <w:szCs w:val="22"/>
                <w:lang w:val="ru-RU"/>
              </w:rPr>
              <w:t>ВЛИЈАНИЕ НА РИЗИКОТ ВРЗ ОСТВАРУВАЊЕ НА ЦЕЛИТЕ</w:t>
            </w:r>
          </w:p>
        </w:tc>
        <w:tc>
          <w:tcPr>
            <w:tcW w:w="2059" w:type="dxa"/>
            <w:tcBorders>
              <w:top w:val="single" w:sz="4" w:space="0" w:color="auto"/>
              <w:left w:val="single" w:sz="4" w:space="0" w:color="auto"/>
              <w:bottom w:val="single" w:sz="4" w:space="0" w:color="auto"/>
              <w:right w:val="single" w:sz="4" w:space="0" w:color="auto"/>
            </w:tcBorders>
            <w:hideMark/>
          </w:tcPr>
          <w:p w14:paraId="7FC07000" w14:textId="77777777" w:rsidR="00984662" w:rsidRPr="00433C4A" w:rsidRDefault="00984662" w:rsidP="00624D7A">
            <w:pPr>
              <w:spacing w:after="160" w:line="256" w:lineRule="auto"/>
              <w:jc w:val="center"/>
              <w:rPr>
                <w:rFonts w:ascii="StobiSerif Regular" w:hAnsi="StobiSerif Regular"/>
                <w:b/>
                <w:sz w:val="22"/>
                <w:szCs w:val="22"/>
                <w:lang w:val="ru-RU" w:eastAsia="en-US"/>
              </w:rPr>
            </w:pPr>
            <w:r w:rsidRPr="00433C4A">
              <w:rPr>
                <w:rFonts w:ascii="StobiSerif Regular" w:hAnsi="StobiSerif Regular"/>
                <w:b/>
                <w:sz w:val="22"/>
                <w:szCs w:val="22"/>
                <w:lang w:val="ru-RU"/>
              </w:rPr>
              <w:t>МЕРКИ ЗА СПРАВУВАЊЕ СО РИЗИКОТ</w:t>
            </w:r>
          </w:p>
        </w:tc>
      </w:tr>
      <w:tr w:rsidR="00984662" w:rsidRPr="00433C4A" w14:paraId="30073E19" w14:textId="77777777" w:rsidTr="00772765">
        <w:tc>
          <w:tcPr>
            <w:tcW w:w="3447" w:type="dxa"/>
            <w:tcBorders>
              <w:top w:val="single" w:sz="4" w:space="0" w:color="auto"/>
              <w:left w:val="single" w:sz="4" w:space="0" w:color="auto"/>
              <w:bottom w:val="single" w:sz="4" w:space="0" w:color="auto"/>
              <w:right w:val="single" w:sz="4" w:space="0" w:color="auto"/>
            </w:tcBorders>
            <w:hideMark/>
          </w:tcPr>
          <w:p w14:paraId="4DA3EBEA" w14:textId="77777777" w:rsidR="00984662" w:rsidRPr="00480265" w:rsidRDefault="00984662" w:rsidP="00624D7A">
            <w:pPr>
              <w:spacing w:after="160" w:line="256" w:lineRule="auto"/>
              <w:rPr>
                <w:rFonts w:ascii="StobiSerif Regular" w:hAnsi="StobiSerif Regular"/>
                <w:sz w:val="22"/>
                <w:szCs w:val="22"/>
                <w:lang w:val="ru-RU" w:eastAsia="en-US"/>
              </w:rPr>
            </w:pPr>
            <w:r w:rsidRPr="00480265">
              <w:rPr>
                <w:rFonts w:ascii="StobiSerif Regular" w:hAnsi="StobiSerif Regular" w:cstheme="minorHAnsi"/>
                <w:sz w:val="22"/>
                <w:szCs w:val="22"/>
              </w:rPr>
              <w:t xml:space="preserve">Недонесување на новиот системски закон за </w:t>
            </w:r>
            <w:r w:rsidRPr="00480265">
              <w:rPr>
                <w:rFonts w:ascii="StobiSerif Regular" w:hAnsi="StobiSerif Regular" w:cstheme="minorHAnsi"/>
                <w:sz w:val="22"/>
                <w:szCs w:val="22"/>
              </w:rPr>
              <w:lastRenderedPageBreak/>
              <w:t>организација и работа на органите на државна управа</w:t>
            </w:r>
          </w:p>
        </w:tc>
        <w:tc>
          <w:tcPr>
            <w:tcW w:w="1798" w:type="dxa"/>
            <w:tcBorders>
              <w:top w:val="single" w:sz="4" w:space="0" w:color="auto"/>
              <w:left w:val="single" w:sz="4" w:space="0" w:color="auto"/>
              <w:bottom w:val="single" w:sz="4" w:space="0" w:color="auto"/>
              <w:right w:val="single" w:sz="4" w:space="0" w:color="auto"/>
            </w:tcBorders>
            <w:hideMark/>
          </w:tcPr>
          <w:p w14:paraId="249E5B28" w14:textId="77777777" w:rsidR="00984662" w:rsidRPr="00480265" w:rsidRDefault="00984662" w:rsidP="00624D7A">
            <w:pPr>
              <w:spacing w:after="160" w:line="256" w:lineRule="auto"/>
              <w:rPr>
                <w:rFonts w:ascii="StobiSerif Regular" w:hAnsi="StobiSerif Regular"/>
                <w:sz w:val="22"/>
                <w:szCs w:val="22"/>
                <w:lang w:eastAsia="en-US"/>
              </w:rPr>
            </w:pPr>
            <w:r w:rsidRPr="00480265">
              <w:rPr>
                <w:rFonts w:ascii="StobiSerif Regular" w:hAnsi="StobiSerif Regular" w:cstheme="minorHAnsi"/>
                <w:sz w:val="22"/>
                <w:szCs w:val="22"/>
              </w:rPr>
              <w:lastRenderedPageBreak/>
              <w:t>Средна</w:t>
            </w:r>
          </w:p>
        </w:tc>
        <w:tc>
          <w:tcPr>
            <w:tcW w:w="1756" w:type="dxa"/>
            <w:tcBorders>
              <w:top w:val="single" w:sz="4" w:space="0" w:color="auto"/>
              <w:left w:val="single" w:sz="4" w:space="0" w:color="auto"/>
              <w:bottom w:val="single" w:sz="4" w:space="0" w:color="auto"/>
              <w:right w:val="single" w:sz="4" w:space="0" w:color="auto"/>
            </w:tcBorders>
            <w:hideMark/>
          </w:tcPr>
          <w:p w14:paraId="6A1BDDA1" w14:textId="77777777" w:rsidR="00984662" w:rsidRPr="00480265" w:rsidRDefault="00984662" w:rsidP="00624D7A">
            <w:pPr>
              <w:spacing w:after="160" w:line="256" w:lineRule="auto"/>
              <w:rPr>
                <w:rFonts w:ascii="StobiSerif Regular" w:hAnsi="StobiSerif Regular"/>
                <w:sz w:val="22"/>
                <w:szCs w:val="22"/>
                <w:lang w:eastAsia="en-US"/>
              </w:rPr>
            </w:pPr>
            <w:r w:rsidRPr="00480265">
              <w:rPr>
                <w:rFonts w:ascii="StobiSerif Regular" w:hAnsi="StobiSerif Regular" w:cstheme="minorHAnsi"/>
                <w:sz w:val="22"/>
                <w:szCs w:val="22"/>
              </w:rPr>
              <w:t>Големо</w:t>
            </w:r>
          </w:p>
        </w:tc>
        <w:tc>
          <w:tcPr>
            <w:tcW w:w="2059" w:type="dxa"/>
            <w:tcBorders>
              <w:top w:val="single" w:sz="4" w:space="0" w:color="auto"/>
              <w:left w:val="single" w:sz="4" w:space="0" w:color="auto"/>
              <w:bottom w:val="single" w:sz="4" w:space="0" w:color="auto"/>
              <w:right w:val="single" w:sz="4" w:space="0" w:color="auto"/>
            </w:tcBorders>
            <w:hideMark/>
          </w:tcPr>
          <w:p w14:paraId="4A1249FF" w14:textId="77777777" w:rsidR="00984662" w:rsidRPr="00480265" w:rsidRDefault="00984662" w:rsidP="00624D7A">
            <w:pPr>
              <w:spacing w:after="160" w:line="256" w:lineRule="auto"/>
              <w:rPr>
                <w:rFonts w:ascii="StobiSerif Regular" w:hAnsi="StobiSerif Regular" w:cstheme="minorHAnsi"/>
                <w:sz w:val="22"/>
                <w:szCs w:val="22"/>
              </w:rPr>
            </w:pPr>
            <w:r w:rsidRPr="00480265">
              <w:rPr>
                <w:rFonts w:ascii="StobiSerif Regular" w:hAnsi="StobiSerif Regular" w:cstheme="minorHAnsi"/>
                <w:sz w:val="22"/>
                <w:szCs w:val="22"/>
              </w:rPr>
              <w:t xml:space="preserve">- Активно вклучување на Владата со цел дефинирање на </w:t>
            </w:r>
            <w:r w:rsidRPr="00480265">
              <w:rPr>
                <w:rFonts w:ascii="StobiSerif Regular" w:hAnsi="StobiSerif Regular" w:cstheme="minorHAnsi"/>
                <w:sz w:val="22"/>
                <w:szCs w:val="22"/>
              </w:rPr>
              <w:lastRenderedPageBreak/>
              <w:t>концептот на законот со цел продолжување на понатамошната работа на работна група за законот</w:t>
            </w:r>
          </w:p>
          <w:p w14:paraId="3AAD93AE" w14:textId="77777777" w:rsidR="00984662" w:rsidRPr="00480265" w:rsidRDefault="00984662" w:rsidP="00624D7A">
            <w:pPr>
              <w:spacing w:after="160" w:line="256" w:lineRule="auto"/>
              <w:rPr>
                <w:rFonts w:ascii="StobiSerif Regular" w:hAnsi="StobiSerif Regular"/>
                <w:sz w:val="22"/>
                <w:szCs w:val="22"/>
                <w:lang w:val="ru-RU" w:eastAsia="en-US"/>
              </w:rPr>
            </w:pPr>
            <w:r w:rsidRPr="00480265">
              <w:rPr>
                <w:rFonts w:ascii="StobiSerif Regular" w:hAnsi="StobiSerif Regular" w:cstheme="minorHAnsi"/>
                <w:sz w:val="22"/>
                <w:szCs w:val="22"/>
              </w:rPr>
              <w:t xml:space="preserve">- </w:t>
            </w:r>
            <w:r>
              <w:rPr>
                <w:rFonts w:ascii="StobiSerif Regular" w:hAnsi="StobiSerif Regular" w:cstheme="minorHAnsi"/>
                <w:sz w:val="22"/>
                <w:szCs w:val="22"/>
              </w:rPr>
              <w:t>Обезбедување на политичка волја</w:t>
            </w:r>
            <w:r w:rsidRPr="00480265">
              <w:rPr>
                <w:rFonts w:ascii="StobiSerif Regular" w:hAnsi="StobiSerif Regular" w:cstheme="minorHAnsi"/>
                <w:sz w:val="22"/>
                <w:szCs w:val="22"/>
              </w:rPr>
              <w:t xml:space="preserve"> и неопхо</w:t>
            </w:r>
            <w:r>
              <w:rPr>
                <w:rFonts w:ascii="StobiSerif Regular" w:hAnsi="StobiSerif Regular" w:cstheme="minorHAnsi"/>
                <w:sz w:val="22"/>
                <w:szCs w:val="22"/>
              </w:rPr>
              <w:t xml:space="preserve">дното мнозинство во Собранието </w:t>
            </w:r>
            <w:r w:rsidRPr="00480265">
              <w:rPr>
                <w:rFonts w:ascii="StobiSerif Regular" w:hAnsi="StobiSerif Regular" w:cstheme="minorHAnsi"/>
                <w:sz w:val="22"/>
                <w:szCs w:val="22"/>
              </w:rPr>
              <w:t>потребно за донесување на законот</w:t>
            </w:r>
          </w:p>
        </w:tc>
      </w:tr>
      <w:tr w:rsidR="007160A1" w:rsidRPr="00433C4A" w14:paraId="4DC001B6" w14:textId="77777777" w:rsidTr="00772765">
        <w:tc>
          <w:tcPr>
            <w:tcW w:w="3447" w:type="dxa"/>
            <w:tcBorders>
              <w:top w:val="single" w:sz="4" w:space="0" w:color="auto"/>
              <w:left w:val="single" w:sz="4" w:space="0" w:color="auto"/>
              <w:bottom w:val="single" w:sz="4" w:space="0" w:color="auto"/>
              <w:right w:val="single" w:sz="4" w:space="0" w:color="auto"/>
            </w:tcBorders>
          </w:tcPr>
          <w:p w14:paraId="39E37598" w14:textId="4C906DD6" w:rsidR="007160A1" w:rsidRPr="00480265" w:rsidRDefault="007160A1" w:rsidP="007160A1">
            <w:pPr>
              <w:spacing w:after="160" w:line="256" w:lineRule="auto"/>
              <w:rPr>
                <w:rFonts w:ascii="StobiSerif Regular" w:hAnsi="StobiSerif Regular" w:cstheme="minorHAnsi"/>
                <w:sz w:val="22"/>
                <w:szCs w:val="22"/>
              </w:rPr>
            </w:pPr>
            <w:r w:rsidRPr="00480265">
              <w:rPr>
                <w:rFonts w:ascii="StobiSerif Regular" w:hAnsi="StobiSerif Regular" w:cstheme="minorHAnsi"/>
                <w:sz w:val="22"/>
                <w:szCs w:val="22"/>
              </w:rPr>
              <w:lastRenderedPageBreak/>
              <w:t>Мал процент на усогласени закони со ЗОУП</w:t>
            </w:r>
          </w:p>
        </w:tc>
        <w:tc>
          <w:tcPr>
            <w:tcW w:w="1798" w:type="dxa"/>
            <w:tcBorders>
              <w:top w:val="single" w:sz="4" w:space="0" w:color="auto"/>
              <w:left w:val="single" w:sz="4" w:space="0" w:color="auto"/>
              <w:bottom w:val="single" w:sz="4" w:space="0" w:color="auto"/>
              <w:right w:val="single" w:sz="4" w:space="0" w:color="auto"/>
            </w:tcBorders>
          </w:tcPr>
          <w:p w14:paraId="66232953" w14:textId="5BD29849" w:rsidR="007160A1" w:rsidRPr="00480265" w:rsidRDefault="007160A1" w:rsidP="007160A1">
            <w:pPr>
              <w:spacing w:after="160" w:line="256" w:lineRule="auto"/>
              <w:rPr>
                <w:rFonts w:ascii="StobiSerif Regular" w:hAnsi="StobiSerif Regular" w:cstheme="minorHAnsi"/>
                <w:sz w:val="22"/>
                <w:szCs w:val="22"/>
              </w:rPr>
            </w:pPr>
            <w:r w:rsidRPr="00480265">
              <w:rPr>
                <w:rFonts w:ascii="StobiSerif Regular" w:hAnsi="StobiSerif Regular" w:cstheme="minorHAnsi"/>
                <w:sz w:val="22"/>
                <w:szCs w:val="22"/>
              </w:rPr>
              <w:t>Ниско</w:t>
            </w:r>
          </w:p>
        </w:tc>
        <w:tc>
          <w:tcPr>
            <w:tcW w:w="1756" w:type="dxa"/>
            <w:tcBorders>
              <w:top w:val="single" w:sz="4" w:space="0" w:color="auto"/>
              <w:left w:val="single" w:sz="4" w:space="0" w:color="auto"/>
              <w:bottom w:val="single" w:sz="4" w:space="0" w:color="auto"/>
              <w:right w:val="single" w:sz="4" w:space="0" w:color="auto"/>
            </w:tcBorders>
          </w:tcPr>
          <w:p w14:paraId="6DF53E93" w14:textId="392917CA" w:rsidR="007160A1" w:rsidRPr="00480265" w:rsidRDefault="007160A1" w:rsidP="007160A1">
            <w:pPr>
              <w:spacing w:after="160" w:line="256" w:lineRule="auto"/>
              <w:rPr>
                <w:rFonts w:ascii="StobiSerif Regular" w:hAnsi="StobiSerif Regular" w:cstheme="minorHAnsi"/>
                <w:sz w:val="22"/>
                <w:szCs w:val="22"/>
              </w:rPr>
            </w:pPr>
            <w:r w:rsidRPr="00480265">
              <w:rPr>
                <w:rFonts w:ascii="StobiSerif Regular" w:hAnsi="StobiSerif Regular" w:cstheme="minorHAnsi"/>
                <w:sz w:val="22"/>
                <w:szCs w:val="22"/>
              </w:rPr>
              <w:t>Ниско</w:t>
            </w:r>
          </w:p>
        </w:tc>
        <w:tc>
          <w:tcPr>
            <w:tcW w:w="2059" w:type="dxa"/>
            <w:tcBorders>
              <w:top w:val="single" w:sz="4" w:space="0" w:color="auto"/>
              <w:left w:val="single" w:sz="4" w:space="0" w:color="auto"/>
              <w:bottom w:val="single" w:sz="4" w:space="0" w:color="auto"/>
              <w:right w:val="single" w:sz="4" w:space="0" w:color="auto"/>
            </w:tcBorders>
          </w:tcPr>
          <w:p w14:paraId="7882701A" w14:textId="77777777" w:rsidR="007160A1" w:rsidRPr="00480265" w:rsidRDefault="007160A1" w:rsidP="007160A1">
            <w:pPr>
              <w:spacing w:after="160" w:line="256" w:lineRule="auto"/>
              <w:rPr>
                <w:rFonts w:ascii="StobiSerif Regular" w:hAnsi="StobiSerif Regular" w:cstheme="minorHAnsi"/>
                <w:sz w:val="22"/>
                <w:szCs w:val="22"/>
                <w:lang w:eastAsia="en-US"/>
              </w:rPr>
            </w:pPr>
            <w:r w:rsidRPr="00480265">
              <w:rPr>
                <w:rFonts w:ascii="StobiSerif Regular" w:hAnsi="StobiSerif Regular" w:cstheme="minorHAnsi"/>
                <w:sz w:val="22"/>
                <w:szCs w:val="22"/>
                <w:lang w:eastAsia="en-US"/>
              </w:rPr>
              <w:t>- Подигнување на свеста кај раководната структура во рамките на институциите за потребата и важноста на процесот ан усогласување на законите од нивна надлежност со ЗОУП</w:t>
            </w:r>
          </w:p>
          <w:p w14:paraId="746E7D0B" w14:textId="3F139FD7" w:rsidR="007160A1" w:rsidRPr="00480265" w:rsidRDefault="007160A1" w:rsidP="007160A1">
            <w:pPr>
              <w:spacing w:after="160" w:line="256" w:lineRule="auto"/>
              <w:rPr>
                <w:rFonts w:ascii="StobiSerif Regular" w:hAnsi="StobiSerif Regular" w:cstheme="minorHAnsi"/>
                <w:sz w:val="22"/>
                <w:szCs w:val="22"/>
              </w:rPr>
            </w:pPr>
            <w:r w:rsidRPr="00480265">
              <w:rPr>
                <w:rFonts w:ascii="StobiSerif Regular" w:hAnsi="StobiSerif Regular" w:cstheme="minorHAnsi"/>
                <w:sz w:val="22"/>
                <w:szCs w:val="22"/>
                <w:lang w:eastAsia="en-US"/>
              </w:rPr>
              <w:t xml:space="preserve">- Предвидување на законите што треба да се усогласат во Годишна програма за работа на Владата (на </w:t>
            </w:r>
            <w:r w:rsidRPr="00480265">
              <w:rPr>
                <w:rFonts w:ascii="StobiSerif Regular" w:hAnsi="StobiSerif Regular" w:cstheme="minorHAnsi"/>
                <w:sz w:val="22"/>
                <w:szCs w:val="22"/>
                <w:lang w:eastAsia="en-US"/>
              </w:rPr>
              <w:lastRenderedPageBreak/>
              <w:t xml:space="preserve">иницијатива на претставникот од институцијата-член на </w:t>
            </w:r>
            <w:proofErr w:type="spellStart"/>
            <w:r w:rsidRPr="00480265">
              <w:rPr>
                <w:rFonts w:ascii="StobiSerif Regular" w:hAnsi="StobiSerif Regular" w:cstheme="minorHAnsi"/>
                <w:sz w:val="22"/>
                <w:szCs w:val="22"/>
                <w:lang w:eastAsia="en-US"/>
              </w:rPr>
              <w:t>Меѓуресорското</w:t>
            </w:r>
            <w:proofErr w:type="spellEnd"/>
            <w:r w:rsidRPr="00480265">
              <w:rPr>
                <w:rFonts w:ascii="StobiSerif Regular" w:hAnsi="StobiSerif Regular" w:cstheme="minorHAnsi"/>
                <w:sz w:val="22"/>
                <w:szCs w:val="22"/>
                <w:lang w:eastAsia="en-US"/>
              </w:rPr>
              <w:t xml:space="preserve"> тело)</w:t>
            </w:r>
          </w:p>
        </w:tc>
      </w:tr>
      <w:tr w:rsidR="007160A1" w:rsidRPr="00433C4A" w14:paraId="3B93749B" w14:textId="77777777" w:rsidTr="00772765">
        <w:tc>
          <w:tcPr>
            <w:tcW w:w="3447" w:type="dxa"/>
            <w:tcBorders>
              <w:top w:val="single" w:sz="4" w:space="0" w:color="auto"/>
              <w:left w:val="single" w:sz="4" w:space="0" w:color="auto"/>
              <w:bottom w:val="single" w:sz="4" w:space="0" w:color="auto"/>
              <w:right w:val="single" w:sz="4" w:space="0" w:color="auto"/>
            </w:tcBorders>
          </w:tcPr>
          <w:p w14:paraId="3AD08396" w14:textId="77777777" w:rsidR="007160A1" w:rsidRPr="00480265" w:rsidRDefault="007160A1" w:rsidP="007160A1">
            <w:pPr>
              <w:spacing w:after="160" w:line="256" w:lineRule="auto"/>
              <w:rPr>
                <w:rFonts w:ascii="StobiSerif Regular" w:hAnsi="StobiSerif Regular" w:cstheme="minorHAnsi"/>
                <w:sz w:val="22"/>
                <w:szCs w:val="22"/>
              </w:rPr>
            </w:pPr>
            <w:r w:rsidRPr="00480265">
              <w:rPr>
                <w:rFonts w:ascii="StobiSerif Regular" w:hAnsi="StobiSerif Regular" w:cstheme="minorHAnsi"/>
                <w:sz w:val="22"/>
                <w:szCs w:val="22"/>
              </w:rPr>
              <w:lastRenderedPageBreak/>
              <w:t>Недоволна посетеност на обуките од страна на учесниците од другите градови.</w:t>
            </w:r>
          </w:p>
          <w:p w14:paraId="4FD5A15E" w14:textId="77777777" w:rsidR="007160A1" w:rsidRDefault="007160A1" w:rsidP="007160A1">
            <w:pPr>
              <w:spacing w:after="160" w:line="256" w:lineRule="auto"/>
              <w:rPr>
                <w:rFonts w:ascii="StobiSerif Regular" w:hAnsi="StobiSerif Regular" w:cstheme="minorHAnsi"/>
                <w:sz w:val="22"/>
                <w:szCs w:val="22"/>
              </w:rPr>
            </w:pPr>
          </w:p>
          <w:p w14:paraId="05D6CA95" w14:textId="6FD8161F" w:rsidR="007160A1" w:rsidRPr="00480265" w:rsidRDefault="007160A1" w:rsidP="007160A1">
            <w:pPr>
              <w:spacing w:after="160" w:line="256" w:lineRule="auto"/>
              <w:rPr>
                <w:rFonts w:ascii="StobiSerif Regular" w:hAnsi="StobiSerif Regular" w:cstheme="minorHAnsi"/>
                <w:sz w:val="22"/>
                <w:szCs w:val="22"/>
              </w:rPr>
            </w:pPr>
            <w:r w:rsidRPr="00480265">
              <w:rPr>
                <w:rFonts w:ascii="StobiSerif Regular" w:hAnsi="StobiSerif Regular" w:cstheme="minorHAnsi"/>
                <w:sz w:val="22"/>
                <w:szCs w:val="22"/>
              </w:rPr>
              <w:t>Посетеност на обуките од страна на некомпетентни учесници (вработени кои не водат управна постапка)</w:t>
            </w:r>
          </w:p>
        </w:tc>
        <w:tc>
          <w:tcPr>
            <w:tcW w:w="1798" w:type="dxa"/>
            <w:tcBorders>
              <w:top w:val="single" w:sz="4" w:space="0" w:color="auto"/>
              <w:left w:val="single" w:sz="4" w:space="0" w:color="auto"/>
              <w:bottom w:val="single" w:sz="4" w:space="0" w:color="auto"/>
              <w:right w:val="single" w:sz="4" w:space="0" w:color="auto"/>
            </w:tcBorders>
          </w:tcPr>
          <w:p w14:paraId="1C265E25" w14:textId="0E68097D" w:rsidR="007160A1" w:rsidRPr="00480265" w:rsidRDefault="007160A1" w:rsidP="007160A1">
            <w:pPr>
              <w:spacing w:after="160" w:line="256" w:lineRule="auto"/>
              <w:rPr>
                <w:rFonts w:ascii="StobiSerif Regular" w:hAnsi="StobiSerif Regular" w:cstheme="minorHAnsi"/>
                <w:sz w:val="22"/>
                <w:szCs w:val="22"/>
              </w:rPr>
            </w:pPr>
            <w:r w:rsidRPr="00480265">
              <w:rPr>
                <w:rFonts w:ascii="StobiSerif Regular" w:hAnsi="StobiSerif Regular" w:cstheme="minorHAnsi"/>
                <w:sz w:val="22"/>
                <w:szCs w:val="22"/>
              </w:rPr>
              <w:t>Средно</w:t>
            </w:r>
          </w:p>
        </w:tc>
        <w:tc>
          <w:tcPr>
            <w:tcW w:w="1756" w:type="dxa"/>
            <w:tcBorders>
              <w:top w:val="single" w:sz="4" w:space="0" w:color="auto"/>
              <w:left w:val="single" w:sz="4" w:space="0" w:color="auto"/>
              <w:bottom w:val="single" w:sz="4" w:space="0" w:color="auto"/>
              <w:right w:val="single" w:sz="4" w:space="0" w:color="auto"/>
            </w:tcBorders>
          </w:tcPr>
          <w:p w14:paraId="06F664C5" w14:textId="4840BB61" w:rsidR="007160A1" w:rsidRPr="00480265" w:rsidRDefault="007160A1" w:rsidP="007160A1">
            <w:pPr>
              <w:spacing w:after="160" w:line="256" w:lineRule="auto"/>
              <w:rPr>
                <w:rFonts w:ascii="StobiSerif Regular" w:hAnsi="StobiSerif Regular" w:cstheme="minorHAnsi"/>
                <w:sz w:val="22"/>
                <w:szCs w:val="22"/>
              </w:rPr>
            </w:pPr>
            <w:r w:rsidRPr="00480265">
              <w:rPr>
                <w:rFonts w:ascii="StobiSerif Regular" w:hAnsi="StobiSerif Regular" w:cstheme="minorHAnsi"/>
                <w:sz w:val="22"/>
                <w:szCs w:val="22"/>
              </w:rPr>
              <w:t>Средно</w:t>
            </w:r>
          </w:p>
        </w:tc>
        <w:tc>
          <w:tcPr>
            <w:tcW w:w="2059" w:type="dxa"/>
            <w:tcBorders>
              <w:top w:val="single" w:sz="4" w:space="0" w:color="auto"/>
              <w:left w:val="single" w:sz="4" w:space="0" w:color="auto"/>
              <w:bottom w:val="single" w:sz="4" w:space="0" w:color="auto"/>
              <w:right w:val="single" w:sz="4" w:space="0" w:color="auto"/>
            </w:tcBorders>
          </w:tcPr>
          <w:p w14:paraId="76615033" w14:textId="77777777" w:rsidR="007160A1" w:rsidRPr="00480265" w:rsidRDefault="007160A1" w:rsidP="007160A1">
            <w:pPr>
              <w:spacing w:after="160" w:line="256" w:lineRule="auto"/>
              <w:rPr>
                <w:rFonts w:ascii="StobiSerif Regular" w:hAnsi="StobiSerif Regular" w:cstheme="minorHAnsi"/>
                <w:sz w:val="22"/>
                <w:szCs w:val="22"/>
                <w:lang w:eastAsia="en-US"/>
              </w:rPr>
            </w:pPr>
            <w:r w:rsidRPr="00480265">
              <w:rPr>
                <w:rFonts w:ascii="StobiSerif Regular" w:hAnsi="StobiSerif Regular" w:cstheme="minorHAnsi"/>
                <w:sz w:val="22"/>
                <w:szCs w:val="22"/>
                <w:lang w:eastAsia="en-US"/>
              </w:rPr>
              <w:t xml:space="preserve">- Овозможување на онлајн обуки за учесниците кои имаат желба за обука, но институциите не можат да овозможат обука со физичко присуство во Скопје. </w:t>
            </w:r>
          </w:p>
          <w:p w14:paraId="35849D4D" w14:textId="0E4EBE2D" w:rsidR="007160A1" w:rsidRPr="00480265" w:rsidRDefault="007160A1" w:rsidP="007160A1">
            <w:pPr>
              <w:spacing w:after="160" w:line="256" w:lineRule="auto"/>
              <w:rPr>
                <w:rFonts w:ascii="StobiSerif Regular" w:hAnsi="StobiSerif Regular" w:cstheme="minorHAnsi"/>
                <w:sz w:val="22"/>
                <w:szCs w:val="22"/>
                <w:lang w:eastAsia="en-US"/>
              </w:rPr>
            </w:pPr>
            <w:r w:rsidRPr="00480265">
              <w:rPr>
                <w:rFonts w:ascii="StobiSerif Regular" w:hAnsi="StobiSerif Regular" w:cstheme="minorHAnsi"/>
                <w:sz w:val="22"/>
                <w:szCs w:val="22"/>
                <w:lang w:eastAsia="en-US"/>
              </w:rPr>
              <w:t xml:space="preserve">- Преку членот во </w:t>
            </w:r>
            <w:proofErr w:type="spellStart"/>
            <w:r w:rsidRPr="00480265">
              <w:rPr>
                <w:rFonts w:ascii="StobiSerif Regular" w:hAnsi="StobiSerif Regular" w:cstheme="minorHAnsi"/>
                <w:sz w:val="22"/>
                <w:szCs w:val="22"/>
                <w:lang w:eastAsia="en-US"/>
              </w:rPr>
              <w:t>Меѓуресорското</w:t>
            </w:r>
            <w:proofErr w:type="spellEnd"/>
            <w:r w:rsidRPr="00480265">
              <w:rPr>
                <w:rFonts w:ascii="StobiSerif Regular" w:hAnsi="StobiSerif Regular" w:cstheme="minorHAnsi"/>
                <w:sz w:val="22"/>
                <w:szCs w:val="22"/>
                <w:lang w:eastAsia="en-US"/>
              </w:rPr>
              <w:t xml:space="preserve"> тело од соодветната институција иницирање на поголема посетеност на лица кои водат управна постапка</w:t>
            </w:r>
          </w:p>
        </w:tc>
      </w:tr>
      <w:tr w:rsidR="007160A1" w:rsidRPr="00433C4A" w14:paraId="52D7F840" w14:textId="77777777" w:rsidTr="00772765">
        <w:tc>
          <w:tcPr>
            <w:tcW w:w="3447" w:type="dxa"/>
            <w:tcBorders>
              <w:top w:val="single" w:sz="4" w:space="0" w:color="auto"/>
              <w:left w:val="single" w:sz="4" w:space="0" w:color="auto"/>
              <w:bottom w:val="single" w:sz="4" w:space="0" w:color="auto"/>
              <w:right w:val="single" w:sz="4" w:space="0" w:color="auto"/>
            </w:tcBorders>
          </w:tcPr>
          <w:p w14:paraId="34AFACE5" w14:textId="354C3CD4" w:rsidR="007160A1" w:rsidRPr="00480265" w:rsidRDefault="007160A1" w:rsidP="007160A1">
            <w:pPr>
              <w:spacing w:after="160" w:line="256" w:lineRule="auto"/>
              <w:rPr>
                <w:rFonts w:ascii="StobiSerif Regular" w:hAnsi="StobiSerif Regular" w:cstheme="minorHAnsi"/>
                <w:sz w:val="22"/>
                <w:szCs w:val="22"/>
              </w:rPr>
            </w:pPr>
            <w:r w:rsidRPr="00480265">
              <w:rPr>
                <w:rFonts w:ascii="StobiSerif Regular" w:hAnsi="StobiSerif Regular" w:cstheme="minorHAnsi"/>
                <w:sz w:val="22"/>
                <w:szCs w:val="22"/>
              </w:rPr>
              <w:t>Недонесување на измените и дополнувањата во законски предвидениот рок, со кои ќе се утврди водење на управна статистика</w:t>
            </w:r>
          </w:p>
        </w:tc>
        <w:tc>
          <w:tcPr>
            <w:tcW w:w="1798" w:type="dxa"/>
            <w:tcBorders>
              <w:top w:val="single" w:sz="4" w:space="0" w:color="auto"/>
              <w:left w:val="single" w:sz="4" w:space="0" w:color="auto"/>
              <w:bottom w:val="single" w:sz="4" w:space="0" w:color="auto"/>
              <w:right w:val="single" w:sz="4" w:space="0" w:color="auto"/>
            </w:tcBorders>
          </w:tcPr>
          <w:p w14:paraId="52889EB6" w14:textId="48C66037" w:rsidR="007160A1" w:rsidRPr="00480265" w:rsidRDefault="007160A1" w:rsidP="007160A1">
            <w:pPr>
              <w:spacing w:after="160" w:line="256" w:lineRule="auto"/>
              <w:rPr>
                <w:rFonts w:ascii="StobiSerif Regular" w:hAnsi="StobiSerif Regular" w:cstheme="minorHAnsi"/>
                <w:sz w:val="22"/>
                <w:szCs w:val="22"/>
              </w:rPr>
            </w:pPr>
            <w:r w:rsidRPr="00480265">
              <w:rPr>
                <w:rFonts w:ascii="StobiSerif Regular" w:hAnsi="StobiSerif Regular" w:cstheme="minorHAnsi"/>
                <w:sz w:val="22"/>
                <w:szCs w:val="22"/>
              </w:rPr>
              <w:t>Средно</w:t>
            </w:r>
          </w:p>
        </w:tc>
        <w:tc>
          <w:tcPr>
            <w:tcW w:w="1756" w:type="dxa"/>
            <w:tcBorders>
              <w:top w:val="single" w:sz="4" w:space="0" w:color="auto"/>
              <w:left w:val="single" w:sz="4" w:space="0" w:color="auto"/>
              <w:bottom w:val="single" w:sz="4" w:space="0" w:color="auto"/>
              <w:right w:val="single" w:sz="4" w:space="0" w:color="auto"/>
            </w:tcBorders>
          </w:tcPr>
          <w:p w14:paraId="5E3D9DEF" w14:textId="7D65F797" w:rsidR="007160A1" w:rsidRPr="00480265" w:rsidRDefault="007160A1" w:rsidP="007160A1">
            <w:pPr>
              <w:spacing w:after="160" w:line="256" w:lineRule="auto"/>
              <w:rPr>
                <w:rFonts w:ascii="StobiSerif Regular" w:hAnsi="StobiSerif Regular" w:cstheme="minorHAnsi"/>
                <w:sz w:val="22"/>
                <w:szCs w:val="22"/>
              </w:rPr>
            </w:pPr>
            <w:r w:rsidRPr="00480265">
              <w:rPr>
                <w:rFonts w:ascii="StobiSerif Regular" w:hAnsi="StobiSerif Regular" w:cstheme="minorHAnsi"/>
                <w:sz w:val="22"/>
                <w:szCs w:val="22"/>
              </w:rPr>
              <w:t>Средно</w:t>
            </w:r>
          </w:p>
        </w:tc>
        <w:tc>
          <w:tcPr>
            <w:tcW w:w="2059" w:type="dxa"/>
            <w:tcBorders>
              <w:top w:val="single" w:sz="4" w:space="0" w:color="auto"/>
              <w:left w:val="single" w:sz="4" w:space="0" w:color="auto"/>
              <w:bottom w:val="single" w:sz="4" w:space="0" w:color="auto"/>
              <w:right w:val="single" w:sz="4" w:space="0" w:color="auto"/>
            </w:tcBorders>
          </w:tcPr>
          <w:p w14:paraId="7CE0B04A" w14:textId="4BD86559" w:rsidR="007160A1" w:rsidRPr="00480265" w:rsidRDefault="007160A1" w:rsidP="007160A1">
            <w:pPr>
              <w:spacing w:after="160" w:line="256" w:lineRule="auto"/>
              <w:rPr>
                <w:rFonts w:ascii="StobiSerif Regular" w:hAnsi="StobiSerif Regular" w:cstheme="minorHAnsi"/>
                <w:sz w:val="22"/>
                <w:szCs w:val="22"/>
                <w:lang w:eastAsia="en-US"/>
              </w:rPr>
            </w:pPr>
            <w:r w:rsidRPr="00480265">
              <w:rPr>
                <w:rFonts w:ascii="StobiSerif Regular" w:hAnsi="StobiSerif Regular" w:cstheme="minorHAnsi"/>
                <w:sz w:val="22"/>
                <w:szCs w:val="22"/>
                <w:lang w:eastAsia="en-US"/>
              </w:rPr>
              <w:t xml:space="preserve">Обезбедување на политичка волја, и неопходното мнозинство во Собранието, потребно за донесување на </w:t>
            </w:r>
            <w:r w:rsidRPr="00480265">
              <w:rPr>
                <w:rFonts w:ascii="StobiSerif Regular" w:hAnsi="StobiSerif Regular" w:cstheme="minorHAnsi"/>
                <w:sz w:val="22"/>
                <w:szCs w:val="22"/>
                <w:lang w:eastAsia="en-US"/>
              </w:rPr>
              <w:lastRenderedPageBreak/>
              <w:t>измените и дополнувањата</w:t>
            </w:r>
          </w:p>
        </w:tc>
      </w:tr>
      <w:tr w:rsidR="007160A1" w:rsidRPr="00433C4A" w14:paraId="46990604" w14:textId="77777777" w:rsidTr="00772765">
        <w:tc>
          <w:tcPr>
            <w:tcW w:w="3447" w:type="dxa"/>
            <w:tcBorders>
              <w:top w:val="single" w:sz="4" w:space="0" w:color="auto"/>
              <w:left w:val="single" w:sz="4" w:space="0" w:color="auto"/>
              <w:bottom w:val="single" w:sz="4" w:space="0" w:color="auto"/>
              <w:right w:val="single" w:sz="4" w:space="0" w:color="auto"/>
            </w:tcBorders>
          </w:tcPr>
          <w:p w14:paraId="46569ED6" w14:textId="03BD0982" w:rsidR="007160A1" w:rsidRPr="00480265" w:rsidRDefault="007160A1" w:rsidP="007160A1">
            <w:pPr>
              <w:spacing w:after="160" w:line="256" w:lineRule="auto"/>
              <w:rPr>
                <w:rFonts w:ascii="StobiSerif Regular" w:hAnsi="StobiSerif Regular" w:cstheme="minorHAnsi"/>
                <w:sz w:val="22"/>
                <w:szCs w:val="22"/>
              </w:rPr>
            </w:pPr>
            <w:r>
              <w:rPr>
                <w:rFonts w:ascii="StobiSerif Regular" w:hAnsi="StobiSerif Regular"/>
                <w:sz w:val="22"/>
                <w:szCs w:val="22"/>
                <w:lang w:val="ru-RU" w:eastAsia="en-US"/>
              </w:rPr>
              <w:lastRenderedPageBreak/>
              <w:t>Н</w:t>
            </w:r>
            <w:r w:rsidRPr="00DC6780">
              <w:rPr>
                <w:rFonts w:ascii="StobiSerif Regular" w:hAnsi="StobiSerif Regular"/>
                <w:sz w:val="22"/>
                <w:szCs w:val="22"/>
                <w:lang w:val="ru-RU" w:eastAsia="en-US"/>
              </w:rPr>
              <w:t>еодржливост на капацитетите за спроведување на обуките и финансиски средс</w:t>
            </w:r>
            <w:proofErr w:type="spellStart"/>
            <w:r w:rsidRPr="00DC6780">
              <w:rPr>
                <w:rFonts w:ascii="StobiSerif Regular" w:hAnsi="StobiSerif Regular"/>
                <w:sz w:val="22"/>
                <w:szCs w:val="22"/>
                <w:lang w:eastAsia="en-US"/>
              </w:rPr>
              <w:t>тва</w:t>
            </w:r>
            <w:proofErr w:type="spellEnd"/>
          </w:p>
        </w:tc>
        <w:tc>
          <w:tcPr>
            <w:tcW w:w="1798" w:type="dxa"/>
            <w:tcBorders>
              <w:top w:val="single" w:sz="4" w:space="0" w:color="auto"/>
              <w:left w:val="single" w:sz="4" w:space="0" w:color="auto"/>
              <w:bottom w:val="single" w:sz="4" w:space="0" w:color="auto"/>
              <w:right w:val="single" w:sz="4" w:space="0" w:color="auto"/>
            </w:tcBorders>
          </w:tcPr>
          <w:p w14:paraId="041849A5" w14:textId="22DCD5EC" w:rsidR="007160A1" w:rsidRPr="00480265" w:rsidRDefault="007160A1" w:rsidP="007160A1">
            <w:pPr>
              <w:spacing w:after="160" w:line="256" w:lineRule="auto"/>
              <w:rPr>
                <w:rFonts w:ascii="StobiSerif Regular" w:hAnsi="StobiSerif Regular" w:cstheme="minorHAnsi"/>
                <w:sz w:val="22"/>
                <w:szCs w:val="22"/>
              </w:rPr>
            </w:pPr>
            <w:r w:rsidRPr="00DC6780">
              <w:rPr>
                <w:rFonts w:ascii="StobiSerif Regular" w:hAnsi="StobiSerif Regular" w:cstheme="minorHAnsi"/>
                <w:sz w:val="22"/>
                <w:szCs w:val="22"/>
              </w:rPr>
              <w:t xml:space="preserve">Средно </w:t>
            </w:r>
          </w:p>
        </w:tc>
        <w:tc>
          <w:tcPr>
            <w:tcW w:w="1756" w:type="dxa"/>
            <w:tcBorders>
              <w:top w:val="single" w:sz="4" w:space="0" w:color="auto"/>
              <w:left w:val="single" w:sz="4" w:space="0" w:color="auto"/>
              <w:bottom w:val="single" w:sz="4" w:space="0" w:color="auto"/>
              <w:right w:val="single" w:sz="4" w:space="0" w:color="auto"/>
            </w:tcBorders>
          </w:tcPr>
          <w:p w14:paraId="32CDE083" w14:textId="0D078CF7" w:rsidR="007160A1" w:rsidRPr="00480265" w:rsidRDefault="007160A1" w:rsidP="007160A1">
            <w:pPr>
              <w:spacing w:after="160" w:line="256" w:lineRule="auto"/>
              <w:rPr>
                <w:rFonts w:ascii="StobiSerif Regular" w:hAnsi="StobiSerif Regular" w:cstheme="minorHAnsi"/>
                <w:sz w:val="22"/>
                <w:szCs w:val="22"/>
              </w:rPr>
            </w:pPr>
            <w:r w:rsidRPr="00DC6780">
              <w:rPr>
                <w:rFonts w:ascii="StobiSerif Regular" w:hAnsi="StobiSerif Regular" w:cstheme="minorHAnsi"/>
                <w:sz w:val="22"/>
                <w:szCs w:val="22"/>
              </w:rPr>
              <w:t xml:space="preserve">Средно </w:t>
            </w:r>
          </w:p>
        </w:tc>
        <w:tc>
          <w:tcPr>
            <w:tcW w:w="2059" w:type="dxa"/>
            <w:tcBorders>
              <w:top w:val="single" w:sz="4" w:space="0" w:color="auto"/>
              <w:left w:val="single" w:sz="4" w:space="0" w:color="auto"/>
              <w:bottom w:val="single" w:sz="4" w:space="0" w:color="auto"/>
              <w:right w:val="single" w:sz="4" w:space="0" w:color="auto"/>
            </w:tcBorders>
          </w:tcPr>
          <w:p w14:paraId="1F2AC374" w14:textId="75B7851E" w:rsidR="007160A1" w:rsidRPr="00480265" w:rsidRDefault="007160A1" w:rsidP="007160A1">
            <w:pPr>
              <w:spacing w:after="160" w:line="256" w:lineRule="auto"/>
              <w:rPr>
                <w:rFonts w:ascii="StobiSerif Regular" w:hAnsi="StobiSerif Regular" w:cstheme="minorHAnsi"/>
                <w:sz w:val="22"/>
                <w:szCs w:val="22"/>
                <w:lang w:eastAsia="en-US"/>
              </w:rPr>
            </w:pPr>
            <w:r w:rsidRPr="00DC6780">
              <w:rPr>
                <w:rFonts w:ascii="StobiSerif Regular" w:hAnsi="StobiSerif Regular"/>
                <w:sz w:val="22"/>
                <w:szCs w:val="22"/>
                <w:lang w:val="ru-RU" w:eastAsia="en-US"/>
              </w:rPr>
              <w:t xml:space="preserve">континуирано создавање на нови капацитети за обука и обезбедување на средства од Буџетот на РСМ </w:t>
            </w:r>
          </w:p>
        </w:tc>
      </w:tr>
      <w:tr w:rsidR="007160A1" w:rsidRPr="00433C4A" w14:paraId="1E54F7B5" w14:textId="77777777" w:rsidTr="00772765">
        <w:tc>
          <w:tcPr>
            <w:tcW w:w="3447" w:type="dxa"/>
            <w:tcBorders>
              <w:top w:val="single" w:sz="4" w:space="0" w:color="auto"/>
              <w:left w:val="single" w:sz="4" w:space="0" w:color="auto"/>
              <w:bottom w:val="single" w:sz="4" w:space="0" w:color="auto"/>
              <w:right w:val="single" w:sz="4" w:space="0" w:color="auto"/>
            </w:tcBorders>
          </w:tcPr>
          <w:p w14:paraId="76463E4F" w14:textId="77777777" w:rsidR="007160A1" w:rsidRPr="001C5580" w:rsidRDefault="007160A1" w:rsidP="007160A1">
            <w:pPr>
              <w:spacing w:after="160" w:line="256" w:lineRule="auto"/>
              <w:rPr>
                <w:rFonts w:ascii="StobiSerif Regular" w:hAnsi="StobiSerif Regular" w:cstheme="minorHAnsi"/>
                <w:sz w:val="22"/>
                <w:szCs w:val="22"/>
              </w:rPr>
            </w:pPr>
            <w:r w:rsidRPr="001C5580">
              <w:rPr>
                <w:rFonts w:ascii="StobiSerif Regular" w:hAnsi="StobiSerif Regular" w:cstheme="minorHAnsi"/>
                <w:sz w:val="22"/>
                <w:szCs w:val="22"/>
              </w:rPr>
              <w:t>Отсуство на политичка волја за потпишување на Политиката за интегритет и имплементација на елементите од системот на интегритет</w:t>
            </w:r>
          </w:p>
          <w:p w14:paraId="6411CE63" w14:textId="77777777" w:rsidR="007160A1" w:rsidRDefault="007160A1" w:rsidP="007160A1">
            <w:pPr>
              <w:spacing w:after="160" w:line="256" w:lineRule="auto"/>
              <w:rPr>
                <w:rFonts w:ascii="StobiSerif Regular" w:hAnsi="StobiSerif Regular"/>
                <w:sz w:val="22"/>
                <w:szCs w:val="22"/>
                <w:lang w:val="ru-RU" w:eastAsia="en-US"/>
              </w:rPr>
            </w:pPr>
          </w:p>
        </w:tc>
        <w:tc>
          <w:tcPr>
            <w:tcW w:w="1798" w:type="dxa"/>
            <w:tcBorders>
              <w:top w:val="single" w:sz="4" w:space="0" w:color="auto"/>
              <w:left w:val="single" w:sz="4" w:space="0" w:color="auto"/>
              <w:bottom w:val="single" w:sz="4" w:space="0" w:color="auto"/>
              <w:right w:val="single" w:sz="4" w:space="0" w:color="auto"/>
            </w:tcBorders>
          </w:tcPr>
          <w:p w14:paraId="1A278B5A" w14:textId="7FD143B9" w:rsidR="007160A1" w:rsidRPr="00DC6780" w:rsidRDefault="007160A1" w:rsidP="007160A1">
            <w:pPr>
              <w:spacing w:after="160" w:line="256" w:lineRule="auto"/>
              <w:rPr>
                <w:rFonts w:ascii="StobiSerif Regular" w:hAnsi="StobiSerif Regular" w:cstheme="minorHAnsi"/>
                <w:sz w:val="22"/>
                <w:szCs w:val="22"/>
              </w:rPr>
            </w:pPr>
            <w:r w:rsidRPr="001C5580">
              <w:rPr>
                <w:rFonts w:ascii="StobiSerif Regular" w:hAnsi="StobiSerif Regular" w:cstheme="minorHAnsi"/>
                <w:sz w:val="22"/>
                <w:szCs w:val="22"/>
              </w:rPr>
              <w:t>Средно</w:t>
            </w:r>
          </w:p>
        </w:tc>
        <w:tc>
          <w:tcPr>
            <w:tcW w:w="1756" w:type="dxa"/>
            <w:tcBorders>
              <w:top w:val="single" w:sz="4" w:space="0" w:color="auto"/>
              <w:left w:val="single" w:sz="4" w:space="0" w:color="auto"/>
              <w:bottom w:val="single" w:sz="4" w:space="0" w:color="auto"/>
              <w:right w:val="single" w:sz="4" w:space="0" w:color="auto"/>
            </w:tcBorders>
          </w:tcPr>
          <w:p w14:paraId="7A19B7EF" w14:textId="1A20071F" w:rsidR="007160A1" w:rsidRPr="00DC6780" w:rsidRDefault="007160A1" w:rsidP="007160A1">
            <w:pPr>
              <w:spacing w:after="160" w:line="256" w:lineRule="auto"/>
              <w:rPr>
                <w:rFonts w:ascii="StobiSerif Regular" w:hAnsi="StobiSerif Regular" w:cstheme="minorHAnsi"/>
                <w:sz w:val="22"/>
                <w:szCs w:val="22"/>
              </w:rPr>
            </w:pPr>
            <w:r w:rsidRPr="001C5580">
              <w:rPr>
                <w:rFonts w:ascii="StobiSerif Regular" w:hAnsi="StobiSerif Regular" w:cstheme="minorHAnsi"/>
                <w:sz w:val="22"/>
                <w:szCs w:val="22"/>
              </w:rPr>
              <w:t>Средно</w:t>
            </w:r>
          </w:p>
        </w:tc>
        <w:tc>
          <w:tcPr>
            <w:tcW w:w="2059" w:type="dxa"/>
            <w:tcBorders>
              <w:top w:val="single" w:sz="4" w:space="0" w:color="auto"/>
              <w:left w:val="single" w:sz="4" w:space="0" w:color="auto"/>
              <w:bottom w:val="single" w:sz="4" w:space="0" w:color="auto"/>
              <w:right w:val="single" w:sz="4" w:space="0" w:color="auto"/>
            </w:tcBorders>
          </w:tcPr>
          <w:p w14:paraId="47B24D86" w14:textId="59BDEDED" w:rsidR="007160A1" w:rsidRPr="00DC6780" w:rsidRDefault="007160A1" w:rsidP="007160A1">
            <w:pPr>
              <w:spacing w:after="160" w:line="256" w:lineRule="auto"/>
              <w:rPr>
                <w:rFonts w:ascii="StobiSerif Regular" w:hAnsi="StobiSerif Regular"/>
                <w:sz w:val="22"/>
                <w:szCs w:val="22"/>
                <w:lang w:val="ru-RU" w:eastAsia="en-US"/>
              </w:rPr>
            </w:pPr>
            <w:r w:rsidRPr="001C5580">
              <w:rPr>
                <w:rFonts w:ascii="StobiSerif Regular" w:hAnsi="StobiSerif Regular" w:cstheme="minorHAnsi"/>
                <w:sz w:val="22"/>
                <w:szCs w:val="22"/>
                <w:lang w:eastAsia="en-US"/>
              </w:rPr>
              <w:t>Одржување на средби на високо ниво со институциите за концептот на интегритет и придобивки на институциите од имплементација на елементите</w:t>
            </w:r>
          </w:p>
        </w:tc>
      </w:tr>
      <w:tr w:rsidR="007160A1" w:rsidRPr="00433C4A" w14:paraId="04B15CBB" w14:textId="77777777" w:rsidTr="00772765">
        <w:tc>
          <w:tcPr>
            <w:tcW w:w="3447" w:type="dxa"/>
            <w:tcBorders>
              <w:top w:val="single" w:sz="4" w:space="0" w:color="auto"/>
              <w:left w:val="single" w:sz="4" w:space="0" w:color="auto"/>
              <w:bottom w:val="single" w:sz="4" w:space="0" w:color="auto"/>
              <w:right w:val="single" w:sz="4" w:space="0" w:color="auto"/>
            </w:tcBorders>
          </w:tcPr>
          <w:p w14:paraId="3310C5BC" w14:textId="77777777" w:rsidR="007160A1" w:rsidRPr="001C5580" w:rsidRDefault="007160A1" w:rsidP="007160A1">
            <w:pPr>
              <w:spacing w:after="160" w:line="256" w:lineRule="auto"/>
              <w:rPr>
                <w:rFonts w:ascii="StobiSerif Regular" w:hAnsi="StobiSerif Regular" w:cstheme="minorHAnsi"/>
                <w:sz w:val="22"/>
                <w:szCs w:val="22"/>
              </w:rPr>
            </w:pPr>
            <w:r w:rsidRPr="001C5580">
              <w:rPr>
                <w:rFonts w:ascii="StobiSerif Regular" w:hAnsi="StobiSerif Regular" w:cstheme="minorHAnsi"/>
                <w:sz w:val="22"/>
                <w:szCs w:val="22"/>
              </w:rPr>
              <w:t xml:space="preserve">Недостаток </w:t>
            </w:r>
            <w:r>
              <w:rPr>
                <w:rFonts w:ascii="StobiSerif Regular" w:hAnsi="StobiSerif Regular" w:cstheme="minorHAnsi"/>
                <w:sz w:val="22"/>
                <w:szCs w:val="22"/>
              </w:rPr>
              <w:t xml:space="preserve">на капацитети за имплементација </w:t>
            </w:r>
            <w:r w:rsidRPr="001C5580">
              <w:rPr>
                <w:rFonts w:ascii="StobiSerif Regular" w:hAnsi="StobiSerif Regular" w:cstheme="minorHAnsi"/>
                <w:sz w:val="22"/>
                <w:szCs w:val="22"/>
              </w:rPr>
              <w:t>на елементите од системот на интегритет</w:t>
            </w:r>
          </w:p>
          <w:p w14:paraId="49CDC004" w14:textId="77777777" w:rsidR="007160A1" w:rsidRDefault="007160A1" w:rsidP="007160A1">
            <w:pPr>
              <w:spacing w:after="160" w:line="256" w:lineRule="auto"/>
              <w:rPr>
                <w:rFonts w:ascii="StobiSerif Regular" w:hAnsi="StobiSerif Regular"/>
                <w:sz w:val="22"/>
                <w:szCs w:val="22"/>
                <w:lang w:val="ru-RU" w:eastAsia="en-US"/>
              </w:rPr>
            </w:pPr>
          </w:p>
        </w:tc>
        <w:tc>
          <w:tcPr>
            <w:tcW w:w="1798" w:type="dxa"/>
            <w:tcBorders>
              <w:top w:val="single" w:sz="4" w:space="0" w:color="auto"/>
              <w:left w:val="single" w:sz="4" w:space="0" w:color="auto"/>
              <w:bottom w:val="single" w:sz="4" w:space="0" w:color="auto"/>
              <w:right w:val="single" w:sz="4" w:space="0" w:color="auto"/>
            </w:tcBorders>
          </w:tcPr>
          <w:p w14:paraId="754C3696" w14:textId="257E78F1" w:rsidR="007160A1" w:rsidRPr="00DC6780" w:rsidRDefault="007160A1" w:rsidP="007160A1">
            <w:pPr>
              <w:spacing w:after="160" w:line="256" w:lineRule="auto"/>
              <w:rPr>
                <w:rFonts w:ascii="StobiSerif Regular" w:hAnsi="StobiSerif Regular" w:cstheme="minorHAnsi"/>
                <w:sz w:val="22"/>
                <w:szCs w:val="22"/>
              </w:rPr>
            </w:pPr>
            <w:r w:rsidRPr="001C5580">
              <w:rPr>
                <w:rFonts w:ascii="StobiSerif Regular" w:hAnsi="StobiSerif Regular" w:cstheme="minorHAnsi"/>
                <w:sz w:val="22"/>
                <w:szCs w:val="22"/>
              </w:rPr>
              <w:t>Средно</w:t>
            </w:r>
          </w:p>
        </w:tc>
        <w:tc>
          <w:tcPr>
            <w:tcW w:w="1756" w:type="dxa"/>
            <w:tcBorders>
              <w:top w:val="single" w:sz="4" w:space="0" w:color="auto"/>
              <w:left w:val="single" w:sz="4" w:space="0" w:color="auto"/>
              <w:bottom w:val="single" w:sz="4" w:space="0" w:color="auto"/>
              <w:right w:val="single" w:sz="4" w:space="0" w:color="auto"/>
            </w:tcBorders>
          </w:tcPr>
          <w:p w14:paraId="07D7103B" w14:textId="7FF27F80" w:rsidR="007160A1" w:rsidRPr="00DC6780" w:rsidRDefault="007160A1" w:rsidP="007160A1">
            <w:pPr>
              <w:spacing w:after="160" w:line="256" w:lineRule="auto"/>
              <w:rPr>
                <w:rFonts w:ascii="StobiSerif Regular" w:hAnsi="StobiSerif Regular" w:cstheme="minorHAnsi"/>
                <w:sz w:val="22"/>
                <w:szCs w:val="22"/>
              </w:rPr>
            </w:pPr>
            <w:r w:rsidRPr="001C5580">
              <w:rPr>
                <w:rFonts w:ascii="StobiSerif Regular" w:hAnsi="StobiSerif Regular" w:cstheme="minorHAnsi"/>
                <w:sz w:val="22"/>
                <w:szCs w:val="22"/>
              </w:rPr>
              <w:t>Средно</w:t>
            </w:r>
          </w:p>
        </w:tc>
        <w:tc>
          <w:tcPr>
            <w:tcW w:w="2059" w:type="dxa"/>
            <w:tcBorders>
              <w:top w:val="single" w:sz="4" w:space="0" w:color="auto"/>
              <w:left w:val="single" w:sz="4" w:space="0" w:color="auto"/>
              <w:bottom w:val="single" w:sz="4" w:space="0" w:color="auto"/>
              <w:right w:val="single" w:sz="4" w:space="0" w:color="auto"/>
            </w:tcBorders>
          </w:tcPr>
          <w:p w14:paraId="60966519" w14:textId="15125C6C" w:rsidR="007160A1" w:rsidRPr="00DC6780" w:rsidRDefault="007160A1" w:rsidP="007160A1">
            <w:pPr>
              <w:spacing w:after="160" w:line="256" w:lineRule="auto"/>
              <w:rPr>
                <w:rFonts w:ascii="StobiSerif Regular" w:hAnsi="StobiSerif Regular"/>
                <w:sz w:val="22"/>
                <w:szCs w:val="22"/>
                <w:lang w:val="ru-RU" w:eastAsia="en-US"/>
              </w:rPr>
            </w:pPr>
            <w:r w:rsidRPr="001C5580">
              <w:rPr>
                <w:rFonts w:ascii="StobiSerif Regular" w:hAnsi="StobiSerif Regular" w:cstheme="minorHAnsi"/>
                <w:sz w:val="22"/>
                <w:szCs w:val="22"/>
                <w:lang w:eastAsia="en-US"/>
              </w:rPr>
              <w:t xml:space="preserve">Обезбедување тренинзи, </w:t>
            </w:r>
            <w:proofErr w:type="spellStart"/>
            <w:r w:rsidRPr="001C5580">
              <w:rPr>
                <w:rFonts w:ascii="StobiSerif Regular" w:hAnsi="StobiSerif Regular" w:cstheme="minorHAnsi"/>
                <w:sz w:val="22"/>
                <w:szCs w:val="22"/>
                <w:lang w:eastAsia="en-US"/>
              </w:rPr>
              <w:t>ментори</w:t>
            </w:r>
            <w:r>
              <w:rPr>
                <w:rFonts w:ascii="StobiSerif Regular" w:hAnsi="StobiSerif Regular" w:cstheme="minorHAnsi"/>
                <w:sz w:val="22"/>
                <w:szCs w:val="22"/>
                <w:lang w:eastAsia="en-US"/>
              </w:rPr>
              <w:t>рање</w:t>
            </w:r>
            <w:proofErr w:type="spellEnd"/>
            <w:r>
              <w:rPr>
                <w:rFonts w:ascii="StobiSerif Regular" w:hAnsi="StobiSerif Regular" w:cstheme="minorHAnsi"/>
                <w:sz w:val="22"/>
                <w:szCs w:val="22"/>
                <w:lang w:eastAsia="en-US"/>
              </w:rPr>
              <w:t xml:space="preserve"> и поддршка од страна на </w:t>
            </w:r>
            <w:r w:rsidRPr="001C5580">
              <w:rPr>
                <w:rFonts w:ascii="StobiSerif Regular" w:hAnsi="StobiSerif Regular" w:cstheme="minorHAnsi"/>
                <w:sz w:val="22"/>
                <w:szCs w:val="22"/>
                <w:lang w:eastAsia="en-US"/>
              </w:rPr>
              <w:t>ДКСК во имплементација на елементите од системот на интегритет</w:t>
            </w:r>
          </w:p>
        </w:tc>
      </w:tr>
      <w:tr w:rsidR="007160A1" w:rsidRPr="00433C4A" w14:paraId="13883526" w14:textId="77777777" w:rsidTr="00772765">
        <w:tc>
          <w:tcPr>
            <w:tcW w:w="3447" w:type="dxa"/>
            <w:tcBorders>
              <w:top w:val="single" w:sz="4" w:space="0" w:color="auto"/>
              <w:left w:val="single" w:sz="4" w:space="0" w:color="auto"/>
              <w:bottom w:val="single" w:sz="4" w:space="0" w:color="auto"/>
              <w:right w:val="single" w:sz="4" w:space="0" w:color="auto"/>
            </w:tcBorders>
          </w:tcPr>
          <w:p w14:paraId="5B826172" w14:textId="75EB0C7C" w:rsidR="007160A1" w:rsidRPr="001C5580" w:rsidRDefault="007160A1" w:rsidP="007160A1">
            <w:pPr>
              <w:spacing w:after="160" w:line="256" w:lineRule="auto"/>
              <w:rPr>
                <w:rFonts w:ascii="StobiSerif Regular" w:hAnsi="StobiSerif Regular" w:cstheme="minorHAnsi"/>
                <w:sz w:val="22"/>
                <w:szCs w:val="22"/>
              </w:rPr>
            </w:pPr>
            <w:r w:rsidRPr="001C5580">
              <w:rPr>
                <w:rFonts w:ascii="StobiSerif Regular" w:hAnsi="StobiSerif Regular" w:cstheme="minorHAnsi"/>
                <w:sz w:val="22"/>
                <w:szCs w:val="22"/>
              </w:rPr>
              <w:t>Промена на бројот на институции од централната власт како резултат на ИПА 2017 „Поддршка на државната реорганизација“ (предвиденото спојување/укинување/формирање на нови)</w:t>
            </w:r>
          </w:p>
        </w:tc>
        <w:tc>
          <w:tcPr>
            <w:tcW w:w="1798" w:type="dxa"/>
            <w:tcBorders>
              <w:top w:val="single" w:sz="4" w:space="0" w:color="auto"/>
              <w:left w:val="single" w:sz="4" w:space="0" w:color="auto"/>
              <w:bottom w:val="single" w:sz="4" w:space="0" w:color="auto"/>
              <w:right w:val="single" w:sz="4" w:space="0" w:color="auto"/>
            </w:tcBorders>
          </w:tcPr>
          <w:p w14:paraId="33E133BF" w14:textId="554AF31F" w:rsidR="007160A1" w:rsidRPr="001C5580" w:rsidRDefault="007160A1" w:rsidP="007160A1">
            <w:pPr>
              <w:spacing w:after="160" w:line="256" w:lineRule="auto"/>
              <w:rPr>
                <w:rFonts w:ascii="StobiSerif Regular" w:hAnsi="StobiSerif Regular" w:cstheme="minorHAnsi"/>
                <w:sz w:val="22"/>
                <w:szCs w:val="22"/>
              </w:rPr>
            </w:pPr>
            <w:r w:rsidRPr="001C5580">
              <w:rPr>
                <w:rFonts w:ascii="StobiSerif Regular" w:hAnsi="StobiSerif Regular" w:cstheme="minorHAnsi"/>
                <w:sz w:val="22"/>
                <w:szCs w:val="22"/>
              </w:rPr>
              <w:t>Средно</w:t>
            </w:r>
          </w:p>
        </w:tc>
        <w:tc>
          <w:tcPr>
            <w:tcW w:w="1756" w:type="dxa"/>
            <w:tcBorders>
              <w:top w:val="single" w:sz="4" w:space="0" w:color="auto"/>
              <w:left w:val="single" w:sz="4" w:space="0" w:color="auto"/>
              <w:bottom w:val="single" w:sz="4" w:space="0" w:color="auto"/>
              <w:right w:val="single" w:sz="4" w:space="0" w:color="auto"/>
            </w:tcBorders>
          </w:tcPr>
          <w:p w14:paraId="618AFE5A" w14:textId="375DD2B1" w:rsidR="007160A1" w:rsidRPr="001C5580" w:rsidRDefault="007160A1" w:rsidP="007160A1">
            <w:pPr>
              <w:spacing w:after="160" w:line="256" w:lineRule="auto"/>
              <w:rPr>
                <w:rFonts w:ascii="StobiSerif Regular" w:hAnsi="StobiSerif Regular" w:cstheme="minorHAnsi"/>
                <w:sz w:val="22"/>
                <w:szCs w:val="22"/>
              </w:rPr>
            </w:pPr>
            <w:r w:rsidRPr="001C5580">
              <w:rPr>
                <w:rFonts w:ascii="StobiSerif Regular" w:hAnsi="StobiSerif Regular" w:cstheme="minorHAnsi"/>
                <w:sz w:val="22"/>
                <w:szCs w:val="22"/>
              </w:rPr>
              <w:t>Средно</w:t>
            </w:r>
          </w:p>
        </w:tc>
        <w:tc>
          <w:tcPr>
            <w:tcW w:w="2059" w:type="dxa"/>
            <w:tcBorders>
              <w:top w:val="single" w:sz="4" w:space="0" w:color="auto"/>
              <w:left w:val="single" w:sz="4" w:space="0" w:color="auto"/>
              <w:bottom w:val="single" w:sz="4" w:space="0" w:color="auto"/>
              <w:right w:val="single" w:sz="4" w:space="0" w:color="auto"/>
            </w:tcBorders>
          </w:tcPr>
          <w:p w14:paraId="2C4CA5FA" w14:textId="25688F64" w:rsidR="007160A1" w:rsidRPr="001C5580" w:rsidRDefault="007160A1" w:rsidP="007160A1">
            <w:pPr>
              <w:spacing w:after="160" w:line="256" w:lineRule="auto"/>
              <w:rPr>
                <w:rFonts w:ascii="StobiSerif Regular" w:hAnsi="StobiSerif Regular" w:cstheme="minorHAnsi"/>
                <w:sz w:val="22"/>
                <w:szCs w:val="22"/>
                <w:lang w:eastAsia="en-US"/>
              </w:rPr>
            </w:pPr>
            <w:r w:rsidRPr="001C5580">
              <w:rPr>
                <w:rFonts w:ascii="StobiSerif Regular" w:hAnsi="StobiSerif Regular" w:cstheme="minorHAnsi"/>
                <w:sz w:val="22"/>
                <w:szCs w:val="22"/>
                <w:lang w:eastAsia="en-US"/>
              </w:rPr>
              <w:t xml:space="preserve">Во ревизијата на АП на СРЈА 2023-2030 ќе се направи измена во вкупниот бројот на опфатени институции – кој </w:t>
            </w:r>
            <w:r w:rsidRPr="001C5580">
              <w:rPr>
                <w:rFonts w:ascii="StobiSerif Regular" w:hAnsi="StobiSerif Regular" w:cstheme="minorHAnsi"/>
                <w:sz w:val="22"/>
                <w:szCs w:val="22"/>
                <w:lang w:eastAsia="en-US"/>
              </w:rPr>
              <w:lastRenderedPageBreak/>
              <w:t>се одразува и на индикаторите</w:t>
            </w:r>
          </w:p>
        </w:tc>
      </w:tr>
      <w:tr w:rsidR="007160A1" w:rsidRPr="00433C4A" w14:paraId="3F8E5176" w14:textId="77777777" w:rsidTr="00772765">
        <w:tc>
          <w:tcPr>
            <w:tcW w:w="3447" w:type="dxa"/>
            <w:tcBorders>
              <w:top w:val="single" w:sz="4" w:space="0" w:color="auto"/>
              <w:left w:val="single" w:sz="4" w:space="0" w:color="auto"/>
              <w:bottom w:val="single" w:sz="4" w:space="0" w:color="auto"/>
              <w:right w:val="single" w:sz="4" w:space="0" w:color="auto"/>
            </w:tcBorders>
          </w:tcPr>
          <w:p w14:paraId="6E407A80" w14:textId="42FC5689" w:rsidR="007160A1" w:rsidRPr="001C5580" w:rsidRDefault="007160A1" w:rsidP="007160A1">
            <w:pPr>
              <w:spacing w:after="160" w:line="256" w:lineRule="auto"/>
              <w:rPr>
                <w:rFonts w:ascii="StobiSerif Regular" w:hAnsi="StobiSerif Regular" w:cstheme="minorHAnsi"/>
                <w:sz w:val="22"/>
                <w:szCs w:val="22"/>
              </w:rPr>
            </w:pPr>
            <w:r w:rsidRPr="001C5580">
              <w:rPr>
                <w:rFonts w:ascii="StobiSerif Regular" w:hAnsi="StobiSerif Regular" w:cstheme="minorHAnsi"/>
                <w:sz w:val="22"/>
                <w:szCs w:val="22"/>
              </w:rPr>
              <w:lastRenderedPageBreak/>
              <w:t>Ненавремено и нецелосно воспоставување на дигиталната платформа „Е-инспектор“</w:t>
            </w:r>
          </w:p>
        </w:tc>
        <w:tc>
          <w:tcPr>
            <w:tcW w:w="1798" w:type="dxa"/>
            <w:tcBorders>
              <w:top w:val="single" w:sz="4" w:space="0" w:color="auto"/>
              <w:left w:val="single" w:sz="4" w:space="0" w:color="auto"/>
              <w:bottom w:val="single" w:sz="4" w:space="0" w:color="auto"/>
              <w:right w:val="single" w:sz="4" w:space="0" w:color="auto"/>
            </w:tcBorders>
          </w:tcPr>
          <w:p w14:paraId="3AA875B0" w14:textId="6590B03E" w:rsidR="007160A1" w:rsidRPr="001C5580" w:rsidRDefault="007160A1" w:rsidP="007160A1">
            <w:pPr>
              <w:spacing w:after="160" w:line="256" w:lineRule="auto"/>
              <w:rPr>
                <w:rFonts w:ascii="StobiSerif Regular" w:hAnsi="StobiSerif Regular" w:cstheme="minorHAnsi"/>
                <w:sz w:val="22"/>
                <w:szCs w:val="22"/>
              </w:rPr>
            </w:pPr>
            <w:r w:rsidRPr="001C5580">
              <w:rPr>
                <w:rFonts w:ascii="StobiSerif Regular" w:hAnsi="StobiSerif Regular" w:cstheme="minorHAnsi"/>
                <w:sz w:val="22"/>
                <w:szCs w:val="22"/>
                <w:lang w:eastAsia="en-US"/>
              </w:rPr>
              <w:t>Средно</w:t>
            </w:r>
          </w:p>
        </w:tc>
        <w:tc>
          <w:tcPr>
            <w:tcW w:w="1756" w:type="dxa"/>
            <w:tcBorders>
              <w:top w:val="single" w:sz="4" w:space="0" w:color="auto"/>
              <w:left w:val="single" w:sz="4" w:space="0" w:color="auto"/>
              <w:bottom w:val="single" w:sz="4" w:space="0" w:color="auto"/>
              <w:right w:val="single" w:sz="4" w:space="0" w:color="auto"/>
            </w:tcBorders>
          </w:tcPr>
          <w:p w14:paraId="6BB7BE12" w14:textId="7AC618A1" w:rsidR="007160A1" w:rsidRPr="001C5580" w:rsidRDefault="007160A1" w:rsidP="007160A1">
            <w:pPr>
              <w:spacing w:after="160" w:line="256" w:lineRule="auto"/>
              <w:rPr>
                <w:rFonts w:ascii="StobiSerif Regular" w:hAnsi="StobiSerif Regular" w:cstheme="minorHAnsi"/>
                <w:sz w:val="22"/>
                <w:szCs w:val="22"/>
              </w:rPr>
            </w:pPr>
            <w:r w:rsidRPr="001C5580">
              <w:rPr>
                <w:rFonts w:ascii="StobiSerif Regular" w:hAnsi="StobiSerif Regular" w:cstheme="minorHAnsi"/>
                <w:sz w:val="22"/>
                <w:szCs w:val="22"/>
                <w:lang w:eastAsia="en-US"/>
              </w:rPr>
              <w:t>Средно</w:t>
            </w:r>
          </w:p>
        </w:tc>
        <w:tc>
          <w:tcPr>
            <w:tcW w:w="2059" w:type="dxa"/>
            <w:tcBorders>
              <w:top w:val="single" w:sz="4" w:space="0" w:color="auto"/>
              <w:left w:val="single" w:sz="4" w:space="0" w:color="auto"/>
              <w:bottom w:val="single" w:sz="4" w:space="0" w:color="auto"/>
              <w:right w:val="single" w:sz="4" w:space="0" w:color="auto"/>
            </w:tcBorders>
          </w:tcPr>
          <w:p w14:paraId="0303B047" w14:textId="1CABDE17" w:rsidR="007160A1" w:rsidRPr="001C5580" w:rsidRDefault="007160A1" w:rsidP="007160A1">
            <w:pPr>
              <w:spacing w:after="160" w:line="256" w:lineRule="auto"/>
              <w:rPr>
                <w:rFonts w:ascii="StobiSerif Regular" w:hAnsi="StobiSerif Regular" w:cstheme="minorHAnsi"/>
                <w:sz w:val="22"/>
                <w:szCs w:val="22"/>
                <w:lang w:eastAsia="en-US"/>
              </w:rPr>
            </w:pPr>
            <w:r w:rsidRPr="001C5580">
              <w:rPr>
                <w:rFonts w:ascii="StobiSerif Regular" w:hAnsi="StobiSerif Regular" w:cstheme="minorHAnsi"/>
                <w:sz w:val="22"/>
                <w:szCs w:val="22"/>
                <w:lang w:eastAsia="en-US"/>
              </w:rPr>
              <w:t>Обезбедување на финансиски средства за  развој на сите модули на софтверското решение   и негово воведување во сите инспекциски служби</w:t>
            </w:r>
          </w:p>
        </w:tc>
      </w:tr>
      <w:tr w:rsidR="007160A1" w:rsidRPr="00433C4A" w14:paraId="1C4D5B4F" w14:textId="77777777" w:rsidTr="00772765">
        <w:tc>
          <w:tcPr>
            <w:tcW w:w="3447" w:type="dxa"/>
            <w:tcBorders>
              <w:top w:val="single" w:sz="4" w:space="0" w:color="auto"/>
              <w:left w:val="single" w:sz="4" w:space="0" w:color="auto"/>
              <w:bottom w:val="single" w:sz="4" w:space="0" w:color="auto"/>
              <w:right w:val="single" w:sz="4" w:space="0" w:color="auto"/>
            </w:tcBorders>
          </w:tcPr>
          <w:p w14:paraId="58D7CCC8" w14:textId="3E54CA77" w:rsidR="007160A1" w:rsidRPr="001C5580" w:rsidRDefault="007160A1" w:rsidP="007160A1">
            <w:pPr>
              <w:spacing w:after="160" w:line="256" w:lineRule="auto"/>
              <w:rPr>
                <w:rFonts w:ascii="StobiSerif Regular" w:hAnsi="StobiSerif Regular" w:cstheme="minorHAnsi"/>
                <w:sz w:val="22"/>
                <w:szCs w:val="22"/>
              </w:rPr>
            </w:pPr>
            <w:r w:rsidRPr="001C5580">
              <w:rPr>
                <w:rFonts w:ascii="StobiSerif Regular" w:hAnsi="StobiSerif Regular" w:cstheme="minorHAnsi"/>
                <w:sz w:val="22"/>
                <w:szCs w:val="22"/>
              </w:rPr>
              <w:t>Континуирано одржување и надградба на дигиталната платформа „Е-инспектор“</w:t>
            </w:r>
          </w:p>
        </w:tc>
        <w:tc>
          <w:tcPr>
            <w:tcW w:w="1798" w:type="dxa"/>
            <w:tcBorders>
              <w:top w:val="single" w:sz="4" w:space="0" w:color="auto"/>
              <w:left w:val="single" w:sz="4" w:space="0" w:color="auto"/>
              <w:bottom w:val="single" w:sz="4" w:space="0" w:color="auto"/>
              <w:right w:val="single" w:sz="4" w:space="0" w:color="auto"/>
            </w:tcBorders>
          </w:tcPr>
          <w:p w14:paraId="69D7FA08" w14:textId="55E80CF3" w:rsidR="007160A1" w:rsidRPr="001C5580" w:rsidRDefault="007160A1" w:rsidP="007160A1">
            <w:pPr>
              <w:spacing w:after="160" w:line="256" w:lineRule="auto"/>
              <w:rPr>
                <w:rFonts w:ascii="StobiSerif Regular" w:hAnsi="StobiSerif Regular" w:cstheme="minorHAnsi"/>
                <w:sz w:val="22"/>
                <w:szCs w:val="22"/>
                <w:lang w:eastAsia="en-US"/>
              </w:rPr>
            </w:pPr>
            <w:r w:rsidRPr="001C5580">
              <w:rPr>
                <w:rFonts w:ascii="StobiSerif Regular" w:hAnsi="StobiSerif Regular" w:cstheme="minorHAnsi"/>
                <w:sz w:val="22"/>
                <w:szCs w:val="22"/>
                <w:lang w:eastAsia="en-US"/>
              </w:rPr>
              <w:t>Големо</w:t>
            </w:r>
          </w:p>
        </w:tc>
        <w:tc>
          <w:tcPr>
            <w:tcW w:w="1756" w:type="dxa"/>
            <w:tcBorders>
              <w:top w:val="single" w:sz="4" w:space="0" w:color="auto"/>
              <w:left w:val="single" w:sz="4" w:space="0" w:color="auto"/>
              <w:bottom w:val="single" w:sz="4" w:space="0" w:color="auto"/>
              <w:right w:val="single" w:sz="4" w:space="0" w:color="auto"/>
            </w:tcBorders>
          </w:tcPr>
          <w:p w14:paraId="1D9FFBE5" w14:textId="42459853" w:rsidR="007160A1" w:rsidRPr="001C5580" w:rsidRDefault="007160A1" w:rsidP="007160A1">
            <w:pPr>
              <w:spacing w:after="160" w:line="256" w:lineRule="auto"/>
              <w:rPr>
                <w:rFonts w:ascii="StobiSerif Regular" w:hAnsi="StobiSerif Regular" w:cstheme="minorHAnsi"/>
                <w:sz w:val="22"/>
                <w:szCs w:val="22"/>
                <w:lang w:eastAsia="en-US"/>
              </w:rPr>
            </w:pPr>
            <w:r w:rsidRPr="001C5580">
              <w:rPr>
                <w:rFonts w:ascii="StobiSerif Regular" w:hAnsi="StobiSerif Regular" w:cstheme="minorHAnsi"/>
                <w:sz w:val="22"/>
                <w:szCs w:val="22"/>
                <w:lang w:eastAsia="en-US"/>
              </w:rPr>
              <w:t>Големо</w:t>
            </w:r>
          </w:p>
        </w:tc>
        <w:tc>
          <w:tcPr>
            <w:tcW w:w="2059" w:type="dxa"/>
            <w:tcBorders>
              <w:top w:val="single" w:sz="4" w:space="0" w:color="auto"/>
              <w:left w:val="single" w:sz="4" w:space="0" w:color="auto"/>
              <w:bottom w:val="single" w:sz="4" w:space="0" w:color="auto"/>
              <w:right w:val="single" w:sz="4" w:space="0" w:color="auto"/>
            </w:tcBorders>
          </w:tcPr>
          <w:p w14:paraId="02F17E06" w14:textId="77777777" w:rsidR="007160A1" w:rsidRPr="001C5580" w:rsidRDefault="007160A1" w:rsidP="007160A1">
            <w:pPr>
              <w:spacing w:after="160" w:line="256" w:lineRule="auto"/>
              <w:rPr>
                <w:rFonts w:ascii="StobiSerif Regular" w:hAnsi="StobiSerif Regular" w:cstheme="minorHAnsi"/>
                <w:sz w:val="22"/>
                <w:szCs w:val="22"/>
              </w:rPr>
            </w:pPr>
            <w:r w:rsidRPr="001C5580">
              <w:rPr>
                <w:rFonts w:ascii="StobiSerif Regular" w:hAnsi="StobiSerif Regular" w:cstheme="minorHAnsi"/>
                <w:sz w:val="22"/>
                <w:szCs w:val="22"/>
              </w:rPr>
              <w:t>-Одобрување и доследно спроведување на Годишните планови за вработување на Инспекциски совет</w:t>
            </w:r>
          </w:p>
          <w:p w14:paraId="1D8F44C1" w14:textId="7750A56E" w:rsidR="007160A1" w:rsidRPr="001C5580" w:rsidRDefault="00B42BA1" w:rsidP="007160A1">
            <w:pPr>
              <w:spacing w:after="160" w:line="256" w:lineRule="auto"/>
              <w:rPr>
                <w:rFonts w:ascii="StobiSerif Regular" w:hAnsi="StobiSerif Regular" w:cstheme="minorHAnsi"/>
                <w:sz w:val="22"/>
                <w:szCs w:val="22"/>
                <w:lang w:eastAsia="en-US"/>
              </w:rPr>
            </w:pPr>
            <w:r>
              <w:rPr>
                <w:rFonts w:ascii="StobiSerif Regular" w:hAnsi="StobiSerif Regular" w:cstheme="minorHAnsi"/>
                <w:sz w:val="22"/>
                <w:szCs w:val="22"/>
                <w:lang w:eastAsia="en-US"/>
              </w:rPr>
              <w:t>-</w:t>
            </w:r>
            <w:r w:rsidR="007160A1" w:rsidRPr="001C5580">
              <w:rPr>
                <w:rFonts w:ascii="StobiSerif Regular" w:hAnsi="StobiSerif Regular" w:cstheme="minorHAnsi"/>
                <w:sz w:val="22"/>
                <w:szCs w:val="22"/>
                <w:lang w:eastAsia="en-US"/>
              </w:rPr>
              <w:t>Обезбедување на финансиски средства за вработување на потребните човечки ресурси и за нивна континуирана обука</w:t>
            </w:r>
          </w:p>
        </w:tc>
      </w:tr>
      <w:tr w:rsidR="00B42BA1" w:rsidRPr="00433C4A" w14:paraId="2FD766B0" w14:textId="77777777" w:rsidTr="00772765">
        <w:tc>
          <w:tcPr>
            <w:tcW w:w="3447" w:type="dxa"/>
            <w:tcBorders>
              <w:top w:val="single" w:sz="4" w:space="0" w:color="auto"/>
              <w:left w:val="single" w:sz="4" w:space="0" w:color="auto"/>
              <w:bottom w:val="single" w:sz="4" w:space="0" w:color="auto"/>
              <w:right w:val="single" w:sz="4" w:space="0" w:color="auto"/>
            </w:tcBorders>
          </w:tcPr>
          <w:p w14:paraId="40559E5F" w14:textId="23E6E24D" w:rsidR="00B42BA1" w:rsidRPr="001C5580" w:rsidRDefault="00B42BA1" w:rsidP="007160A1">
            <w:pPr>
              <w:spacing w:after="160" w:line="256" w:lineRule="auto"/>
              <w:rPr>
                <w:rFonts w:ascii="StobiSerif Regular" w:hAnsi="StobiSerif Regular" w:cstheme="minorHAnsi"/>
                <w:sz w:val="22"/>
                <w:szCs w:val="22"/>
              </w:rPr>
            </w:pPr>
            <w:r w:rsidRPr="001C5580">
              <w:rPr>
                <w:rFonts w:ascii="StobiSerif Regular" w:hAnsi="StobiSerif Regular" w:cstheme="minorHAnsi"/>
                <w:sz w:val="22"/>
                <w:szCs w:val="22"/>
              </w:rPr>
              <w:t>Поддршка и промоција на  АЗПСПИЈК како независно тело за слободен пристап до информации од јавен карактер</w:t>
            </w:r>
          </w:p>
        </w:tc>
        <w:tc>
          <w:tcPr>
            <w:tcW w:w="1798" w:type="dxa"/>
            <w:tcBorders>
              <w:top w:val="single" w:sz="4" w:space="0" w:color="auto"/>
              <w:left w:val="single" w:sz="4" w:space="0" w:color="auto"/>
              <w:bottom w:val="single" w:sz="4" w:space="0" w:color="auto"/>
              <w:right w:val="single" w:sz="4" w:space="0" w:color="auto"/>
            </w:tcBorders>
          </w:tcPr>
          <w:p w14:paraId="2FA96F8A" w14:textId="6B847AE3" w:rsidR="00B42BA1" w:rsidRPr="001C5580" w:rsidRDefault="00B42BA1" w:rsidP="007160A1">
            <w:pPr>
              <w:spacing w:after="160" w:line="256" w:lineRule="auto"/>
              <w:rPr>
                <w:rFonts w:ascii="StobiSerif Regular" w:hAnsi="StobiSerif Regular" w:cstheme="minorHAnsi"/>
                <w:sz w:val="22"/>
                <w:szCs w:val="22"/>
                <w:lang w:eastAsia="en-US"/>
              </w:rPr>
            </w:pPr>
            <w:r w:rsidRPr="001C5580">
              <w:rPr>
                <w:rFonts w:ascii="StobiSerif Regular" w:hAnsi="StobiSerif Regular" w:cstheme="minorHAnsi"/>
                <w:sz w:val="22"/>
                <w:szCs w:val="22"/>
                <w:lang w:eastAsia="en-US"/>
              </w:rPr>
              <w:t>Средно</w:t>
            </w:r>
          </w:p>
        </w:tc>
        <w:tc>
          <w:tcPr>
            <w:tcW w:w="1756" w:type="dxa"/>
            <w:tcBorders>
              <w:top w:val="single" w:sz="4" w:space="0" w:color="auto"/>
              <w:left w:val="single" w:sz="4" w:space="0" w:color="auto"/>
              <w:bottom w:val="single" w:sz="4" w:space="0" w:color="auto"/>
              <w:right w:val="single" w:sz="4" w:space="0" w:color="auto"/>
            </w:tcBorders>
          </w:tcPr>
          <w:p w14:paraId="1228D07C" w14:textId="546B56C7" w:rsidR="00B42BA1" w:rsidRPr="001C5580" w:rsidRDefault="00B42BA1" w:rsidP="007160A1">
            <w:pPr>
              <w:spacing w:after="160" w:line="256" w:lineRule="auto"/>
              <w:rPr>
                <w:rFonts w:ascii="StobiSerif Regular" w:hAnsi="StobiSerif Regular" w:cstheme="minorHAnsi"/>
                <w:sz w:val="22"/>
                <w:szCs w:val="22"/>
                <w:lang w:eastAsia="en-US"/>
              </w:rPr>
            </w:pPr>
            <w:r w:rsidRPr="001C5580">
              <w:rPr>
                <w:rFonts w:ascii="StobiSerif Regular" w:hAnsi="StobiSerif Regular" w:cstheme="minorHAnsi"/>
                <w:sz w:val="22"/>
                <w:szCs w:val="22"/>
                <w:lang w:eastAsia="en-US"/>
              </w:rPr>
              <w:t>Средно</w:t>
            </w:r>
          </w:p>
        </w:tc>
        <w:tc>
          <w:tcPr>
            <w:tcW w:w="2059" w:type="dxa"/>
            <w:vMerge w:val="restart"/>
            <w:tcBorders>
              <w:top w:val="single" w:sz="4" w:space="0" w:color="auto"/>
              <w:left w:val="single" w:sz="4" w:space="0" w:color="auto"/>
              <w:right w:val="single" w:sz="4" w:space="0" w:color="auto"/>
            </w:tcBorders>
          </w:tcPr>
          <w:p w14:paraId="46C36E58" w14:textId="77777777" w:rsidR="00B42BA1" w:rsidRPr="001C5580" w:rsidRDefault="00B42BA1" w:rsidP="00B42BA1">
            <w:pPr>
              <w:spacing w:after="160" w:line="256" w:lineRule="auto"/>
              <w:rPr>
                <w:rFonts w:ascii="StobiSerif Regular" w:hAnsi="StobiSerif Regular" w:cstheme="minorHAnsi"/>
                <w:sz w:val="22"/>
                <w:szCs w:val="22"/>
                <w:lang w:eastAsia="en-US"/>
              </w:rPr>
            </w:pPr>
            <w:r w:rsidRPr="001C5580">
              <w:rPr>
                <w:rFonts w:ascii="StobiSerif Regular" w:hAnsi="StobiSerif Regular" w:cstheme="minorHAnsi"/>
                <w:sz w:val="22"/>
                <w:szCs w:val="22"/>
                <w:lang w:eastAsia="en-US"/>
              </w:rPr>
              <w:t xml:space="preserve">Општо недостиг на знаење за правото на слободен пристап до информации од јавен карактер </w:t>
            </w:r>
            <w:r w:rsidRPr="001C5580">
              <w:rPr>
                <w:rFonts w:ascii="StobiSerif Regular" w:hAnsi="StobiSerif Regular" w:cstheme="minorHAnsi"/>
                <w:sz w:val="22"/>
                <w:szCs w:val="22"/>
                <w:lang w:eastAsia="en-US"/>
              </w:rPr>
              <w:lastRenderedPageBreak/>
              <w:t xml:space="preserve">кај пошироката јавност; Дополнително, ниската доверба на јавноста во администрацијата и во процесот на донесување одлуки. </w:t>
            </w:r>
          </w:p>
          <w:p w14:paraId="42D2E63C" w14:textId="526D0B6C" w:rsidR="00B42BA1" w:rsidRPr="001C5580" w:rsidRDefault="00B42BA1" w:rsidP="00B42BA1">
            <w:pPr>
              <w:spacing w:after="160" w:line="256" w:lineRule="auto"/>
              <w:rPr>
                <w:rFonts w:ascii="StobiSerif Regular" w:hAnsi="StobiSerif Regular" w:cstheme="minorHAnsi"/>
                <w:sz w:val="22"/>
                <w:szCs w:val="22"/>
              </w:rPr>
            </w:pPr>
            <w:r w:rsidRPr="001C5580">
              <w:rPr>
                <w:rFonts w:ascii="StobiSerif Regular" w:hAnsi="StobiSerif Regular" w:cstheme="minorHAnsi"/>
                <w:sz w:val="22"/>
                <w:szCs w:val="22"/>
                <w:lang w:eastAsia="en-US"/>
              </w:rPr>
              <w:t xml:space="preserve">Мерките за ублажување на ова поле главно се состои во зајакнување на релациите помеѓу  корисникот институција, останати засегнати чинители и поддршка за градење на капацитетите на државните органи преку унапредување на институционалната свест и култура во областа на слободниот пристап до информации од јавен карактер и транспарентност и отчетност  за имплементација и </w:t>
            </w:r>
            <w:r w:rsidRPr="001C5580">
              <w:rPr>
                <w:rFonts w:ascii="StobiSerif Regular" w:hAnsi="StobiSerif Regular" w:cstheme="minorHAnsi"/>
                <w:sz w:val="22"/>
                <w:szCs w:val="22"/>
                <w:lang w:eastAsia="en-US"/>
              </w:rPr>
              <w:lastRenderedPageBreak/>
              <w:t>постигнувањето на ЕУ стандардите во областа на правото на слободен пристап до информации од јавен карактер</w:t>
            </w:r>
          </w:p>
        </w:tc>
      </w:tr>
      <w:tr w:rsidR="00B42BA1" w:rsidRPr="00433C4A" w14:paraId="020622EA" w14:textId="77777777" w:rsidTr="00772765">
        <w:tc>
          <w:tcPr>
            <w:tcW w:w="3447" w:type="dxa"/>
            <w:tcBorders>
              <w:top w:val="single" w:sz="4" w:space="0" w:color="auto"/>
              <w:left w:val="single" w:sz="4" w:space="0" w:color="auto"/>
              <w:bottom w:val="single" w:sz="4" w:space="0" w:color="auto"/>
              <w:right w:val="single" w:sz="4" w:space="0" w:color="auto"/>
            </w:tcBorders>
          </w:tcPr>
          <w:p w14:paraId="695C5A7B" w14:textId="70032282" w:rsidR="00B42BA1" w:rsidRPr="001C5580" w:rsidRDefault="00B42BA1" w:rsidP="007160A1">
            <w:pPr>
              <w:spacing w:after="160" w:line="256" w:lineRule="auto"/>
              <w:rPr>
                <w:rFonts w:ascii="StobiSerif Regular" w:hAnsi="StobiSerif Regular" w:cstheme="minorHAnsi"/>
                <w:sz w:val="22"/>
                <w:szCs w:val="22"/>
              </w:rPr>
            </w:pPr>
            <w:r w:rsidRPr="001C5580">
              <w:rPr>
                <w:rFonts w:ascii="StobiSerif Regular" w:hAnsi="StobiSerif Regular" w:cstheme="minorHAnsi"/>
                <w:sz w:val="22"/>
                <w:szCs w:val="22"/>
              </w:rPr>
              <w:t xml:space="preserve">Заложба на извршна, законодавна и судска власт </w:t>
            </w:r>
            <w:r w:rsidRPr="001C5580">
              <w:rPr>
                <w:rFonts w:ascii="StobiSerif Regular" w:hAnsi="StobiSerif Regular" w:cstheme="minorHAnsi"/>
                <w:sz w:val="22"/>
                <w:szCs w:val="22"/>
              </w:rPr>
              <w:lastRenderedPageBreak/>
              <w:t>да ги применуваат стандардите за транспарентност и да воспостават соодветен систем на одговорност на државните органи</w:t>
            </w:r>
          </w:p>
        </w:tc>
        <w:tc>
          <w:tcPr>
            <w:tcW w:w="1798" w:type="dxa"/>
            <w:tcBorders>
              <w:top w:val="single" w:sz="4" w:space="0" w:color="auto"/>
              <w:left w:val="single" w:sz="4" w:space="0" w:color="auto"/>
              <w:bottom w:val="single" w:sz="4" w:space="0" w:color="auto"/>
              <w:right w:val="single" w:sz="4" w:space="0" w:color="auto"/>
            </w:tcBorders>
          </w:tcPr>
          <w:p w14:paraId="17080D42" w14:textId="654EC301" w:rsidR="00B42BA1" w:rsidRPr="001C5580" w:rsidRDefault="00B42BA1" w:rsidP="007160A1">
            <w:pPr>
              <w:spacing w:after="160" w:line="256" w:lineRule="auto"/>
              <w:rPr>
                <w:rFonts w:ascii="StobiSerif Regular" w:hAnsi="StobiSerif Regular" w:cstheme="minorHAnsi"/>
                <w:sz w:val="22"/>
                <w:szCs w:val="22"/>
                <w:lang w:eastAsia="en-US"/>
              </w:rPr>
            </w:pPr>
            <w:r w:rsidRPr="001C5580">
              <w:rPr>
                <w:rFonts w:ascii="StobiSerif Regular" w:hAnsi="StobiSerif Regular" w:cstheme="minorHAnsi"/>
                <w:sz w:val="22"/>
                <w:szCs w:val="22"/>
                <w:lang w:eastAsia="en-US"/>
              </w:rPr>
              <w:lastRenderedPageBreak/>
              <w:t>Големо</w:t>
            </w:r>
          </w:p>
        </w:tc>
        <w:tc>
          <w:tcPr>
            <w:tcW w:w="1756" w:type="dxa"/>
            <w:tcBorders>
              <w:top w:val="single" w:sz="4" w:space="0" w:color="auto"/>
              <w:left w:val="single" w:sz="4" w:space="0" w:color="auto"/>
              <w:bottom w:val="single" w:sz="4" w:space="0" w:color="auto"/>
              <w:right w:val="single" w:sz="4" w:space="0" w:color="auto"/>
            </w:tcBorders>
          </w:tcPr>
          <w:p w14:paraId="2AF15806" w14:textId="199BF434" w:rsidR="00B42BA1" w:rsidRPr="001C5580" w:rsidRDefault="00B42BA1" w:rsidP="007160A1">
            <w:pPr>
              <w:spacing w:after="160" w:line="256" w:lineRule="auto"/>
              <w:rPr>
                <w:rFonts w:ascii="StobiSerif Regular" w:hAnsi="StobiSerif Regular" w:cstheme="minorHAnsi"/>
                <w:sz w:val="22"/>
                <w:szCs w:val="22"/>
                <w:lang w:eastAsia="en-US"/>
              </w:rPr>
            </w:pPr>
            <w:r w:rsidRPr="001C5580">
              <w:rPr>
                <w:rFonts w:ascii="StobiSerif Regular" w:hAnsi="StobiSerif Regular" w:cstheme="minorHAnsi"/>
                <w:sz w:val="22"/>
                <w:szCs w:val="22"/>
                <w:lang w:eastAsia="en-US"/>
              </w:rPr>
              <w:t>Големо</w:t>
            </w:r>
          </w:p>
        </w:tc>
        <w:tc>
          <w:tcPr>
            <w:tcW w:w="2059" w:type="dxa"/>
            <w:vMerge/>
            <w:tcBorders>
              <w:left w:val="single" w:sz="4" w:space="0" w:color="auto"/>
              <w:right w:val="single" w:sz="4" w:space="0" w:color="auto"/>
            </w:tcBorders>
          </w:tcPr>
          <w:p w14:paraId="07CA96C1" w14:textId="77777777" w:rsidR="00B42BA1" w:rsidRPr="001C5580" w:rsidRDefault="00B42BA1" w:rsidP="007160A1">
            <w:pPr>
              <w:spacing w:after="160" w:line="256" w:lineRule="auto"/>
              <w:rPr>
                <w:rFonts w:ascii="StobiSerif Regular" w:hAnsi="StobiSerif Regular" w:cstheme="minorHAnsi"/>
                <w:sz w:val="22"/>
                <w:szCs w:val="22"/>
              </w:rPr>
            </w:pPr>
          </w:p>
        </w:tc>
      </w:tr>
      <w:tr w:rsidR="00B42BA1" w:rsidRPr="00433C4A" w14:paraId="0D77868A" w14:textId="77777777" w:rsidTr="00772765">
        <w:tc>
          <w:tcPr>
            <w:tcW w:w="3447" w:type="dxa"/>
            <w:tcBorders>
              <w:top w:val="single" w:sz="4" w:space="0" w:color="auto"/>
              <w:left w:val="single" w:sz="4" w:space="0" w:color="auto"/>
              <w:bottom w:val="single" w:sz="4" w:space="0" w:color="auto"/>
              <w:right w:val="single" w:sz="4" w:space="0" w:color="auto"/>
            </w:tcBorders>
          </w:tcPr>
          <w:p w14:paraId="20D71195" w14:textId="7B2388FB" w:rsidR="00B42BA1" w:rsidRPr="001C5580" w:rsidRDefault="00B42BA1" w:rsidP="007160A1">
            <w:pPr>
              <w:spacing w:after="160" w:line="256" w:lineRule="auto"/>
              <w:rPr>
                <w:rFonts w:ascii="StobiSerif Regular" w:hAnsi="StobiSerif Regular" w:cstheme="minorHAnsi"/>
                <w:sz w:val="22"/>
                <w:szCs w:val="22"/>
              </w:rPr>
            </w:pPr>
            <w:r w:rsidRPr="001C5580">
              <w:rPr>
                <w:rFonts w:ascii="StobiSerif Regular" w:hAnsi="StobiSerif Regular" w:cstheme="minorHAnsi"/>
                <w:sz w:val="22"/>
                <w:szCs w:val="22"/>
              </w:rPr>
              <w:lastRenderedPageBreak/>
              <w:t>Недостаток од финансиски средства на АЗПСПИЈК за реализација на наведените активности во СРЈА како и за извршување на своите надлежности поради мал и недоволен буџет</w:t>
            </w:r>
          </w:p>
        </w:tc>
        <w:tc>
          <w:tcPr>
            <w:tcW w:w="1798" w:type="dxa"/>
            <w:tcBorders>
              <w:top w:val="single" w:sz="4" w:space="0" w:color="auto"/>
              <w:left w:val="single" w:sz="4" w:space="0" w:color="auto"/>
              <w:bottom w:val="single" w:sz="4" w:space="0" w:color="auto"/>
              <w:right w:val="single" w:sz="4" w:space="0" w:color="auto"/>
            </w:tcBorders>
          </w:tcPr>
          <w:p w14:paraId="75CA50A0" w14:textId="1D4AED7C" w:rsidR="00B42BA1" w:rsidRPr="001C5580" w:rsidRDefault="00B42BA1" w:rsidP="007160A1">
            <w:pPr>
              <w:spacing w:after="160" w:line="256" w:lineRule="auto"/>
              <w:rPr>
                <w:rFonts w:ascii="StobiSerif Regular" w:hAnsi="StobiSerif Regular" w:cstheme="minorHAnsi"/>
                <w:sz w:val="22"/>
                <w:szCs w:val="22"/>
                <w:lang w:eastAsia="en-US"/>
              </w:rPr>
            </w:pPr>
            <w:r w:rsidRPr="001C5580">
              <w:rPr>
                <w:rFonts w:ascii="StobiSerif Regular" w:hAnsi="StobiSerif Regular" w:cstheme="minorHAnsi"/>
                <w:sz w:val="22"/>
                <w:szCs w:val="22"/>
                <w:lang w:eastAsia="en-US"/>
              </w:rPr>
              <w:t>Големо</w:t>
            </w:r>
          </w:p>
        </w:tc>
        <w:tc>
          <w:tcPr>
            <w:tcW w:w="1756" w:type="dxa"/>
            <w:tcBorders>
              <w:top w:val="single" w:sz="4" w:space="0" w:color="auto"/>
              <w:left w:val="single" w:sz="4" w:space="0" w:color="auto"/>
              <w:bottom w:val="single" w:sz="4" w:space="0" w:color="auto"/>
              <w:right w:val="single" w:sz="4" w:space="0" w:color="auto"/>
            </w:tcBorders>
          </w:tcPr>
          <w:p w14:paraId="6D83FF9C" w14:textId="5E8581E4" w:rsidR="00B42BA1" w:rsidRPr="001C5580" w:rsidRDefault="00B42BA1" w:rsidP="007160A1">
            <w:pPr>
              <w:spacing w:after="160" w:line="256" w:lineRule="auto"/>
              <w:rPr>
                <w:rFonts w:ascii="StobiSerif Regular" w:hAnsi="StobiSerif Regular" w:cstheme="minorHAnsi"/>
                <w:sz w:val="22"/>
                <w:szCs w:val="22"/>
                <w:lang w:eastAsia="en-US"/>
              </w:rPr>
            </w:pPr>
            <w:r w:rsidRPr="001C5580">
              <w:rPr>
                <w:rFonts w:ascii="StobiSerif Regular" w:hAnsi="StobiSerif Regular" w:cstheme="minorHAnsi"/>
                <w:sz w:val="22"/>
                <w:szCs w:val="22"/>
                <w:lang w:eastAsia="en-US"/>
              </w:rPr>
              <w:t>Големо</w:t>
            </w:r>
          </w:p>
        </w:tc>
        <w:tc>
          <w:tcPr>
            <w:tcW w:w="2059" w:type="dxa"/>
            <w:vMerge/>
            <w:tcBorders>
              <w:left w:val="single" w:sz="4" w:space="0" w:color="auto"/>
              <w:right w:val="single" w:sz="4" w:space="0" w:color="auto"/>
            </w:tcBorders>
          </w:tcPr>
          <w:p w14:paraId="7BF1FCAE" w14:textId="77777777" w:rsidR="00B42BA1" w:rsidRPr="001C5580" w:rsidRDefault="00B42BA1" w:rsidP="007160A1">
            <w:pPr>
              <w:spacing w:after="160" w:line="256" w:lineRule="auto"/>
              <w:rPr>
                <w:rFonts w:ascii="StobiSerif Regular" w:hAnsi="StobiSerif Regular" w:cstheme="minorHAnsi"/>
                <w:sz w:val="22"/>
                <w:szCs w:val="22"/>
              </w:rPr>
            </w:pPr>
          </w:p>
        </w:tc>
      </w:tr>
      <w:tr w:rsidR="00B42BA1" w:rsidRPr="00433C4A" w14:paraId="673483C7" w14:textId="77777777" w:rsidTr="00772765">
        <w:tc>
          <w:tcPr>
            <w:tcW w:w="3447" w:type="dxa"/>
            <w:tcBorders>
              <w:top w:val="single" w:sz="4" w:space="0" w:color="auto"/>
              <w:left w:val="single" w:sz="4" w:space="0" w:color="auto"/>
              <w:bottom w:val="single" w:sz="4" w:space="0" w:color="auto"/>
              <w:right w:val="single" w:sz="4" w:space="0" w:color="auto"/>
            </w:tcBorders>
          </w:tcPr>
          <w:p w14:paraId="5B4B7F4B" w14:textId="42D4EB7C" w:rsidR="00B42BA1" w:rsidRPr="001C5580" w:rsidRDefault="00B42BA1" w:rsidP="007160A1">
            <w:pPr>
              <w:spacing w:after="160" w:line="256" w:lineRule="auto"/>
              <w:rPr>
                <w:rFonts w:ascii="StobiSerif Regular" w:hAnsi="StobiSerif Regular" w:cstheme="minorHAnsi"/>
                <w:sz w:val="22"/>
                <w:szCs w:val="22"/>
              </w:rPr>
            </w:pPr>
            <w:r w:rsidRPr="001C5580">
              <w:rPr>
                <w:rFonts w:ascii="StobiSerif Regular" w:hAnsi="StobiSerif Regular" w:cstheme="minorHAnsi"/>
                <w:sz w:val="22"/>
                <w:szCs w:val="22"/>
              </w:rPr>
              <w:t xml:space="preserve">Земјата ја спроведува Стратегијата за РЈА според акционите планови, рокови и буџети  за активностите за АЗПСПИЈК </w:t>
            </w:r>
          </w:p>
        </w:tc>
        <w:tc>
          <w:tcPr>
            <w:tcW w:w="1798" w:type="dxa"/>
            <w:tcBorders>
              <w:top w:val="single" w:sz="4" w:space="0" w:color="auto"/>
              <w:left w:val="single" w:sz="4" w:space="0" w:color="auto"/>
              <w:bottom w:val="single" w:sz="4" w:space="0" w:color="auto"/>
              <w:right w:val="single" w:sz="4" w:space="0" w:color="auto"/>
            </w:tcBorders>
          </w:tcPr>
          <w:p w14:paraId="7A5F3C41" w14:textId="7D5ABDD9" w:rsidR="00B42BA1" w:rsidRPr="001C5580" w:rsidRDefault="00B42BA1" w:rsidP="007160A1">
            <w:pPr>
              <w:spacing w:after="160" w:line="256" w:lineRule="auto"/>
              <w:rPr>
                <w:rFonts w:ascii="StobiSerif Regular" w:hAnsi="StobiSerif Regular" w:cstheme="minorHAnsi"/>
                <w:sz w:val="22"/>
                <w:szCs w:val="22"/>
                <w:lang w:eastAsia="en-US"/>
              </w:rPr>
            </w:pPr>
            <w:r w:rsidRPr="001C5580">
              <w:rPr>
                <w:rFonts w:ascii="StobiSerif Regular" w:hAnsi="StobiSerif Regular" w:cstheme="minorHAnsi"/>
                <w:sz w:val="22"/>
                <w:szCs w:val="22"/>
                <w:lang w:eastAsia="en-US"/>
              </w:rPr>
              <w:t>Големо</w:t>
            </w:r>
          </w:p>
        </w:tc>
        <w:tc>
          <w:tcPr>
            <w:tcW w:w="1756" w:type="dxa"/>
            <w:tcBorders>
              <w:top w:val="single" w:sz="4" w:space="0" w:color="auto"/>
              <w:left w:val="single" w:sz="4" w:space="0" w:color="auto"/>
              <w:bottom w:val="single" w:sz="4" w:space="0" w:color="auto"/>
              <w:right w:val="single" w:sz="4" w:space="0" w:color="auto"/>
            </w:tcBorders>
          </w:tcPr>
          <w:p w14:paraId="32978BEA" w14:textId="1D322AD1" w:rsidR="00B42BA1" w:rsidRPr="001C5580" w:rsidRDefault="00B42BA1" w:rsidP="007160A1">
            <w:pPr>
              <w:spacing w:after="160" w:line="256" w:lineRule="auto"/>
              <w:rPr>
                <w:rFonts w:ascii="StobiSerif Regular" w:hAnsi="StobiSerif Regular" w:cstheme="minorHAnsi"/>
                <w:sz w:val="22"/>
                <w:szCs w:val="22"/>
                <w:lang w:eastAsia="en-US"/>
              </w:rPr>
            </w:pPr>
            <w:r w:rsidRPr="001C5580">
              <w:rPr>
                <w:rFonts w:ascii="StobiSerif Regular" w:hAnsi="StobiSerif Regular" w:cstheme="minorHAnsi"/>
                <w:sz w:val="22"/>
                <w:szCs w:val="22"/>
                <w:lang w:eastAsia="en-US"/>
              </w:rPr>
              <w:t>Големо</w:t>
            </w:r>
          </w:p>
        </w:tc>
        <w:tc>
          <w:tcPr>
            <w:tcW w:w="2059" w:type="dxa"/>
            <w:vMerge/>
            <w:tcBorders>
              <w:left w:val="single" w:sz="4" w:space="0" w:color="auto"/>
              <w:right w:val="single" w:sz="4" w:space="0" w:color="auto"/>
            </w:tcBorders>
          </w:tcPr>
          <w:p w14:paraId="7ADF650C" w14:textId="77777777" w:rsidR="00B42BA1" w:rsidRPr="001C5580" w:rsidRDefault="00B42BA1" w:rsidP="007160A1">
            <w:pPr>
              <w:spacing w:after="160" w:line="256" w:lineRule="auto"/>
              <w:rPr>
                <w:rFonts w:ascii="StobiSerif Regular" w:hAnsi="StobiSerif Regular" w:cstheme="minorHAnsi"/>
                <w:sz w:val="22"/>
                <w:szCs w:val="22"/>
              </w:rPr>
            </w:pPr>
          </w:p>
        </w:tc>
      </w:tr>
      <w:tr w:rsidR="00B42BA1" w:rsidRPr="00433C4A" w14:paraId="4DAA737D" w14:textId="77777777" w:rsidTr="00772765">
        <w:tc>
          <w:tcPr>
            <w:tcW w:w="3447" w:type="dxa"/>
            <w:tcBorders>
              <w:top w:val="single" w:sz="4" w:space="0" w:color="auto"/>
              <w:left w:val="single" w:sz="4" w:space="0" w:color="auto"/>
              <w:bottom w:val="single" w:sz="4" w:space="0" w:color="auto"/>
              <w:right w:val="single" w:sz="4" w:space="0" w:color="auto"/>
            </w:tcBorders>
          </w:tcPr>
          <w:p w14:paraId="78023AF6" w14:textId="2407395E" w:rsidR="00B42BA1" w:rsidRPr="001C5580" w:rsidRDefault="00B42BA1" w:rsidP="00B42BA1">
            <w:pPr>
              <w:spacing w:after="160" w:line="256" w:lineRule="auto"/>
              <w:rPr>
                <w:rFonts w:ascii="StobiSerif Regular" w:hAnsi="StobiSerif Regular" w:cstheme="minorHAnsi"/>
                <w:sz w:val="22"/>
                <w:szCs w:val="22"/>
              </w:rPr>
            </w:pPr>
            <w:r w:rsidRPr="001C5580">
              <w:rPr>
                <w:rFonts w:ascii="StobiSerif Regular" w:hAnsi="StobiSerif Regular" w:cstheme="minorHAnsi"/>
                <w:sz w:val="22"/>
                <w:szCs w:val="22"/>
              </w:rPr>
              <w:t xml:space="preserve">Недоволен број вработени во АЗПСПИЈК за оптимално учество во активностите/ резултатите поради  недобивање согласност за реализација на годишните планови за работа на АЗПСПИЈК </w:t>
            </w:r>
          </w:p>
        </w:tc>
        <w:tc>
          <w:tcPr>
            <w:tcW w:w="1798" w:type="dxa"/>
            <w:tcBorders>
              <w:top w:val="single" w:sz="4" w:space="0" w:color="auto"/>
              <w:left w:val="single" w:sz="4" w:space="0" w:color="auto"/>
              <w:bottom w:val="single" w:sz="4" w:space="0" w:color="auto"/>
              <w:right w:val="single" w:sz="4" w:space="0" w:color="auto"/>
            </w:tcBorders>
          </w:tcPr>
          <w:p w14:paraId="089CDDE4" w14:textId="44308DE9" w:rsidR="00B42BA1" w:rsidRPr="001C5580" w:rsidRDefault="00B42BA1" w:rsidP="00B42BA1">
            <w:pPr>
              <w:spacing w:after="160" w:line="256" w:lineRule="auto"/>
              <w:rPr>
                <w:rFonts w:ascii="StobiSerif Regular" w:hAnsi="StobiSerif Regular" w:cstheme="minorHAnsi"/>
                <w:sz w:val="22"/>
                <w:szCs w:val="22"/>
                <w:lang w:eastAsia="en-US"/>
              </w:rPr>
            </w:pPr>
            <w:r w:rsidRPr="001C5580">
              <w:rPr>
                <w:rFonts w:ascii="StobiSerif Regular" w:hAnsi="StobiSerif Regular" w:cstheme="minorHAnsi"/>
                <w:sz w:val="22"/>
                <w:szCs w:val="22"/>
                <w:lang w:eastAsia="en-US"/>
              </w:rPr>
              <w:t>Средно</w:t>
            </w:r>
          </w:p>
        </w:tc>
        <w:tc>
          <w:tcPr>
            <w:tcW w:w="1756" w:type="dxa"/>
            <w:tcBorders>
              <w:top w:val="single" w:sz="4" w:space="0" w:color="auto"/>
              <w:left w:val="single" w:sz="4" w:space="0" w:color="auto"/>
              <w:bottom w:val="single" w:sz="4" w:space="0" w:color="auto"/>
              <w:right w:val="single" w:sz="4" w:space="0" w:color="auto"/>
            </w:tcBorders>
          </w:tcPr>
          <w:p w14:paraId="04F92450" w14:textId="15C0F76B" w:rsidR="00B42BA1" w:rsidRPr="001C5580" w:rsidRDefault="00B42BA1" w:rsidP="00B42BA1">
            <w:pPr>
              <w:spacing w:after="160" w:line="256" w:lineRule="auto"/>
              <w:rPr>
                <w:rFonts w:ascii="StobiSerif Regular" w:hAnsi="StobiSerif Regular" w:cstheme="minorHAnsi"/>
                <w:sz w:val="22"/>
                <w:szCs w:val="22"/>
                <w:lang w:eastAsia="en-US"/>
              </w:rPr>
            </w:pPr>
            <w:r w:rsidRPr="001C5580">
              <w:rPr>
                <w:rFonts w:ascii="StobiSerif Regular" w:hAnsi="StobiSerif Regular" w:cstheme="minorHAnsi"/>
                <w:sz w:val="22"/>
                <w:szCs w:val="22"/>
                <w:lang w:eastAsia="en-US"/>
              </w:rPr>
              <w:t>Средно</w:t>
            </w:r>
          </w:p>
        </w:tc>
        <w:tc>
          <w:tcPr>
            <w:tcW w:w="2059" w:type="dxa"/>
            <w:vMerge/>
            <w:tcBorders>
              <w:left w:val="single" w:sz="4" w:space="0" w:color="auto"/>
              <w:right w:val="single" w:sz="4" w:space="0" w:color="auto"/>
            </w:tcBorders>
          </w:tcPr>
          <w:p w14:paraId="64F2B22E" w14:textId="77777777" w:rsidR="00B42BA1" w:rsidRPr="001C5580" w:rsidRDefault="00B42BA1" w:rsidP="00B42BA1">
            <w:pPr>
              <w:spacing w:after="160" w:line="256" w:lineRule="auto"/>
              <w:rPr>
                <w:rFonts w:ascii="StobiSerif Regular" w:hAnsi="StobiSerif Regular" w:cstheme="minorHAnsi"/>
                <w:sz w:val="22"/>
                <w:szCs w:val="22"/>
              </w:rPr>
            </w:pPr>
          </w:p>
        </w:tc>
      </w:tr>
      <w:tr w:rsidR="00B42BA1" w:rsidRPr="00433C4A" w14:paraId="144666E5" w14:textId="77777777" w:rsidTr="00772765">
        <w:tc>
          <w:tcPr>
            <w:tcW w:w="3447" w:type="dxa"/>
            <w:tcBorders>
              <w:top w:val="single" w:sz="4" w:space="0" w:color="auto"/>
              <w:left w:val="single" w:sz="4" w:space="0" w:color="auto"/>
              <w:bottom w:val="single" w:sz="4" w:space="0" w:color="auto"/>
              <w:right w:val="single" w:sz="4" w:space="0" w:color="auto"/>
            </w:tcBorders>
          </w:tcPr>
          <w:p w14:paraId="4D5BB9CF" w14:textId="1EF7C897" w:rsidR="00B42BA1" w:rsidRPr="001C5580" w:rsidRDefault="00B42BA1" w:rsidP="00B42BA1">
            <w:pPr>
              <w:spacing w:after="160" w:line="256" w:lineRule="auto"/>
              <w:rPr>
                <w:rFonts w:ascii="StobiSerif Regular" w:hAnsi="StobiSerif Regular" w:cstheme="minorHAnsi"/>
                <w:sz w:val="22"/>
                <w:szCs w:val="22"/>
              </w:rPr>
            </w:pPr>
            <w:r w:rsidRPr="001C5580">
              <w:rPr>
                <w:rFonts w:ascii="StobiSerif Regular" w:hAnsi="StobiSerif Regular" w:cstheme="minorHAnsi"/>
                <w:sz w:val="22"/>
                <w:szCs w:val="22"/>
              </w:rPr>
              <w:t>Пониска посветеност и поддршка за проектот од страна на следното раководство на АЗПСПИЈК можни промени во административниот персонал одговорен за координација</w:t>
            </w:r>
          </w:p>
        </w:tc>
        <w:tc>
          <w:tcPr>
            <w:tcW w:w="1798" w:type="dxa"/>
            <w:tcBorders>
              <w:top w:val="single" w:sz="4" w:space="0" w:color="auto"/>
              <w:left w:val="single" w:sz="4" w:space="0" w:color="auto"/>
              <w:bottom w:val="single" w:sz="4" w:space="0" w:color="auto"/>
              <w:right w:val="single" w:sz="4" w:space="0" w:color="auto"/>
            </w:tcBorders>
          </w:tcPr>
          <w:p w14:paraId="52F416A9" w14:textId="22D70912" w:rsidR="00B42BA1" w:rsidRPr="001C5580" w:rsidRDefault="00B42BA1" w:rsidP="00B42BA1">
            <w:pPr>
              <w:spacing w:after="160" w:line="256" w:lineRule="auto"/>
              <w:rPr>
                <w:rFonts w:ascii="StobiSerif Regular" w:hAnsi="StobiSerif Regular" w:cstheme="minorHAnsi"/>
                <w:sz w:val="22"/>
                <w:szCs w:val="22"/>
                <w:lang w:eastAsia="en-US"/>
              </w:rPr>
            </w:pPr>
            <w:r w:rsidRPr="001C5580">
              <w:rPr>
                <w:rFonts w:ascii="StobiSerif Regular" w:hAnsi="StobiSerif Regular" w:cstheme="minorHAnsi"/>
                <w:sz w:val="22"/>
                <w:szCs w:val="22"/>
                <w:lang w:eastAsia="en-US"/>
              </w:rPr>
              <w:t>Средно</w:t>
            </w:r>
          </w:p>
        </w:tc>
        <w:tc>
          <w:tcPr>
            <w:tcW w:w="1756" w:type="dxa"/>
            <w:tcBorders>
              <w:top w:val="single" w:sz="4" w:space="0" w:color="auto"/>
              <w:left w:val="single" w:sz="4" w:space="0" w:color="auto"/>
              <w:bottom w:val="single" w:sz="4" w:space="0" w:color="auto"/>
              <w:right w:val="single" w:sz="4" w:space="0" w:color="auto"/>
            </w:tcBorders>
          </w:tcPr>
          <w:p w14:paraId="791630C6" w14:textId="2E83C491" w:rsidR="00B42BA1" w:rsidRPr="001C5580" w:rsidRDefault="00B42BA1" w:rsidP="00B42BA1">
            <w:pPr>
              <w:spacing w:after="160" w:line="256" w:lineRule="auto"/>
              <w:rPr>
                <w:rFonts w:ascii="StobiSerif Regular" w:hAnsi="StobiSerif Regular" w:cstheme="minorHAnsi"/>
                <w:sz w:val="22"/>
                <w:szCs w:val="22"/>
                <w:lang w:eastAsia="en-US"/>
              </w:rPr>
            </w:pPr>
            <w:r w:rsidRPr="001C5580">
              <w:rPr>
                <w:rFonts w:ascii="StobiSerif Regular" w:hAnsi="StobiSerif Regular" w:cstheme="minorHAnsi"/>
                <w:sz w:val="22"/>
                <w:szCs w:val="22"/>
                <w:lang w:eastAsia="en-US"/>
              </w:rPr>
              <w:t>Средно</w:t>
            </w:r>
          </w:p>
        </w:tc>
        <w:tc>
          <w:tcPr>
            <w:tcW w:w="2059" w:type="dxa"/>
            <w:vMerge/>
            <w:tcBorders>
              <w:left w:val="single" w:sz="4" w:space="0" w:color="auto"/>
              <w:right w:val="single" w:sz="4" w:space="0" w:color="auto"/>
            </w:tcBorders>
          </w:tcPr>
          <w:p w14:paraId="635A24E6" w14:textId="77777777" w:rsidR="00B42BA1" w:rsidRPr="001C5580" w:rsidRDefault="00B42BA1" w:rsidP="00B42BA1">
            <w:pPr>
              <w:spacing w:after="160" w:line="256" w:lineRule="auto"/>
              <w:rPr>
                <w:rFonts w:ascii="StobiSerif Regular" w:hAnsi="StobiSerif Regular" w:cstheme="minorHAnsi"/>
                <w:sz w:val="22"/>
                <w:szCs w:val="22"/>
              </w:rPr>
            </w:pPr>
          </w:p>
        </w:tc>
      </w:tr>
      <w:tr w:rsidR="00B42BA1" w:rsidRPr="00433C4A" w14:paraId="08EF9716" w14:textId="77777777" w:rsidTr="00772765">
        <w:tc>
          <w:tcPr>
            <w:tcW w:w="3447" w:type="dxa"/>
            <w:tcBorders>
              <w:top w:val="single" w:sz="4" w:space="0" w:color="auto"/>
              <w:left w:val="single" w:sz="4" w:space="0" w:color="auto"/>
              <w:bottom w:val="single" w:sz="4" w:space="0" w:color="auto"/>
              <w:right w:val="single" w:sz="4" w:space="0" w:color="auto"/>
            </w:tcBorders>
          </w:tcPr>
          <w:p w14:paraId="788E018D" w14:textId="5D8DD9D3" w:rsidR="00B42BA1" w:rsidRPr="001C5580" w:rsidRDefault="00B42BA1" w:rsidP="00B42BA1">
            <w:pPr>
              <w:spacing w:after="160" w:line="256" w:lineRule="auto"/>
              <w:rPr>
                <w:rFonts w:ascii="StobiSerif Regular" w:hAnsi="StobiSerif Regular" w:cstheme="minorHAnsi"/>
                <w:sz w:val="22"/>
                <w:szCs w:val="22"/>
              </w:rPr>
            </w:pPr>
            <w:r w:rsidRPr="001C5580">
              <w:rPr>
                <w:rFonts w:ascii="StobiSerif Regular" w:hAnsi="StobiSerif Regular" w:cstheme="minorHAnsi"/>
                <w:sz w:val="22"/>
                <w:szCs w:val="22"/>
              </w:rPr>
              <w:t xml:space="preserve">Недоволен број на донатори заинтересирани за оптимална реализација на активностите и резултатите </w:t>
            </w:r>
            <w:r w:rsidRPr="001C5580">
              <w:rPr>
                <w:rFonts w:ascii="StobiSerif Regular" w:hAnsi="StobiSerif Regular" w:cstheme="minorHAnsi"/>
                <w:sz w:val="22"/>
                <w:szCs w:val="22"/>
              </w:rPr>
              <w:lastRenderedPageBreak/>
              <w:t>предвидени во АП за АЗПСПИЈК</w:t>
            </w:r>
          </w:p>
        </w:tc>
        <w:tc>
          <w:tcPr>
            <w:tcW w:w="1798" w:type="dxa"/>
            <w:tcBorders>
              <w:top w:val="single" w:sz="4" w:space="0" w:color="auto"/>
              <w:left w:val="single" w:sz="4" w:space="0" w:color="auto"/>
              <w:bottom w:val="single" w:sz="4" w:space="0" w:color="auto"/>
              <w:right w:val="single" w:sz="4" w:space="0" w:color="auto"/>
            </w:tcBorders>
          </w:tcPr>
          <w:p w14:paraId="7ADE6B04" w14:textId="25EA59C8" w:rsidR="00B42BA1" w:rsidRPr="001C5580" w:rsidRDefault="00B42BA1" w:rsidP="00B42BA1">
            <w:pPr>
              <w:spacing w:after="160" w:line="256" w:lineRule="auto"/>
              <w:rPr>
                <w:rFonts w:ascii="StobiSerif Regular" w:hAnsi="StobiSerif Regular" w:cstheme="minorHAnsi"/>
                <w:sz w:val="22"/>
                <w:szCs w:val="22"/>
                <w:lang w:eastAsia="en-US"/>
              </w:rPr>
            </w:pPr>
            <w:r w:rsidRPr="001C5580">
              <w:rPr>
                <w:rFonts w:ascii="StobiSerif Regular" w:hAnsi="StobiSerif Regular" w:cstheme="minorHAnsi"/>
                <w:sz w:val="22"/>
                <w:szCs w:val="22"/>
                <w:lang w:eastAsia="en-US"/>
              </w:rPr>
              <w:lastRenderedPageBreak/>
              <w:t>Големо</w:t>
            </w:r>
          </w:p>
        </w:tc>
        <w:tc>
          <w:tcPr>
            <w:tcW w:w="1756" w:type="dxa"/>
            <w:tcBorders>
              <w:top w:val="single" w:sz="4" w:space="0" w:color="auto"/>
              <w:left w:val="single" w:sz="4" w:space="0" w:color="auto"/>
              <w:bottom w:val="single" w:sz="4" w:space="0" w:color="auto"/>
              <w:right w:val="single" w:sz="4" w:space="0" w:color="auto"/>
            </w:tcBorders>
          </w:tcPr>
          <w:p w14:paraId="41BC6EC4" w14:textId="2A83173D" w:rsidR="00B42BA1" w:rsidRPr="001C5580" w:rsidRDefault="00B42BA1" w:rsidP="00B42BA1">
            <w:pPr>
              <w:spacing w:after="160" w:line="256" w:lineRule="auto"/>
              <w:rPr>
                <w:rFonts w:ascii="StobiSerif Regular" w:hAnsi="StobiSerif Regular" w:cstheme="minorHAnsi"/>
                <w:sz w:val="22"/>
                <w:szCs w:val="22"/>
                <w:lang w:eastAsia="en-US"/>
              </w:rPr>
            </w:pPr>
            <w:r w:rsidRPr="001C5580">
              <w:rPr>
                <w:rFonts w:ascii="StobiSerif Regular" w:hAnsi="StobiSerif Regular" w:cstheme="minorHAnsi"/>
                <w:sz w:val="22"/>
                <w:szCs w:val="22"/>
                <w:lang w:eastAsia="en-US"/>
              </w:rPr>
              <w:t>Големо</w:t>
            </w:r>
          </w:p>
        </w:tc>
        <w:tc>
          <w:tcPr>
            <w:tcW w:w="2059" w:type="dxa"/>
            <w:vMerge/>
            <w:tcBorders>
              <w:left w:val="single" w:sz="4" w:space="0" w:color="auto"/>
              <w:right w:val="single" w:sz="4" w:space="0" w:color="auto"/>
            </w:tcBorders>
          </w:tcPr>
          <w:p w14:paraId="74F227D9" w14:textId="77777777" w:rsidR="00B42BA1" w:rsidRPr="001C5580" w:rsidRDefault="00B42BA1" w:rsidP="00B42BA1">
            <w:pPr>
              <w:spacing w:after="160" w:line="256" w:lineRule="auto"/>
              <w:rPr>
                <w:rFonts w:ascii="StobiSerif Regular" w:hAnsi="StobiSerif Regular" w:cstheme="minorHAnsi"/>
                <w:sz w:val="22"/>
                <w:szCs w:val="22"/>
              </w:rPr>
            </w:pPr>
          </w:p>
        </w:tc>
      </w:tr>
      <w:tr w:rsidR="00B42BA1" w:rsidRPr="00433C4A" w14:paraId="1D2B3F14" w14:textId="77777777" w:rsidTr="00772765">
        <w:tc>
          <w:tcPr>
            <w:tcW w:w="3447" w:type="dxa"/>
            <w:tcBorders>
              <w:top w:val="single" w:sz="4" w:space="0" w:color="auto"/>
              <w:left w:val="single" w:sz="4" w:space="0" w:color="auto"/>
              <w:bottom w:val="single" w:sz="4" w:space="0" w:color="auto"/>
              <w:right w:val="single" w:sz="4" w:space="0" w:color="auto"/>
            </w:tcBorders>
          </w:tcPr>
          <w:p w14:paraId="713636F3" w14:textId="7569AB1B" w:rsidR="00B42BA1" w:rsidRPr="001C5580" w:rsidRDefault="00B42BA1" w:rsidP="00B42BA1">
            <w:pPr>
              <w:spacing w:after="160" w:line="256" w:lineRule="auto"/>
              <w:rPr>
                <w:rFonts w:ascii="StobiSerif Regular" w:hAnsi="StobiSerif Regular" w:cstheme="minorHAnsi"/>
                <w:sz w:val="22"/>
                <w:szCs w:val="22"/>
              </w:rPr>
            </w:pPr>
            <w:r w:rsidRPr="001C5580">
              <w:rPr>
                <w:rFonts w:ascii="StobiSerif Regular" w:hAnsi="StobiSerif Regular" w:cstheme="minorHAnsi"/>
                <w:sz w:val="22"/>
                <w:szCs w:val="22"/>
              </w:rPr>
              <w:lastRenderedPageBreak/>
              <w:t>Недоволен број на донатори заинтересирани за оптимална реализација на активностите и резултатите предвидени во АП за АЗПСПИЈК</w:t>
            </w:r>
          </w:p>
        </w:tc>
        <w:tc>
          <w:tcPr>
            <w:tcW w:w="1798" w:type="dxa"/>
            <w:tcBorders>
              <w:top w:val="single" w:sz="4" w:space="0" w:color="auto"/>
              <w:left w:val="single" w:sz="4" w:space="0" w:color="auto"/>
              <w:bottom w:val="single" w:sz="4" w:space="0" w:color="auto"/>
              <w:right w:val="single" w:sz="4" w:space="0" w:color="auto"/>
            </w:tcBorders>
          </w:tcPr>
          <w:p w14:paraId="47E6EFD4" w14:textId="71D62277" w:rsidR="00B42BA1" w:rsidRPr="001C5580" w:rsidRDefault="00B42BA1" w:rsidP="00B42BA1">
            <w:pPr>
              <w:spacing w:after="160" w:line="256" w:lineRule="auto"/>
              <w:rPr>
                <w:rFonts w:ascii="StobiSerif Regular" w:hAnsi="StobiSerif Regular" w:cstheme="minorHAnsi"/>
                <w:sz w:val="22"/>
                <w:szCs w:val="22"/>
                <w:lang w:eastAsia="en-US"/>
              </w:rPr>
            </w:pPr>
            <w:r w:rsidRPr="001C5580">
              <w:rPr>
                <w:rFonts w:ascii="StobiSerif Regular" w:hAnsi="StobiSerif Regular" w:cstheme="minorHAnsi"/>
                <w:sz w:val="22"/>
                <w:szCs w:val="22"/>
                <w:lang w:eastAsia="en-US"/>
              </w:rPr>
              <w:t>Големо</w:t>
            </w:r>
          </w:p>
        </w:tc>
        <w:tc>
          <w:tcPr>
            <w:tcW w:w="1756" w:type="dxa"/>
            <w:tcBorders>
              <w:top w:val="single" w:sz="4" w:space="0" w:color="auto"/>
              <w:left w:val="single" w:sz="4" w:space="0" w:color="auto"/>
              <w:bottom w:val="single" w:sz="4" w:space="0" w:color="auto"/>
              <w:right w:val="single" w:sz="4" w:space="0" w:color="auto"/>
            </w:tcBorders>
          </w:tcPr>
          <w:p w14:paraId="018B730F" w14:textId="3EF53295" w:rsidR="00B42BA1" w:rsidRPr="001C5580" w:rsidRDefault="00B42BA1" w:rsidP="00B42BA1">
            <w:pPr>
              <w:spacing w:after="160" w:line="256" w:lineRule="auto"/>
              <w:rPr>
                <w:rFonts w:ascii="StobiSerif Regular" w:hAnsi="StobiSerif Regular" w:cstheme="minorHAnsi"/>
                <w:sz w:val="22"/>
                <w:szCs w:val="22"/>
                <w:lang w:eastAsia="en-US"/>
              </w:rPr>
            </w:pPr>
            <w:r w:rsidRPr="001C5580">
              <w:rPr>
                <w:rFonts w:ascii="StobiSerif Regular" w:hAnsi="StobiSerif Regular" w:cstheme="minorHAnsi"/>
                <w:sz w:val="22"/>
                <w:szCs w:val="22"/>
                <w:lang w:eastAsia="en-US"/>
              </w:rPr>
              <w:t>Големо</w:t>
            </w:r>
          </w:p>
        </w:tc>
        <w:tc>
          <w:tcPr>
            <w:tcW w:w="2059" w:type="dxa"/>
            <w:vMerge/>
            <w:tcBorders>
              <w:left w:val="single" w:sz="4" w:space="0" w:color="auto"/>
              <w:right w:val="single" w:sz="4" w:space="0" w:color="auto"/>
            </w:tcBorders>
          </w:tcPr>
          <w:p w14:paraId="5DC9AE29" w14:textId="77777777" w:rsidR="00B42BA1" w:rsidRPr="001C5580" w:rsidRDefault="00B42BA1" w:rsidP="00B42BA1">
            <w:pPr>
              <w:spacing w:after="160" w:line="256" w:lineRule="auto"/>
              <w:rPr>
                <w:rFonts w:ascii="StobiSerif Regular" w:hAnsi="StobiSerif Regular" w:cstheme="minorHAnsi"/>
                <w:sz w:val="22"/>
                <w:szCs w:val="22"/>
              </w:rPr>
            </w:pPr>
          </w:p>
        </w:tc>
      </w:tr>
      <w:tr w:rsidR="00772765" w:rsidRPr="00433C4A" w14:paraId="72042F4E" w14:textId="77777777" w:rsidTr="00772765">
        <w:tc>
          <w:tcPr>
            <w:tcW w:w="3447" w:type="dxa"/>
            <w:tcBorders>
              <w:top w:val="single" w:sz="4" w:space="0" w:color="auto"/>
              <w:left w:val="single" w:sz="4" w:space="0" w:color="auto"/>
              <w:bottom w:val="single" w:sz="4" w:space="0" w:color="auto"/>
              <w:right w:val="single" w:sz="4" w:space="0" w:color="auto"/>
            </w:tcBorders>
          </w:tcPr>
          <w:p w14:paraId="54F45E55" w14:textId="4BB84CB3" w:rsidR="00772765" w:rsidRPr="001C5580" w:rsidRDefault="00772765" w:rsidP="00772765">
            <w:pPr>
              <w:spacing w:after="160" w:line="256" w:lineRule="auto"/>
              <w:rPr>
                <w:rFonts w:ascii="StobiSerif Regular" w:hAnsi="StobiSerif Regular" w:cstheme="minorHAnsi"/>
                <w:sz w:val="22"/>
                <w:szCs w:val="22"/>
              </w:rPr>
            </w:pPr>
            <w:r w:rsidRPr="00F93849">
              <w:rPr>
                <w:rFonts w:ascii="StobiSerif Regular" w:hAnsi="StobiSerif Regular" w:cstheme="minorHAnsi"/>
                <w:sz w:val="22"/>
                <w:szCs w:val="22"/>
              </w:rPr>
              <w:t>Нецелосно унифицирање на веб страниците на сите инспекциските служби на централно ниво</w:t>
            </w:r>
          </w:p>
        </w:tc>
        <w:tc>
          <w:tcPr>
            <w:tcW w:w="1798" w:type="dxa"/>
            <w:tcBorders>
              <w:top w:val="single" w:sz="4" w:space="0" w:color="auto"/>
              <w:left w:val="single" w:sz="4" w:space="0" w:color="auto"/>
              <w:bottom w:val="single" w:sz="4" w:space="0" w:color="auto"/>
              <w:right w:val="single" w:sz="4" w:space="0" w:color="auto"/>
            </w:tcBorders>
          </w:tcPr>
          <w:p w14:paraId="3DD3CFFA" w14:textId="78634AF6" w:rsidR="00772765" w:rsidRPr="001C5580" w:rsidRDefault="00772765" w:rsidP="00772765">
            <w:pPr>
              <w:spacing w:after="160" w:line="256" w:lineRule="auto"/>
              <w:rPr>
                <w:rFonts w:ascii="StobiSerif Regular" w:hAnsi="StobiSerif Regular" w:cstheme="minorHAnsi"/>
                <w:sz w:val="22"/>
                <w:szCs w:val="22"/>
                <w:lang w:eastAsia="en-US"/>
              </w:rPr>
            </w:pPr>
            <w:r w:rsidRPr="00F93849">
              <w:rPr>
                <w:rFonts w:ascii="StobiSerif Regular" w:hAnsi="StobiSerif Regular" w:cstheme="minorHAnsi"/>
                <w:sz w:val="22"/>
                <w:szCs w:val="22"/>
                <w:lang w:eastAsia="en-US"/>
              </w:rPr>
              <w:t>Големо</w:t>
            </w:r>
          </w:p>
        </w:tc>
        <w:tc>
          <w:tcPr>
            <w:tcW w:w="1756" w:type="dxa"/>
            <w:tcBorders>
              <w:top w:val="single" w:sz="4" w:space="0" w:color="auto"/>
              <w:left w:val="single" w:sz="4" w:space="0" w:color="auto"/>
              <w:bottom w:val="single" w:sz="4" w:space="0" w:color="auto"/>
              <w:right w:val="single" w:sz="4" w:space="0" w:color="auto"/>
            </w:tcBorders>
          </w:tcPr>
          <w:p w14:paraId="01DE6F48" w14:textId="143FBAB4" w:rsidR="00772765" w:rsidRPr="001C5580" w:rsidRDefault="00772765" w:rsidP="00772765">
            <w:pPr>
              <w:spacing w:after="160" w:line="256" w:lineRule="auto"/>
              <w:rPr>
                <w:rFonts w:ascii="StobiSerif Regular" w:hAnsi="StobiSerif Regular" w:cstheme="minorHAnsi"/>
                <w:sz w:val="22"/>
                <w:szCs w:val="22"/>
                <w:lang w:eastAsia="en-US"/>
              </w:rPr>
            </w:pPr>
            <w:r w:rsidRPr="00F93849">
              <w:rPr>
                <w:rFonts w:ascii="StobiSerif Regular" w:hAnsi="StobiSerif Regular" w:cstheme="minorHAnsi"/>
                <w:sz w:val="22"/>
                <w:szCs w:val="22"/>
                <w:lang w:eastAsia="en-US"/>
              </w:rPr>
              <w:t>Големо</w:t>
            </w:r>
          </w:p>
        </w:tc>
        <w:tc>
          <w:tcPr>
            <w:tcW w:w="2059" w:type="dxa"/>
            <w:tcBorders>
              <w:left w:val="single" w:sz="4" w:space="0" w:color="auto"/>
              <w:right w:val="single" w:sz="4" w:space="0" w:color="auto"/>
            </w:tcBorders>
          </w:tcPr>
          <w:p w14:paraId="4D5FDF3E" w14:textId="6BEA3E44" w:rsidR="00772765" w:rsidRPr="001C5580" w:rsidRDefault="00772765" w:rsidP="00772765">
            <w:pPr>
              <w:spacing w:after="160" w:line="256" w:lineRule="auto"/>
              <w:rPr>
                <w:rFonts w:ascii="StobiSerif Regular" w:hAnsi="StobiSerif Regular" w:cstheme="minorHAnsi"/>
                <w:sz w:val="22"/>
                <w:szCs w:val="22"/>
              </w:rPr>
            </w:pPr>
            <w:r w:rsidRPr="00F93849">
              <w:rPr>
                <w:rFonts w:ascii="StobiSerif Regular" w:hAnsi="StobiSerif Regular" w:cstheme="minorHAnsi"/>
                <w:sz w:val="22"/>
                <w:szCs w:val="22"/>
                <w:lang w:eastAsia="en-US"/>
              </w:rPr>
              <w:t>Обезбедување на финансиски средства за  во сите инспекторати или во Буџетот на ИС централно за  унифицирање на веб страните на инспекциските служби</w:t>
            </w:r>
          </w:p>
        </w:tc>
      </w:tr>
      <w:tr w:rsidR="00772765" w:rsidRPr="00433C4A" w14:paraId="5B2E08FB" w14:textId="77777777" w:rsidTr="00772765">
        <w:tc>
          <w:tcPr>
            <w:tcW w:w="3447" w:type="dxa"/>
            <w:tcBorders>
              <w:top w:val="single" w:sz="4" w:space="0" w:color="auto"/>
              <w:left w:val="single" w:sz="4" w:space="0" w:color="auto"/>
              <w:bottom w:val="single" w:sz="4" w:space="0" w:color="auto"/>
              <w:right w:val="single" w:sz="4" w:space="0" w:color="auto"/>
            </w:tcBorders>
          </w:tcPr>
          <w:p w14:paraId="6A077111" w14:textId="0A341CAF" w:rsidR="00772765" w:rsidRPr="001C5580" w:rsidRDefault="00772765" w:rsidP="00772765">
            <w:pPr>
              <w:spacing w:after="160" w:line="256" w:lineRule="auto"/>
              <w:rPr>
                <w:rFonts w:ascii="StobiSerif Regular" w:hAnsi="StobiSerif Regular" w:cstheme="minorHAnsi"/>
                <w:sz w:val="22"/>
                <w:szCs w:val="22"/>
              </w:rPr>
            </w:pPr>
            <w:r w:rsidRPr="00F93849">
              <w:rPr>
                <w:rFonts w:ascii="StobiSerif Regular" w:hAnsi="StobiSerif Regular" w:cstheme="minorHAnsi"/>
                <w:sz w:val="22"/>
                <w:szCs w:val="22"/>
              </w:rPr>
              <w:t xml:space="preserve">Слаба </w:t>
            </w:r>
            <w:proofErr w:type="spellStart"/>
            <w:r w:rsidRPr="00F93849">
              <w:rPr>
                <w:rFonts w:ascii="StobiSerif Regular" w:hAnsi="StobiSerif Regular" w:cstheme="minorHAnsi"/>
                <w:sz w:val="22"/>
                <w:szCs w:val="22"/>
              </w:rPr>
              <w:t>респонсивност</w:t>
            </w:r>
            <w:proofErr w:type="spellEnd"/>
            <w:r w:rsidRPr="00F93849">
              <w:rPr>
                <w:rFonts w:ascii="StobiSerif Regular" w:hAnsi="StobiSerif Regular" w:cstheme="minorHAnsi"/>
                <w:sz w:val="22"/>
                <w:szCs w:val="22"/>
              </w:rPr>
              <w:t xml:space="preserve"> од институциите иматели на податоци</w:t>
            </w:r>
          </w:p>
        </w:tc>
        <w:tc>
          <w:tcPr>
            <w:tcW w:w="1798" w:type="dxa"/>
            <w:tcBorders>
              <w:top w:val="single" w:sz="4" w:space="0" w:color="auto"/>
              <w:left w:val="single" w:sz="4" w:space="0" w:color="auto"/>
              <w:bottom w:val="single" w:sz="4" w:space="0" w:color="auto"/>
              <w:right w:val="single" w:sz="4" w:space="0" w:color="auto"/>
            </w:tcBorders>
          </w:tcPr>
          <w:p w14:paraId="3A899BC7" w14:textId="0C3D2CFC" w:rsidR="00772765" w:rsidRPr="001C5580" w:rsidRDefault="00772765" w:rsidP="00772765">
            <w:pPr>
              <w:spacing w:after="160" w:line="256" w:lineRule="auto"/>
              <w:rPr>
                <w:rFonts w:ascii="StobiSerif Regular" w:hAnsi="StobiSerif Regular" w:cstheme="minorHAnsi"/>
                <w:sz w:val="22"/>
                <w:szCs w:val="22"/>
                <w:lang w:eastAsia="en-US"/>
              </w:rPr>
            </w:pPr>
            <w:r w:rsidRPr="00F93849">
              <w:rPr>
                <w:rFonts w:ascii="StobiSerif Regular" w:hAnsi="StobiSerif Regular" w:cstheme="minorHAnsi"/>
                <w:sz w:val="22"/>
                <w:szCs w:val="22"/>
                <w:lang w:eastAsia="en-US"/>
              </w:rPr>
              <w:t>Средно</w:t>
            </w:r>
          </w:p>
        </w:tc>
        <w:tc>
          <w:tcPr>
            <w:tcW w:w="1756" w:type="dxa"/>
            <w:tcBorders>
              <w:top w:val="single" w:sz="4" w:space="0" w:color="auto"/>
              <w:left w:val="single" w:sz="4" w:space="0" w:color="auto"/>
              <w:bottom w:val="single" w:sz="4" w:space="0" w:color="auto"/>
              <w:right w:val="single" w:sz="4" w:space="0" w:color="auto"/>
            </w:tcBorders>
          </w:tcPr>
          <w:p w14:paraId="4C29EBC5" w14:textId="21F376FF" w:rsidR="00772765" w:rsidRPr="001C5580" w:rsidRDefault="00772765" w:rsidP="00772765">
            <w:pPr>
              <w:spacing w:after="160" w:line="256" w:lineRule="auto"/>
              <w:rPr>
                <w:rFonts w:ascii="StobiSerif Regular" w:hAnsi="StobiSerif Regular" w:cstheme="minorHAnsi"/>
                <w:sz w:val="22"/>
                <w:szCs w:val="22"/>
                <w:lang w:eastAsia="en-US"/>
              </w:rPr>
            </w:pPr>
            <w:r w:rsidRPr="00F93849">
              <w:rPr>
                <w:rFonts w:ascii="StobiSerif Regular" w:hAnsi="StobiSerif Regular" w:cstheme="minorHAnsi"/>
                <w:sz w:val="22"/>
                <w:szCs w:val="22"/>
                <w:lang w:eastAsia="en-US"/>
              </w:rPr>
              <w:t>Средно</w:t>
            </w:r>
          </w:p>
        </w:tc>
        <w:tc>
          <w:tcPr>
            <w:tcW w:w="2059" w:type="dxa"/>
            <w:tcBorders>
              <w:left w:val="single" w:sz="4" w:space="0" w:color="auto"/>
              <w:right w:val="single" w:sz="4" w:space="0" w:color="auto"/>
            </w:tcBorders>
          </w:tcPr>
          <w:p w14:paraId="7F46D388" w14:textId="1428D800" w:rsidR="00772765" w:rsidRPr="001C5580" w:rsidRDefault="00772765" w:rsidP="00772765">
            <w:pPr>
              <w:spacing w:after="160" w:line="256" w:lineRule="auto"/>
              <w:rPr>
                <w:rFonts w:ascii="StobiSerif Regular" w:hAnsi="StobiSerif Regular" w:cstheme="minorHAnsi"/>
                <w:sz w:val="22"/>
                <w:szCs w:val="22"/>
              </w:rPr>
            </w:pPr>
            <w:r w:rsidRPr="00F93849">
              <w:rPr>
                <w:rFonts w:ascii="StobiSerif Regular" w:hAnsi="StobiSerif Regular" w:cstheme="minorHAnsi"/>
                <w:color w:val="000000" w:themeColor="text1"/>
                <w:sz w:val="22"/>
                <w:szCs w:val="22"/>
                <w:lang w:eastAsia="en-US"/>
              </w:rPr>
              <w:t>Координираност со институциите како и давање на одредени задолженија за исполнување на целта</w:t>
            </w:r>
          </w:p>
        </w:tc>
      </w:tr>
      <w:tr w:rsidR="00772765" w:rsidRPr="00433C4A" w14:paraId="70698CD2" w14:textId="77777777" w:rsidTr="00772765">
        <w:tc>
          <w:tcPr>
            <w:tcW w:w="3447" w:type="dxa"/>
            <w:tcBorders>
              <w:top w:val="single" w:sz="4" w:space="0" w:color="auto"/>
              <w:left w:val="single" w:sz="4" w:space="0" w:color="auto"/>
              <w:bottom w:val="single" w:sz="4" w:space="0" w:color="auto"/>
              <w:right w:val="single" w:sz="4" w:space="0" w:color="auto"/>
            </w:tcBorders>
          </w:tcPr>
          <w:p w14:paraId="320455C8" w14:textId="27020565" w:rsidR="00772765" w:rsidRPr="001C5580" w:rsidRDefault="00772765" w:rsidP="00772765">
            <w:pPr>
              <w:spacing w:after="160" w:line="256" w:lineRule="auto"/>
              <w:rPr>
                <w:rFonts w:ascii="StobiSerif Regular" w:hAnsi="StobiSerif Regular" w:cstheme="minorHAnsi"/>
                <w:sz w:val="22"/>
                <w:szCs w:val="22"/>
              </w:rPr>
            </w:pPr>
            <w:r w:rsidRPr="00F93849">
              <w:rPr>
                <w:rFonts w:ascii="StobiSerif Regular" w:hAnsi="StobiSerif Regular" w:cstheme="minorHAnsi"/>
                <w:sz w:val="22"/>
                <w:szCs w:val="22"/>
              </w:rPr>
              <w:t>Недоволна употреба на отворените податоци</w:t>
            </w:r>
          </w:p>
        </w:tc>
        <w:tc>
          <w:tcPr>
            <w:tcW w:w="1798" w:type="dxa"/>
            <w:tcBorders>
              <w:top w:val="single" w:sz="4" w:space="0" w:color="auto"/>
              <w:left w:val="single" w:sz="4" w:space="0" w:color="auto"/>
              <w:bottom w:val="single" w:sz="4" w:space="0" w:color="auto"/>
              <w:right w:val="single" w:sz="4" w:space="0" w:color="auto"/>
            </w:tcBorders>
          </w:tcPr>
          <w:p w14:paraId="6B5BAA94" w14:textId="1395C165" w:rsidR="00772765" w:rsidRPr="001C5580" w:rsidRDefault="00772765" w:rsidP="00772765">
            <w:pPr>
              <w:spacing w:after="160" w:line="256" w:lineRule="auto"/>
              <w:rPr>
                <w:rFonts w:ascii="StobiSerif Regular" w:hAnsi="StobiSerif Regular" w:cstheme="minorHAnsi"/>
                <w:sz w:val="22"/>
                <w:szCs w:val="22"/>
                <w:lang w:eastAsia="en-US"/>
              </w:rPr>
            </w:pPr>
            <w:r w:rsidRPr="00F93849">
              <w:rPr>
                <w:rFonts w:ascii="StobiSerif Regular" w:hAnsi="StobiSerif Regular" w:cstheme="minorHAnsi"/>
                <w:sz w:val="22"/>
                <w:szCs w:val="22"/>
                <w:lang w:eastAsia="en-US"/>
              </w:rPr>
              <w:t>Средно</w:t>
            </w:r>
          </w:p>
        </w:tc>
        <w:tc>
          <w:tcPr>
            <w:tcW w:w="1756" w:type="dxa"/>
            <w:tcBorders>
              <w:top w:val="single" w:sz="4" w:space="0" w:color="auto"/>
              <w:left w:val="single" w:sz="4" w:space="0" w:color="auto"/>
              <w:bottom w:val="single" w:sz="4" w:space="0" w:color="auto"/>
              <w:right w:val="single" w:sz="4" w:space="0" w:color="auto"/>
            </w:tcBorders>
          </w:tcPr>
          <w:p w14:paraId="36ABD033" w14:textId="73290107" w:rsidR="00772765" w:rsidRPr="001C5580" w:rsidRDefault="00772765" w:rsidP="00772765">
            <w:pPr>
              <w:spacing w:after="160" w:line="256" w:lineRule="auto"/>
              <w:rPr>
                <w:rFonts w:ascii="StobiSerif Regular" w:hAnsi="StobiSerif Regular" w:cstheme="minorHAnsi"/>
                <w:sz w:val="22"/>
                <w:szCs w:val="22"/>
                <w:lang w:eastAsia="en-US"/>
              </w:rPr>
            </w:pPr>
            <w:r w:rsidRPr="00F93849">
              <w:rPr>
                <w:rFonts w:ascii="StobiSerif Regular" w:hAnsi="StobiSerif Regular" w:cstheme="minorHAnsi"/>
                <w:sz w:val="22"/>
                <w:szCs w:val="22"/>
                <w:lang w:eastAsia="en-US"/>
              </w:rPr>
              <w:t>Средно</w:t>
            </w:r>
          </w:p>
        </w:tc>
        <w:tc>
          <w:tcPr>
            <w:tcW w:w="2059" w:type="dxa"/>
            <w:tcBorders>
              <w:left w:val="single" w:sz="4" w:space="0" w:color="auto"/>
              <w:bottom w:val="single" w:sz="4" w:space="0" w:color="auto"/>
              <w:right w:val="single" w:sz="4" w:space="0" w:color="auto"/>
            </w:tcBorders>
          </w:tcPr>
          <w:p w14:paraId="785F05AC" w14:textId="0719525F" w:rsidR="00772765" w:rsidRPr="001C5580" w:rsidRDefault="00772765" w:rsidP="00772765">
            <w:pPr>
              <w:spacing w:after="160" w:line="256" w:lineRule="auto"/>
              <w:rPr>
                <w:rFonts w:ascii="StobiSerif Regular" w:hAnsi="StobiSerif Regular" w:cstheme="minorHAnsi"/>
                <w:sz w:val="22"/>
                <w:szCs w:val="22"/>
              </w:rPr>
            </w:pPr>
            <w:r w:rsidRPr="00F93849">
              <w:rPr>
                <w:rFonts w:ascii="StobiSerif Regular" w:hAnsi="StobiSerif Regular" w:cstheme="minorHAnsi"/>
                <w:sz w:val="22"/>
                <w:szCs w:val="22"/>
                <w:lang w:eastAsia="en-US"/>
              </w:rPr>
              <w:t>Промоција на отворените податоци преку разни медиумски алатки</w:t>
            </w:r>
          </w:p>
        </w:tc>
      </w:tr>
    </w:tbl>
    <w:p w14:paraId="20E60E4A" w14:textId="77777777" w:rsidR="00984662" w:rsidRDefault="00984662" w:rsidP="00984662">
      <w:pPr>
        <w:pStyle w:val="PrilogLista"/>
        <w:numPr>
          <w:ilvl w:val="0"/>
          <w:numId w:val="0"/>
        </w:numPr>
        <w:ind w:left="142" w:hanging="142"/>
      </w:pPr>
    </w:p>
    <w:p w14:paraId="47234851" w14:textId="681EE721" w:rsidR="00984662" w:rsidRDefault="00984662" w:rsidP="00772765">
      <w:pPr>
        <w:rPr>
          <w:rFonts w:asciiTheme="minorHAnsi" w:hAnsiTheme="minorHAnsi" w:cstheme="minorHAnsi"/>
          <w:b/>
          <w:bCs/>
          <w:i/>
          <w:iCs/>
          <w:sz w:val="20"/>
          <w:szCs w:val="20"/>
        </w:rPr>
      </w:pPr>
    </w:p>
    <w:p w14:paraId="2F9A2EDB" w14:textId="77777777" w:rsidR="00984662" w:rsidRDefault="00984662" w:rsidP="00984662">
      <w:pPr>
        <w:jc w:val="center"/>
        <w:rPr>
          <w:rFonts w:asciiTheme="minorHAnsi" w:hAnsiTheme="minorHAnsi" w:cstheme="minorHAnsi"/>
          <w:b/>
          <w:bCs/>
          <w:i/>
          <w:iCs/>
          <w:sz w:val="20"/>
          <w:szCs w:val="20"/>
        </w:rPr>
      </w:pPr>
    </w:p>
    <w:p w14:paraId="6AE14FC0" w14:textId="77777777" w:rsidR="00984662" w:rsidRDefault="00984662" w:rsidP="00984662">
      <w:pPr>
        <w:jc w:val="center"/>
        <w:rPr>
          <w:rFonts w:ascii="StobiSerif Regular" w:hAnsi="StobiSerif Regular"/>
          <w:b/>
          <w:sz w:val="22"/>
          <w:szCs w:val="22"/>
        </w:rPr>
      </w:pPr>
      <w:bookmarkStart w:id="0" w:name="_GoBack"/>
      <w:bookmarkEnd w:id="0"/>
    </w:p>
    <w:p w14:paraId="79F8130B" w14:textId="77777777" w:rsidR="004D5D72" w:rsidRDefault="004D5D72" w:rsidP="00F53A13">
      <w:pPr>
        <w:rPr>
          <w:rFonts w:ascii="StobiSerif Regular" w:hAnsi="StobiSerif Regular"/>
          <w:b/>
          <w:sz w:val="22"/>
          <w:szCs w:val="22"/>
          <w:lang w:val="ru-RU"/>
        </w:rPr>
      </w:pPr>
    </w:p>
    <w:p w14:paraId="60BD6ED6" w14:textId="0A78C203" w:rsidR="00984662" w:rsidRDefault="00F53A13" w:rsidP="00F53A13">
      <w:pPr>
        <w:rPr>
          <w:rFonts w:ascii="StobiSerif Regular" w:hAnsi="StobiSerif Regular"/>
          <w:b/>
          <w:sz w:val="22"/>
          <w:szCs w:val="22"/>
          <w:lang w:val="ru-RU"/>
        </w:rPr>
      </w:pPr>
      <w:r w:rsidRPr="00FD4651">
        <w:rPr>
          <w:rFonts w:ascii="StobiSerif Regular" w:hAnsi="StobiSerif Regular"/>
          <w:b/>
          <w:bCs/>
          <w:sz w:val="22"/>
          <w:szCs w:val="22"/>
        </w:rPr>
        <w:t>ПРИОРИТЕТНА ОБЛАСТ</w:t>
      </w:r>
      <w:r w:rsidR="0080199C">
        <w:rPr>
          <w:rFonts w:ascii="StobiSerif Regular" w:hAnsi="StobiSerif Regular"/>
          <w:b/>
          <w:bCs/>
          <w:sz w:val="22"/>
          <w:szCs w:val="22"/>
        </w:rPr>
        <w:t xml:space="preserve"> 4</w:t>
      </w:r>
      <w:r w:rsidRPr="00FD4651">
        <w:rPr>
          <w:rFonts w:ascii="StobiSerif Regular" w:hAnsi="StobiSerif Regular"/>
          <w:b/>
          <w:bCs/>
          <w:sz w:val="22"/>
          <w:szCs w:val="22"/>
        </w:rPr>
        <w:t>:</w:t>
      </w:r>
      <w:r w:rsidR="00984662">
        <w:rPr>
          <w:rFonts w:ascii="StobiSerif Regular" w:hAnsi="StobiSerif Regular"/>
          <w:b/>
          <w:sz w:val="22"/>
          <w:szCs w:val="22"/>
          <w:lang w:val="en-US"/>
        </w:rPr>
        <w:t xml:space="preserve"> </w:t>
      </w:r>
      <w:r w:rsidRPr="00A20987">
        <w:rPr>
          <w:rFonts w:ascii="StobiSerif Regular" w:hAnsi="StobiSerif Regular"/>
          <w:b/>
          <w:sz w:val="22"/>
          <w:szCs w:val="22"/>
          <w:lang w:val="ru-RU"/>
        </w:rPr>
        <w:t>Д</w:t>
      </w:r>
      <w:r>
        <w:rPr>
          <w:rFonts w:ascii="StobiSerif Regular" w:hAnsi="StobiSerif Regular"/>
          <w:b/>
          <w:sz w:val="22"/>
          <w:szCs w:val="22"/>
          <w:lang w:val="ru-RU"/>
        </w:rPr>
        <w:t>АВАЊЕ УСЛУГИ И ДИГИТАЛ</w:t>
      </w:r>
      <w:r w:rsidRPr="00A20987">
        <w:rPr>
          <w:rFonts w:ascii="StobiSerif Regular" w:hAnsi="StobiSerif Regular"/>
          <w:b/>
          <w:sz w:val="22"/>
          <w:szCs w:val="22"/>
          <w:lang w:val="ru-RU"/>
        </w:rPr>
        <w:t xml:space="preserve">НА </w:t>
      </w:r>
      <w:r>
        <w:rPr>
          <w:rFonts w:ascii="StobiSerif Regular" w:hAnsi="StobiSerif Regular"/>
          <w:b/>
          <w:sz w:val="22"/>
          <w:szCs w:val="22"/>
          <w:lang w:val="ru-RU"/>
        </w:rPr>
        <w:t>ТРАНСФОРМАЦИЈА</w:t>
      </w:r>
    </w:p>
    <w:p w14:paraId="248FCC2A" w14:textId="15A7914E" w:rsidR="00F53A13" w:rsidRPr="00433C4A" w:rsidRDefault="00F53A13" w:rsidP="00984662">
      <w:pPr>
        <w:jc w:val="center"/>
        <w:rPr>
          <w:rFonts w:ascii="StobiSerif Regular" w:hAnsi="StobiSerif Regular"/>
          <w:b/>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2262"/>
        <w:gridCol w:w="2220"/>
        <w:gridCol w:w="2193"/>
      </w:tblGrid>
      <w:tr w:rsidR="00984662" w:rsidRPr="00433C4A" w14:paraId="6F6CC338" w14:textId="77777777" w:rsidTr="00624D7A">
        <w:tc>
          <w:tcPr>
            <w:tcW w:w="2385" w:type="dxa"/>
            <w:tcBorders>
              <w:top w:val="single" w:sz="4" w:space="0" w:color="auto"/>
              <w:left w:val="single" w:sz="4" w:space="0" w:color="auto"/>
              <w:bottom w:val="single" w:sz="4" w:space="0" w:color="auto"/>
              <w:right w:val="single" w:sz="4" w:space="0" w:color="auto"/>
            </w:tcBorders>
            <w:hideMark/>
          </w:tcPr>
          <w:p w14:paraId="07CED137" w14:textId="77777777" w:rsidR="00984662" w:rsidRPr="00433C4A" w:rsidRDefault="00984662" w:rsidP="00624D7A">
            <w:pPr>
              <w:spacing w:after="160" w:line="256" w:lineRule="auto"/>
              <w:jc w:val="center"/>
              <w:rPr>
                <w:rFonts w:ascii="StobiSerif Regular" w:hAnsi="StobiSerif Regular"/>
                <w:b/>
                <w:sz w:val="22"/>
                <w:szCs w:val="22"/>
                <w:lang w:val="ru-RU" w:eastAsia="en-US"/>
              </w:rPr>
            </w:pPr>
            <w:r w:rsidRPr="00433C4A">
              <w:rPr>
                <w:rFonts w:ascii="StobiSerif Regular" w:hAnsi="StobiSerif Regular"/>
                <w:b/>
                <w:sz w:val="22"/>
                <w:szCs w:val="22"/>
                <w:lang w:val="ru-RU"/>
              </w:rPr>
              <w:t>РИЗИК</w:t>
            </w:r>
          </w:p>
        </w:tc>
        <w:tc>
          <w:tcPr>
            <w:tcW w:w="2262" w:type="dxa"/>
            <w:tcBorders>
              <w:top w:val="single" w:sz="4" w:space="0" w:color="auto"/>
              <w:left w:val="single" w:sz="4" w:space="0" w:color="auto"/>
              <w:bottom w:val="single" w:sz="4" w:space="0" w:color="auto"/>
              <w:right w:val="single" w:sz="4" w:space="0" w:color="auto"/>
            </w:tcBorders>
            <w:hideMark/>
          </w:tcPr>
          <w:p w14:paraId="243CECFF" w14:textId="77777777" w:rsidR="00984662" w:rsidRPr="00433C4A" w:rsidRDefault="00984662" w:rsidP="00624D7A">
            <w:pPr>
              <w:spacing w:after="160" w:line="256" w:lineRule="auto"/>
              <w:jc w:val="center"/>
              <w:rPr>
                <w:rFonts w:ascii="StobiSerif Regular" w:hAnsi="StobiSerif Regular"/>
                <w:b/>
                <w:sz w:val="22"/>
                <w:szCs w:val="22"/>
                <w:lang w:val="ru-RU" w:eastAsia="en-US"/>
              </w:rPr>
            </w:pPr>
            <w:r w:rsidRPr="00433C4A">
              <w:rPr>
                <w:rFonts w:ascii="StobiSerif Regular" w:hAnsi="StobiSerif Regular"/>
                <w:b/>
                <w:sz w:val="22"/>
                <w:szCs w:val="22"/>
                <w:lang w:val="ru-RU"/>
              </w:rPr>
              <w:t>ВЕРОЈАТНОСТ ЗА НАСТАНУВАЊЕ НА РИЗИКОТ</w:t>
            </w:r>
          </w:p>
        </w:tc>
        <w:tc>
          <w:tcPr>
            <w:tcW w:w="2220" w:type="dxa"/>
            <w:tcBorders>
              <w:top w:val="single" w:sz="4" w:space="0" w:color="auto"/>
              <w:left w:val="single" w:sz="4" w:space="0" w:color="auto"/>
              <w:bottom w:val="single" w:sz="4" w:space="0" w:color="auto"/>
              <w:right w:val="single" w:sz="4" w:space="0" w:color="auto"/>
            </w:tcBorders>
            <w:hideMark/>
          </w:tcPr>
          <w:p w14:paraId="505CA716" w14:textId="77777777" w:rsidR="00984662" w:rsidRPr="00433C4A" w:rsidRDefault="00984662" w:rsidP="00624D7A">
            <w:pPr>
              <w:spacing w:after="160" w:line="256" w:lineRule="auto"/>
              <w:jc w:val="center"/>
              <w:rPr>
                <w:rFonts w:ascii="StobiSerif Regular" w:hAnsi="StobiSerif Regular"/>
                <w:b/>
                <w:sz w:val="22"/>
                <w:szCs w:val="22"/>
                <w:lang w:val="ru-RU" w:eastAsia="en-US"/>
              </w:rPr>
            </w:pPr>
            <w:r w:rsidRPr="00433C4A">
              <w:rPr>
                <w:rFonts w:ascii="StobiSerif Regular" w:hAnsi="StobiSerif Regular"/>
                <w:b/>
                <w:sz w:val="22"/>
                <w:szCs w:val="22"/>
                <w:lang w:val="ru-RU"/>
              </w:rPr>
              <w:t>ВЛИЈАНИЕ НА РИЗИКОТ ВРЗ ОСТВАРУВАЊЕ НА ЦЕЛИТЕ</w:t>
            </w:r>
          </w:p>
        </w:tc>
        <w:tc>
          <w:tcPr>
            <w:tcW w:w="2193" w:type="dxa"/>
            <w:tcBorders>
              <w:top w:val="single" w:sz="4" w:space="0" w:color="auto"/>
              <w:left w:val="single" w:sz="4" w:space="0" w:color="auto"/>
              <w:bottom w:val="single" w:sz="4" w:space="0" w:color="auto"/>
              <w:right w:val="single" w:sz="4" w:space="0" w:color="auto"/>
            </w:tcBorders>
            <w:hideMark/>
          </w:tcPr>
          <w:p w14:paraId="0D82D687" w14:textId="77777777" w:rsidR="00984662" w:rsidRPr="00433C4A" w:rsidRDefault="00984662" w:rsidP="00624D7A">
            <w:pPr>
              <w:spacing w:after="160" w:line="256" w:lineRule="auto"/>
              <w:jc w:val="center"/>
              <w:rPr>
                <w:rFonts w:ascii="StobiSerif Regular" w:hAnsi="StobiSerif Regular"/>
                <w:b/>
                <w:sz w:val="22"/>
                <w:szCs w:val="22"/>
                <w:lang w:val="ru-RU" w:eastAsia="en-US"/>
              </w:rPr>
            </w:pPr>
            <w:r w:rsidRPr="00433C4A">
              <w:rPr>
                <w:rFonts w:ascii="StobiSerif Regular" w:hAnsi="StobiSerif Regular"/>
                <w:b/>
                <w:sz w:val="22"/>
                <w:szCs w:val="22"/>
                <w:lang w:val="ru-RU"/>
              </w:rPr>
              <w:t>МЕРКИ ЗА СПРАВУВАЊЕ СО РИЗИКОТ</w:t>
            </w:r>
          </w:p>
        </w:tc>
      </w:tr>
      <w:tr w:rsidR="00984662" w:rsidRPr="00433C4A" w14:paraId="3AA1269E" w14:textId="77777777" w:rsidTr="00624D7A">
        <w:tc>
          <w:tcPr>
            <w:tcW w:w="2385" w:type="dxa"/>
            <w:tcBorders>
              <w:top w:val="single" w:sz="4" w:space="0" w:color="auto"/>
              <w:left w:val="single" w:sz="4" w:space="0" w:color="auto"/>
              <w:bottom w:val="single" w:sz="4" w:space="0" w:color="auto"/>
              <w:right w:val="single" w:sz="4" w:space="0" w:color="auto"/>
            </w:tcBorders>
          </w:tcPr>
          <w:p w14:paraId="193938F8" w14:textId="77777777" w:rsidR="00984662" w:rsidRPr="00433C4A" w:rsidRDefault="00984662" w:rsidP="00624D7A">
            <w:pPr>
              <w:spacing w:after="160" w:line="256" w:lineRule="auto"/>
              <w:rPr>
                <w:rFonts w:ascii="StobiSerif Regular" w:hAnsi="StobiSerif Regular"/>
                <w:sz w:val="22"/>
                <w:szCs w:val="22"/>
                <w:lang w:val="ru-RU"/>
              </w:rPr>
            </w:pPr>
            <w:r>
              <w:rPr>
                <w:rFonts w:ascii="StobiSerif Regular" w:hAnsi="StobiSerif Regular"/>
                <w:sz w:val="22"/>
                <w:szCs w:val="22"/>
                <w:lang w:val="ru-RU"/>
              </w:rPr>
              <w:t>Слаба заинтересираност на менаџментот на МИОА за спроведување на активностите</w:t>
            </w:r>
          </w:p>
        </w:tc>
        <w:tc>
          <w:tcPr>
            <w:tcW w:w="2262" w:type="dxa"/>
            <w:tcBorders>
              <w:top w:val="single" w:sz="4" w:space="0" w:color="auto"/>
              <w:left w:val="single" w:sz="4" w:space="0" w:color="auto"/>
              <w:bottom w:val="single" w:sz="4" w:space="0" w:color="auto"/>
              <w:right w:val="single" w:sz="4" w:space="0" w:color="auto"/>
            </w:tcBorders>
          </w:tcPr>
          <w:p w14:paraId="434B3A97" w14:textId="77777777" w:rsidR="00984662" w:rsidRPr="00433C4A" w:rsidRDefault="00984662" w:rsidP="00624D7A">
            <w:pPr>
              <w:rPr>
                <w:rFonts w:ascii="StobiSerif Regular" w:hAnsi="StobiSerif Regular"/>
                <w:sz w:val="22"/>
                <w:szCs w:val="22"/>
              </w:rPr>
            </w:pPr>
            <w:r>
              <w:rPr>
                <w:rFonts w:ascii="StobiSerif Regular" w:hAnsi="StobiSerif Regular"/>
                <w:sz w:val="22"/>
                <w:szCs w:val="22"/>
              </w:rPr>
              <w:t>мала</w:t>
            </w:r>
          </w:p>
        </w:tc>
        <w:tc>
          <w:tcPr>
            <w:tcW w:w="2220" w:type="dxa"/>
            <w:tcBorders>
              <w:top w:val="single" w:sz="4" w:space="0" w:color="auto"/>
              <w:left w:val="single" w:sz="4" w:space="0" w:color="auto"/>
              <w:bottom w:val="single" w:sz="4" w:space="0" w:color="auto"/>
              <w:right w:val="single" w:sz="4" w:space="0" w:color="auto"/>
            </w:tcBorders>
          </w:tcPr>
          <w:p w14:paraId="38138B0C" w14:textId="77777777" w:rsidR="00984662" w:rsidRPr="00433C4A" w:rsidRDefault="00984662" w:rsidP="00624D7A">
            <w:pPr>
              <w:rPr>
                <w:rFonts w:ascii="StobiSerif Regular" w:hAnsi="StobiSerif Regular"/>
                <w:sz w:val="22"/>
                <w:szCs w:val="22"/>
              </w:rPr>
            </w:pPr>
            <w:r>
              <w:rPr>
                <w:rFonts w:ascii="StobiSerif Regular" w:hAnsi="StobiSerif Regular"/>
                <w:sz w:val="22"/>
                <w:szCs w:val="22"/>
              </w:rPr>
              <w:t>големо</w:t>
            </w:r>
          </w:p>
        </w:tc>
        <w:tc>
          <w:tcPr>
            <w:tcW w:w="2193" w:type="dxa"/>
            <w:tcBorders>
              <w:top w:val="single" w:sz="4" w:space="0" w:color="auto"/>
              <w:left w:val="single" w:sz="4" w:space="0" w:color="auto"/>
              <w:bottom w:val="single" w:sz="4" w:space="0" w:color="auto"/>
              <w:right w:val="single" w:sz="4" w:space="0" w:color="auto"/>
            </w:tcBorders>
          </w:tcPr>
          <w:p w14:paraId="60CA1D2E" w14:textId="77777777" w:rsidR="00984662" w:rsidRDefault="00984662" w:rsidP="00624D7A">
            <w:pPr>
              <w:spacing w:after="160" w:line="256" w:lineRule="auto"/>
              <w:rPr>
                <w:rFonts w:ascii="StobiSerif Regular" w:hAnsi="StobiSerif Regular"/>
                <w:sz w:val="22"/>
                <w:szCs w:val="22"/>
                <w:lang w:val="ru-RU"/>
              </w:rPr>
            </w:pPr>
            <w:r>
              <w:rPr>
                <w:rFonts w:ascii="StobiSerif Regular" w:hAnsi="StobiSerif Regular"/>
                <w:sz w:val="22"/>
                <w:szCs w:val="22"/>
                <w:lang w:val="ru-RU"/>
              </w:rPr>
              <w:t>- Менаџментот спроведува координативни состаноци со координаторите на проектите и раководителите на сектори</w:t>
            </w:r>
          </w:p>
          <w:p w14:paraId="44CE5509" w14:textId="77777777" w:rsidR="00984662" w:rsidRPr="00433C4A" w:rsidRDefault="00984662" w:rsidP="00624D7A">
            <w:pPr>
              <w:spacing w:after="160" w:line="256" w:lineRule="auto"/>
              <w:rPr>
                <w:rFonts w:ascii="StobiSerif Regular" w:hAnsi="StobiSerif Regular"/>
                <w:sz w:val="22"/>
                <w:szCs w:val="22"/>
                <w:lang w:val="ru-RU"/>
              </w:rPr>
            </w:pPr>
            <w:r>
              <w:rPr>
                <w:rFonts w:ascii="StobiSerif Regular" w:hAnsi="StobiSerif Regular"/>
                <w:sz w:val="22"/>
                <w:szCs w:val="22"/>
                <w:lang w:val="ru-RU"/>
              </w:rPr>
              <w:t>- За секој проект се дефинирани периоди на известување во Влада</w:t>
            </w:r>
          </w:p>
        </w:tc>
      </w:tr>
      <w:tr w:rsidR="00984662" w:rsidRPr="00433C4A" w14:paraId="49762521" w14:textId="77777777" w:rsidTr="00624D7A">
        <w:tc>
          <w:tcPr>
            <w:tcW w:w="2385" w:type="dxa"/>
            <w:tcBorders>
              <w:top w:val="single" w:sz="4" w:space="0" w:color="auto"/>
              <w:left w:val="single" w:sz="4" w:space="0" w:color="auto"/>
              <w:bottom w:val="single" w:sz="4" w:space="0" w:color="auto"/>
              <w:right w:val="single" w:sz="4" w:space="0" w:color="auto"/>
            </w:tcBorders>
          </w:tcPr>
          <w:p w14:paraId="535347E6" w14:textId="77777777" w:rsidR="00984662" w:rsidRDefault="00984662" w:rsidP="00624D7A">
            <w:pPr>
              <w:spacing w:after="160" w:line="256" w:lineRule="auto"/>
              <w:rPr>
                <w:rFonts w:ascii="StobiSerif Regular" w:hAnsi="StobiSerif Regular"/>
                <w:sz w:val="22"/>
                <w:szCs w:val="22"/>
                <w:lang w:val="ru-RU"/>
              </w:rPr>
            </w:pPr>
            <w:r>
              <w:rPr>
                <w:rFonts w:ascii="StobiSerif Regular" w:hAnsi="StobiSerif Regular"/>
                <w:sz w:val="22"/>
                <w:szCs w:val="22"/>
                <w:lang w:val="ru-RU"/>
              </w:rPr>
              <w:t>Кратење на финансиски сре</w:t>
            </w:r>
            <w:r>
              <w:rPr>
                <w:rFonts w:ascii="StobiSerif Regular" w:hAnsi="StobiSerif Regular"/>
                <w:sz w:val="22"/>
                <w:szCs w:val="22"/>
              </w:rPr>
              <w:t>д</w:t>
            </w:r>
            <w:r>
              <w:rPr>
                <w:rFonts w:ascii="StobiSerif Regular" w:hAnsi="StobiSerif Regular"/>
                <w:sz w:val="22"/>
                <w:szCs w:val="22"/>
                <w:lang w:val="ru-RU"/>
              </w:rPr>
              <w:t xml:space="preserve">ства  </w:t>
            </w:r>
          </w:p>
        </w:tc>
        <w:tc>
          <w:tcPr>
            <w:tcW w:w="2262" w:type="dxa"/>
            <w:tcBorders>
              <w:top w:val="single" w:sz="4" w:space="0" w:color="auto"/>
              <w:left w:val="single" w:sz="4" w:space="0" w:color="auto"/>
              <w:bottom w:val="single" w:sz="4" w:space="0" w:color="auto"/>
              <w:right w:val="single" w:sz="4" w:space="0" w:color="auto"/>
            </w:tcBorders>
          </w:tcPr>
          <w:p w14:paraId="3CFA2DDA" w14:textId="77777777" w:rsidR="00984662" w:rsidRDefault="00984662" w:rsidP="00624D7A">
            <w:pPr>
              <w:rPr>
                <w:rFonts w:ascii="StobiSerif Regular" w:hAnsi="StobiSerif Regular"/>
                <w:sz w:val="22"/>
                <w:szCs w:val="22"/>
              </w:rPr>
            </w:pPr>
            <w:r>
              <w:rPr>
                <w:rFonts w:ascii="StobiSerif Regular" w:hAnsi="StobiSerif Regular"/>
                <w:sz w:val="22"/>
                <w:szCs w:val="22"/>
              </w:rPr>
              <w:t>средна</w:t>
            </w:r>
          </w:p>
        </w:tc>
        <w:tc>
          <w:tcPr>
            <w:tcW w:w="2220" w:type="dxa"/>
            <w:tcBorders>
              <w:top w:val="single" w:sz="4" w:space="0" w:color="auto"/>
              <w:left w:val="single" w:sz="4" w:space="0" w:color="auto"/>
              <w:bottom w:val="single" w:sz="4" w:space="0" w:color="auto"/>
              <w:right w:val="single" w:sz="4" w:space="0" w:color="auto"/>
            </w:tcBorders>
          </w:tcPr>
          <w:p w14:paraId="64BDE23A" w14:textId="77777777" w:rsidR="00984662" w:rsidRDefault="00984662" w:rsidP="00624D7A">
            <w:pPr>
              <w:rPr>
                <w:rFonts w:ascii="StobiSerif Regular" w:hAnsi="StobiSerif Regular"/>
                <w:sz w:val="22"/>
                <w:szCs w:val="22"/>
              </w:rPr>
            </w:pPr>
            <w:r>
              <w:rPr>
                <w:rFonts w:ascii="StobiSerif Regular" w:hAnsi="StobiSerif Regular"/>
                <w:sz w:val="22"/>
                <w:szCs w:val="22"/>
              </w:rPr>
              <w:t>големо</w:t>
            </w:r>
          </w:p>
        </w:tc>
        <w:tc>
          <w:tcPr>
            <w:tcW w:w="2193" w:type="dxa"/>
            <w:tcBorders>
              <w:top w:val="single" w:sz="4" w:space="0" w:color="auto"/>
              <w:left w:val="single" w:sz="4" w:space="0" w:color="auto"/>
              <w:bottom w:val="single" w:sz="4" w:space="0" w:color="auto"/>
              <w:right w:val="single" w:sz="4" w:space="0" w:color="auto"/>
            </w:tcBorders>
          </w:tcPr>
          <w:p w14:paraId="639CC9B3" w14:textId="77777777" w:rsidR="00984662" w:rsidRDefault="00984662" w:rsidP="00624D7A">
            <w:pPr>
              <w:spacing w:after="160" w:line="256" w:lineRule="auto"/>
              <w:rPr>
                <w:rFonts w:ascii="StobiSerif Regular" w:hAnsi="StobiSerif Regular"/>
                <w:sz w:val="22"/>
                <w:szCs w:val="22"/>
                <w:lang w:val="ru-RU"/>
              </w:rPr>
            </w:pPr>
            <w:r>
              <w:rPr>
                <w:rFonts w:ascii="StobiSerif Regular" w:hAnsi="StobiSerif Regular"/>
                <w:sz w:val="22"/>
                <w:szCs w:val="22"/>
                <w:lang w:val="ru-RU"/>
              </w:rPr>
              <w:t>- Спроведување на донаторски конференции</w:t>
            </w:r>
          </w:p>
          <w:p w14:paraId="10F2B0D2" w14:textId="77777777" w:rsidR="00984662" w:rsidRDefault="00984662" w:rsidP="00624D7A">
            <w:pPr>
              <w:spacing w:after="160" w:line="256" w:lineRule="auto"/>
              <w:rPr>
                <w:rFonts w:ascii="StobiSerif Regular" w:hAnsi="StobiSerif Regular"/>
                <w:sz w:val="22"/>
                <w:szCs w:val="22"/>
                <w:lang w:val="ru-RU"/>
              </w:rPr>
            </w:pPr>
            <w:r>
              <w:rPr>
                <w:rFonts w:ascii="StobiSerif Regular" w:hAnsi="StobiSerif Regular"/>
                <w:sz w:val="22"/>
                <w:szCs w:val="22"/>
                <w:lang w:val="ru-RU"/>
              </w:rPr>
              <w:t>- Реализација на проектите со најавено задоцнето плаќање</w:t>
            </w:r>
          </w:p>
        </w:tc>
      </w:tr>
      <w:tr w:rsidR="00984662" w:rsidRPr="00433C4A" w14:paraId="3FD95FDF" w14:textId="77777777" w:rsidTr="00624D7A">
        <w:tc>
          <w:tcPr>
            <w:tcW w:w="2385" w:type="dxa"/>
            <w:tcBorders>
              <w:top w:val="single" w:sz="4" w:space="0" w:color="auto"/>
              <w:left w:val="single" w:sz="4" w:space="0" w:color="auto"/>
              <w:bottom w:val="single" w:sz="4" w:space="0" w:color="auto"/>
              <w:right w:val="single" w:sz="4" w:space="0" w:color="auto"/>
            </w:tcBorders>
          </w:tcPr>
          <w:p w14:paraId="547B4FB5" w14:textId="77777777" w:rsidR="00984662" w:rsidRDefault="00984662" w:rsidP="00624D7A">
            <w:pPr>
              <w:spacing w:after="160" w:line="256" w:lineRule="auto"/>
              <w:rPr>
                <w:rFonts w:ascii="StobiSerif Regular" w:hAnsi="StobiSerif Regular"/>
                <w:sz w:val="22"/>
                <w:szCs w:val="22"/>
                <w:lang w:val="ru-RU"/>
              </w:rPr>
            </w:pPr>
            <w:r>
              <w:rPr>
                <w:rFonts w:ascii="StobiSerif Regular" w:hAnsi="StobiSerif Regular"/>
                <w:sz w:val="22"/>
                <w:szCs w:val="22"/>
                <w:lang w:val="ru-RU"/>
              </w:rPr>
              <w:t>Безбедност – ИТ напади</w:t>
            </w:r>
          </w:p>
        </w:tc>
        <w:tc>
          <w:tcPr>
            <w:tcW w:w="2262" w:type="dxa"/>
            <w:tcBorders>
              <w:top w:val="single" w:sz="4" w:space="0" w:color="auto"/>
              <w:left w:val="single" w:sz="4" w:space="0" w:color="auto"/>
              <w:bottom w:val="single" w:sz="4" w:space="0" w:color="auto"/>
              <w:right w:val="single" w:sz="4" w:space="0" w:color="auto"/>
            </w:tcBorders>
          </w:tcPr>
          <w:p w14:paraId="19ADC21A" w14:textId="77777777" w:rsidR="00984662" w:rsidRDefault="00984662" w:rsidP="00624D7A">
            <w:pPr>
              <w:rPr>
                <w:rFonts w:ascii="StobiSerif Regular" w:hAnsi="StobiSerif Regular"/>
                <w:sz w:val="22"/>
                <w:szCs w:val="22"/>
              </w:rPr>
            </w:pPr>
            <w:r>
              <w:rPr>
                <w:rFonts w:ascii="StobiSerif Regular" w:hAnsi="StobiSerif Regular"/>
                <w:sz w:val="22"/>
                <w:szCs w:val="22"/>
              </w:rPr>
              <w:t>средна</w:t>
            </w:r>
          </w:p>
        </w:tc>
        <w:tc>
          <w:tcPr>
            <w:tcW w:w="2220" w:type="dxa"/>
            <w:tcBorders>
              <w:top w:val="single" w:sz="4" w:space="0" w:color="auto"/>
              <w:left w:val="single" w:sz="4" w:space="0" w:color="auto"/>
              <w:bottom w:val="single" w:sz="4" w:space="0" w:color="auto"/>
              <w:right w:val="single" w:sz="4" w:space="0" w:color="auto"/>
            </w:tcBorders>
          </w:tcPr>
          <w:p w14:paraId="39FC0FC6" w14:textId="77777777" w:rsidR="00984662" w:rsidRDefault="00984662" w:rsidP="00624D7A">
            <w:pPr>
              <w:rPr>
                <w:rFonts w:ascii="StobiSerif Regular" w:hAnsi="StobiSerif Regular"/>
                <w:sz w:val="22"/>
                <w:szCs w:val="22"/>
              </w:rPr>
            </w:pPr>
            <w:r>
              <w:rPr>
                <w:rFonts w:ascii="StobiSerif Regular" w:hAnsi="StobiSerif Regular"/>
                <w:sz w:val="22"/>
                <w:szCs w:val="22"/>
              </w:rPr>
              <w:t>средна</w:t>
            </w:r>
          </w:p>
        </w:tc>
        <w:tc>
          <w:tcPr>
            <w:tcW w:w="2193" w:type="dxa"/>
            <w:tcBorders>
              <w:top w:val="single" w:sz="4" w:space="0" w:color="auto"/>
              <w:left w:val="single" w:sz="4" w:space="0" w:color="auto"/>
              <w:bottom w:val="single" w:sz="4" w:space="0" w:color="auto"/>
              <w:right w:val="single" w:sz="4" w:space="0" w:color="auto"/>
            </w:tcBorders>
          </w:tcPr>
          <w:p w14:paraId="15F5FED7" w14:textId="77777777" w:rsidR="00984662" w:rsidRDefault="00984662" w:rsidP="00624D7A">
            <w:pPr>
              <w:spacing w:after="160" w:line="256" w:lineRule="auto"/>
              <w:rPr>
                <w:rFonts w:ascii="StobiSerif Regular" w:hAnsi="StobiSerif Regular"/>
                <w:sz w:val="22"/>
                <w:szCs w:val="22"/>
                <w:lang w:val="ru-RU"/>
              </w:rPr>
            </w:pPr>
            <w:r>
              <w:rPr>
                <w:rFonts w:ascii="StobiSerif Regular" w:hAnsi="StobiSerif Regular"/>
                <w:sz w:val="22"/>
                <w:szCs w:val="22"/>
                <w:lang w:val="ru-RU"/>
              </w:rPr>
              <w:t>- За секој проект се дефинираат  безбедносни политики.</w:t>
            </w:r>
          </w:p>
          <w:p w14:paraId="193E44C4" w14:textId="77777777" w:rsidR="00984662" w:rsidRDefault="00984662" w:rsidP="00624D7A">
            <w:pPr>
              <w:spacing w:after="160" w:line="256" w:lineRule="auto"/>
              <w:rPr>
                <w:rFonts w:ascii="StobiSerif Regular" w:hAnsi="StobiSerif Regular"/>
                <w:sz w:val="22"/>
                <w:szCs w:val="22"/>
                <w:lang w:val="ru-RU"/>
              </w:rPr>
            </w:pPr>
            <w:r>
              <w:rPr>
                <w:rFonts w:ascii="StobiSerif Regular" w:hAnsi="StobiSerif Regular"/>
                <w:sz w:val="22"/>
                <w:szCs w:val="22"/>
                <w:lang w:val="ru-RU"/>
              </w:rPr>
              <w:t>- Кај проектите се прави ИТ безбедносно тестирање</w:t>
            </w:r>
          </w:p>
          <w:p w14:paraId="04E0D1B2" w14:textId="77777777" w:rsidR="00984662" w:rsidRDefault="00984662" w:rsidP="00624D7A">
            <w:pPr>
              <w:spacing w:after="160" w:line="256" w:lineRule="auto"/>
              <w:rPr>
                <w:rFonts w:ascii="StobiSerif Regular" w:hAnsi="StobiSerif Regular"/>
                <w:sz w:val="22"/>
                <w:szCs w:val="22"/>
                <w:lang w:val="ru-RU"/>
              </w:rPr>
            </w:pPr>
            <w:r>
              <w:rPr>
                <w:rFonts w:ascii="StobiSerif Regular" w:hAnsi="StobiSerif Regular"/>
                <w:sz w:val="22"/>
                <w:szCs w:val="22"/>
                <w:lang w:val="ru-RU"/>
              </w:rPr>
              <w:lastRenderedPageBreak/>
              <w:t>- Редовна резервна копија</w:t>
            </w:r>
          </w:p>
        </w:tc>
      </w:tr>
      <w:tr w:rsidR="00984662" w:rsidRPr="00433C4A" w14:paraId="548425F1" w14:textId="77777777" w:rsidTr="00624D7A">
        <w:tc>
          <w:tcPr>
            <w:tcW w:w="2385" w:type="dxa"/>
            <w:tcBorders>
              <w:top w:val="single" w:sz="4" w:space="0" w:color="auto"/>
              <w:left w:val="single" w:sz="4" w:space="0" w:color="auto"/>
              <w:bottom w:val="single" w:sz="4" w:space="0" w:color="auto"/>
              <w:right w:val="single" w:sz="4" w:space="0" w:color="auto"/>
            </w:tcBorders>
          </w:tcPr>
          <w:p w14:paraId="113FCF6C" w14:textId="77777777" w:rsidR="00984662" w:rsidRDefault="00984662" w:rsidP="00624D7A">
            <w:pPr>
              <w:spacing w:after="160" w:line="256" w:lineRule="auto"/>
              <w:rPr>
                <w:rFonts w:ascii="StobiSerif Regular" w:hAnsi="StobiSerif Regular"/>
                <w:sz w:val="22"/>
                <w:szCs w:val="22"/>
                <w:lang w:val="ru-RU"/>
              </w:rPr>
            </w:pPr>
            <w:r>
              <w:rPr>
                <w:rFonts w:ascii="StobiSerif Regular" w:hAnsi="StobiSerif Regular"/>
                <w:sz w:val="22"/>
                <w:szCs w:val="22"/>
                <w:lang w:val="ru-RU"/>
              </w:rPr>
              <w:lastRenderedPageBreak/>
              <w:t>Недостиг на ИТ лица во администрацијата за имплементација и поддршка при дигиталното работење</w:t>
            </w:r>
          </w:p>
        </w:tc>
        <w:tc>
          <w:tcPr>
            <w:tcW w:w="2262" w:type="dxa"/>
            <w:tcBorders>
              <w:top w:val="single" w:sz="4" w:space="0" w:color="auto"/>
              <w:left w:val="single" w:sz="4" w:space="0" w:color="auto"/>
              <w:bottom w:val="single" w:sz="4" w:space="0" w:color="auto"/>
              <w:right w:val="single" w:sz="4" w:space="0" w:color="auto"/>
            </w:tcBorders>
          </w:tcPr>
          <w:p w14:paraId="58051ACE" w14:textId="77777777" w:rsidR="00984662" w:rsidRDefault="00984662" w:rsidP="00624D7A">
            <w:pPr>
              <w:rPr>
                <w:rFonts w:ascii="StobiSerif Regular" w:hAnsi="StobiSerif Regular"/>
                <w:sz w:val="22"/>
                <w:szCs w:val="22"/>
              </w:rPr>
            </w:pPr>
            <w:r>
              <w:rPr>
                <w:rFonts w:ascii="StobiSerif Regular" w:hAnsi="StobiSerif Regular"/>
                <w:sz w:val="22"/>
                <w:szCs w:val="22"/>
              </w:rPr>
              <w:t>средна</w:t>
            </w:r>
          </w:p>
        </w:tc>
        <w:tc>
          <w:tcPr>
            <w:tcW w:w="2220" w:type="dxa"/>
            <w:tcBorders>
              <w:top w:val="single" w:sz="4" w:space="0" w:color="auto"/>
              <w:left w:val="single" w:sz="4" w:space="0" w:color="auto"/>
              <w:bottom w:val="single" w:sz="4" w:space="0" w:color="auto"/>
              <w:right w:val="single" w:sz="4" w:space="0" w:color="auto"/>
            </w:tcBorders>
          </w:tcPr>
          <w:p w14:paraId="56E22FFE" w14:textId="77777777" w:rsidR="00984662" w:rsidRDefault="00984662" w:rsidP="00624D7A">
            <w:pPr>
              <w:rPr>
                <w:rFonts w:ascii="StobiSerif Regular" w:hAnsi="StobiSerif Regular"/>
                <w:sz w:val="22"/>
                <w:szCs w:val="22"/>
              </w:rPr>
            </w:pPr>
            <w:r>
              <w:rPr>
                <w:rFonts w:ascii="StobiSerif Regular" w:hAnsi="StobiSerif Regular"/>
                <w:sz w:val="22"/>
                <w:szCs w:val="22"/>
              </w:rPr>
              <w:t>висока</w:t>
            </w:r>
          </w:p>
        </w:tc>
        <w:tc>
          <w:tcPr>
            <w:tcW w:w="2193" w:type="dxa"/>
            <w:tcBorders>
              <w:top w:val="single" w:sz="4" w:space="0" w:color="auto"/>
              <w:left w:val="single" w:sz="4" w:space="0" w:color="auto"/>
              <w:bottom w:val="single" w:sz="4" w:space="0" w:color="auto"/>
              <w:right w:val="single" w:sz="4" w:space="0" w:color="auto"/>
            </w:tcBorders>
          </w:tcPr>
          <w:p w14:paraId="3E581756" w14:textId="77777777" w:rsidR="00984662" w:rsidRDefault="00984662" w:rsidP="00624D7A">
            <w:pPr>
              <w:spacing w:after="160" w:line="256" w:lineRule="auto"/>
              <w:rPr>
                <w:rFonts w:ascii="StobiSerif Regular" w:hAnsi="StobiSerif Regular"/>
                <w:sz w:val="22"/>
                <w:szCs w:val="22"/>
                <w:lang w:val="ru-RU"/>
              </w:rPr>
            </w:pPr>
            <w:r>
              <w:rPr>
                <w:rFonts w:ascii="StobiSerif Regular" w:hAnsi="StobiSerif Regular"/>
                <w:sz w:val="22"/>
                <w:szCs w:val="22"/>
                <w:lang w:val="ru-RU"/>
              </w:rPr>
              <w:t>Зголемување на платите за ИТ лицата и следење на трендот во приватен сектор</w:t>
            </w:r>
          </w:p>
        </w:tc>
      </w:tr>
      <w:tr w:rsidR="00984662" w:rsidRPr="00433C4A" w14:paraId="7F0ED9EA" w14:textId="77777777" w:rsidTr="00624D7A">
        <w:tc>
          <w:tcPr>
            <w:tcW w:w="2385" w:type="dxa"/>
            <w:tcBorders>
              <w:top w:val="single" w:sz="4" w:space="0" w:color="auto"/>
              <w:left w:val="single" w:sz="4" w:space="0" w:color="auto"/>
              <w:bottom w:val="single" w:sz="4" w:space="0" w:color="auto"/>
              <w:right w:val="single" w:sz="4" w:space="0" w:color="auto"/>
            </w:tcBorders>
          </w:tcPr>
          <w:p w14:paraId="6CB07760" w14:textId="77777777" w:rsidR="00984662" w:rsidRDefault="00984662" w:rsidP="00624D7A">
            <w:pPr>
              <w:spacing w:after="160" w:line="256" w:lineRule="auto"/>
              <w:rPr>
                <w:rFonts w:ascii="StobiSerif Regular" w:hAnsi="StobiSerif Regular"/>
                <w:sz w:val="22"/>
                <w:szCs w:val="22"/>
                <w:lang w:val="ru-RU"/>
              </w:rPr>
            </w:pPr>
            <w:r>
              <w:rPr>
                <w:rFonts w:ascii="StobiSerif Regular" w:hAnsi="StobiSerif Regular"/>
                <w:sz w:val="22"/>
                <w:szCs w:val="22"/>
                <w:lang w:val="ru-RU"/>
              </w:rPr>
              <w:t>Слаба дигитална писменост на вработените</w:t>
            </w:r>
          </w:p>
        </w:tc>
        <w:tc>
          <w:tcPr>
            <w:tcW w:w="2262" w:type="dxa"/>
            <w:tcBorders>
              <w:top w:val="single" w:sz="4" w:space="0" w:color="auto"/>
              <w:left w:val="single" w:sz="4" w:space="0" w:color="auto"/>
              <w:bottom w:val="single" w:sz="4" w:space="0" w:color="auto"/>
              <w:right w:val="single" w:sz="4" w:space="0" w:color="auto"/>
            </w:tcBorders>
          </w:tcPr>
          <w:p w14:paraId="48E07C22" w14:textId="77777777" w:rsidR="00984662" w:rsidRDefault="00984662" w:rsidP="00624D7A">
            <w:pPr>
              <w:rPr>
                <w:rFonts w:ascii="StobiSerif Regular" w:hAnsi="StobiSerif Regular"/>
                <w:sz w:val="22"/>
                <w:szCs w:val="22"/>
              </w:rPr>
            </w:pPr>
            <w:r>
              <w:rPr>
                <w:rFonts w:ascii="StobiSerif Regular" w:hAnsi="StobiSerif Regular"/>
                <w:sz w:val="22"/>
                <w:szCs w:val="22"/>
              </w:rPr>
              <w:t>средна</w:t>
            </w:r>
          </w:p>
        </w:tc>
        <w:tc>
          <w:tcPr>
            <w:tcW w:w="2220" w:type="dxa"/>
            <w:tcBorders>
              <w:top w:val="single" w:sz="4" w:space="0" w:color="auto"/>
              <w:left w:val="single" w:sz="4" w:space="0" w:color="auto"/>
              <w:bottom w:val="single" w:sz="4" w:space="0" w:color="auto"/>
              <w:right w:val="single" w:sz="4" w:space="0" w:color="auto"/>
            </w:tcBorders>
          </w:tcPr>
          <w:p w14:paraId="670711AB" w14:textId="77777777" w:rsidR="00984662" w:rsidRDefault="00984662" w:rsidP="00624D7A">
            <w:pPr>
              <w:rPr>
                <w:rFonts w:ascii="StobiSerif Regular" w:hAnsi="StobiSerif Regular"/>
                <w:sz w:val="22"/>
                <w:szCs w:val="22"/>
              </w:rPr>
            </w:pPr>
            <w:r>
              <w:rPr>
                <w:rFonts w:ascii="StobiSerif Regular" w:hAnsi="StobiSerif Regular"/>
                <w:sz w:val="22"/>
                <w:szCs w:val="22"/>
              </w:rPr>
              <w:t>средна</w:t>
            </w:r>
          </w:p>
        </w:tc>
        <w:tc>
          <w:tcPr>
            <w:tcW w:w="2193" w:type="dxa"/>
            <w:tcBorders>
              <w:top w:val="single" w:sz="4" w:space="0" w:color="auto"/>
              <w:left w:val="single" w:sz="4" w:space="0" w:color="auto"/>
              <w:bottom w:val="single" w:sz="4" w:space="0" w:color="auto"/>
              <w:right w:val="single" w:sz="4" w:space="0" w:color="auto"/>
            </w:tcBorders>
          </w:tcPr>
          <w:p w14:paraId="153DCDDA" w14:textId="77777777" w:rsidR="00984662" w:rsidRDefault="00984662" w:rsidP="00624D7A">
            <w:pPr>
              <w:spacing w:after="160" w:line="256" w:lineRule="auto"/>
              <w:rPr>
                <w:rFonts w:ascii="StobiSerif Regular" w:hAnsi="StobiSerif Regular"/>
                <w:sz w:val="22"/>
                <w:szCs w:val="22"/>
                <w:lang w:val="ru-RU"/>
              </w:rPr>
            </w:pPr>
            <w:r>
              <w:rPr>
                <w:rFonts w:ascii="StobiSerif Regular" w:hAnsi="StobiSerif Regular"/>
                <w:sz w:val="22"/>
                <w:szCs w:val="22"/>
                <w:lang w:val="ru-RU"/>
              </w:rPr>
              <w:t>Спроведување на обуки и семинари за зголемување на дигиталната писменост</w:t>
            </w:r>
          </w:p>
        </w:tc>
      </w:tr>
    </w:tbl>
    <w:p w14:paraId="77CAEF46" w14:textId="77777777" w:rsidR="00984662" w:rsidRDefault="00984662" w:rsidP="00984662">
      <w:pPr>
        <w:rPr>
          <w:rFonts w:asciiTheme="minorHAnsi" w:hAnsiTheme="minorHAnsi" w:cstheme="minorBidi"/>
          <w:sz w:val="22"/>
          <w:szCs w:val="22"/>
          <w:lang w:eastAsia="en-US"/>
        </w:rPr>
      </w:pPr>
    </w:p>
    <w:p w14:paraId="2F98ACE1" w14:textId="77777777" w:rsidR="00984662" w:rsidRPr="00CC062A" w:rsidRDefault="00984662" w:rsidP="00984662">
      <w:pPr>
        <w:pStyle w:val="BodyText"/>
        <w:tabs>
          <w:tab w:val="left" w:pos="1440"/>
        </w:tabs>
        <w:spacing w:after="120" w:line="276" w:lineRule="auto"/>
        <w:rPr>
          <w:sz w:val="16"/>
          <w:szCs w:val="16"/>
          <w:lang w:val="sq-AL"/>
        </w:rPr>
      </w:pPr>
      <w:r w:rsidRPr="00B7156D">
        <w:rPr>
          <w:szCs w:val="22"/>
        </w:rPr>
        <w:tab/>
      </w:r>
      <w:r w:rsidRPr="00B7156D">
        <w:rPr>
          <w:rFonts w:cs="Calibri"/>
          <w:szCs w:val="22"/>
        </w:rPr>
        <w:t xml:space="preserve">                                                                                                                                                   </w:t>
      </w:r>
    </w:p>
    <w:sectPr w:rsidR="00984662" w:rsidRPr="00CC062A" w:rsidSect="00984662">
      <w:headerReference w:type="even" r:id="rId10"/>
      <w:headerReference w:type="default" r:id="rId11"/>
      <w:footerReference w:type="default" r:id="rId12"/>
      <w:headerReference w:type="first" r:id="rId13"/>
      <w:footerReference w:type="first" r:id="rId14"/>
      <w:pgSz w:w="11906" w:h="16838" w:code="9"/>
      <w:pgMar w:top="1418" w:right="1418" w:bottom="1418" w:left="1418" w:header="141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8DC32" w14:textId="77777777" w:rsidR="00EC4D7B" w:rsidRDefault="00EC4D7B">
      <w:r>
        <w:separator/>
      </w:r>
    </w:p>
  </w:endnote>
  <w:endnote w:type="continuationSeparator" w:id="0">
    <w:p w14:paraId="6547B23E" w14:textId="77777777" w:rsidR="00EC4D7B" w:rsidRDefault="00EC4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obiSerif Regular">
    <w:altName w:val="Calibri"/>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ans Regular">
    <w:altName w:val="Calibri"/>
    <w:panose1 w:val="02000503030000020004"/>
    <w:charset w:val="00"/>
    <w:family w:val="modern"/>
    <w:notTrueType/>
    <w:pitch w:val="variable"/>
    <w:sig w:usb0="A00002AF" w:usb1="5000A07B" w:usb2="00000000" w:usb3="00000000" w:csb0="0000009F" w:csb1="00000000"/>
  </w:font>
  <w:font w:name="Arial">
    <w:panose1 w:val="020B0604020202020204"/>
    <w:charset w:val="00"/>
    <w:family w:val="swiss"/>
    <w:pitch w:val="variable"/>
    <w:sig w:usb0="E0002EFF" w:usb1="C000785B" w:usb2="00000009" w:usb3="00000000" w:csb0="000001FF" w:csb1="00000000"/>
  </w:font>
  <w:font w:name="StobiSerif Bold">
    <w:altName w:val="Times New Roman"/>
    <w:panose1 w:val="02000803060000020004"/>
    <w:charset w:val="00"/>
    <w:family w:val="modern"/>
    <w:notTrueType/>
    <w:pitch w:val="variable"/>
    <w:sig w:usb0="A00002AF" w:usb1="5000204B" w:usb2="00000000" w:usb3="00000000" w:csb0="0000009F" w:csb1="00000000"/>
  </w:font>
  <w:font w:name="StobiSerif Medium">
    <w:altName w:val="Times New Roman"/>
    <w:panose1 w:val="020006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C38B9" w14:textId="77777777" w:rsidR="006C42D1" w:rsidRPr="000F2E5D" w:rsidRDefault="004D5D72" w:rsidP="0059655D">
    <w:pPr>
      <w:pStyle w:val="Footer"/>
    </w:pPr>
    <w:r>
      <w:rPr>
        <w:noProof/>
        <w:lang w:val="en-US" w:eastAsia="en-US"/>
      </w:rPr>
      <mc:AlternateContent>
        <mc:Choice Requires="wps">
          <w:drawing>
            <wp:anchor distT="0" distB="0" distL="114300" distR="114300" simplePos="0" relativeHeight="251661312" behindDoc="0" locked="0" layoutInCell="1" allowOverlap="1" wp14:anchorId="17D1E174" wp14:editId="69C2E220">
              <wp:simplePos x="0" y="0"/>
              <wp:positionH relativeFrom="column">
                <wp:posOffset>-320040</wp:posOffset>
              </wp:positionH>
              <wp:positionV relativeFrom="paragraph">
                <wp:posOffset>-187325</wp:posOffset>
              </wp:positionV>
              <wp:extent cx="491490" cy="3048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304800"/>
                      </a:xfrm>
                      <a:prstGeom prst="rect">
                        <a:avLst/>
                      </a:prstGeom>
                      <a:noFill/>
                      <a:ln w="6350">
                        <a:noFill/>
                      </a:ln>
                    </wps:spPr>
                    <wps:txbx>
                      <w:txbxContent>
                        <w:p w14:paraId="1AC6DBE9" w14:textId="0F8EA701" w:rsidR="0059655D" w:rsidRPr="000E5E2F" w:rsidRDefault="004D5D72" w:rsidP="00F23FCF">
                          <w:pPr>
                            <w:jc w:val="right"/>
                            <w:rPr>
                              <w:rFonts w:ascii="StobiSerif Medium" w:hAnsi="StobiSerif Medium"/>
                              <w:bCs/>
                              <w:sz w:val="20"/>
                              <w:szCs w:val="20"/>
                            </w:rPr>
                          </w:pPr>
                          <w:r w:rsidRPr="000E5E2F">
                            <w:rPr>
                              <w:bCs/>
                              <w:sz w:val="20"/>
                              <w:szCs w:val="20"/>
                            </w:rPr>
                            <w:fldChar w:fldCharType="begin"/>
                          </w:r>
                          <w:r w:rsidRPr="000E5E2F">
                            <w:rPr>
                              <w:bCs/>
                              <w:sz w:val="20"/>
                              <w:szCs w:val="20"/>
                            </w:rPr>
                            <w:instrText xml:space="preserve"> PAGE   \* MERGEFORMAT </w:instrText>
                          </w:r>
                          <w:r w:rsidRPr="000E5E2F">
                            <w:rPr>
                              <w:bCs/>
                              <w:sz w:val="20"/>
                              <w:szCs w:val="20"/>
                            </w:rPr>
                            <w:fldChar w:fldCharType="separate"/>
                          </w:r>
                          <w:r w:rsidR="00772765">
                            <w:rPr>
                              <w:bCs/>
                              <w:noProof/>
                              <w:sz w:val="20"/>
                              <w:szCs w:val="20"/>
                            </w:rPr>
                            <w:t>13</w:t>
                          </w:r>
                          <w:r w:rsidRPr="000E5E2F">
                            <w:rPr>
                              <w:bCs/>
                              <w:noProof/>
                              <w:sz w:val="20"/>
                              <w:szCs w:val="2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D1E174" id="_x0000_t202" coordsize="21600,21600" o:spt="202" path="m,l,21600r21600,l21600,xe">
              <v:stroke joinstyle="miter"/>
              <v:path gradientshapeok="t" o:connecttype="rect"/>
            </v:shapetype>
            <v:shape id="Text Box 7" o:spid="_x0000_s1026" type="#_x0000_t202" style="position:absolute;left:0;text-align:left;margin-left:-25.2pt;margin-top:-14.75pt;width:38.7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" filled="f" stroked="f" strokeweight=".5pt">
              <v:path arrowok="t"/>
              <v:textbox>
                <w:txbxContent>
                  <w:p w14:paraId="1AC6DBE9" w14:textId="0F8EA701" w:rsidR="0059655D" w:rsidRPr="000E5E2F" w:rsidRDefault="004D5D72" w:rsidP="00F23FCF">
                    <w:pPr>
                      <w:jc w:val="right"/>
                      <w:rPr>
                        <w:rFonts w:ascii="StobiSerif Medium" w:hAnsi="StobiSerif Medium"/>
                        <w:bCs/>
                        <w:sz w:val="20"/>
                        <w:szCs w:val="20"/>
                      </w:rPr>
                    </w:pPr>
                    <w:r w:rsidRPr="000E5E2F">
                      <w:rPr>
                        <w:bCs/>
                        <w:sz w:val="20"/>
                        <w:szCs w:val="20"/>
                      </w:rPr>
                      <w:fldChar w:fldCharType="begin"/>
                    </w:r>
                    <w:r w:rsidRPr="000E5E2F">
                      <w:rPr>
                        <w:bCs/>
                        <w:sz w:val="20"/>
                        <w:szCs w:val="20"/>
                      </w:rPr>
                      <w:instrText xml:space="preserve"> PAGE   \* MERGEFORMAT </w:instrText>
                    </w:r>
                    <w:r w:rsidRPr="000E5E2F">
                      <w:rPr>
                        <w:bCs/>
                        <w:sz w:val="20"/>
                        <w:szCs w:val="20"/>
                      </w:rPr>
                      <w:fldChar w:fldCharType="separate"/>
                    </w:r>
                    <w:r w:rsidR="00772765">
                      <w:rPr>
                        <w:bCs/>
                        <w:noProof/>
                        <w:sz w:val="20"/>
                        <w:szCs w:val="20"/>
                      </w:rPr>
                      <w:t>13</w:t>
                    </w:r>
                    <w:r w:rsidRPr="000E5E2F">
                      <w:rPr>
                        <w:bCs/>
                        <w:noProof/>
                        <w:sz w:val="20"/>
                        <w:szCs w:val="20"/>
                      </w:rPr>
                      <w:fldChar w:fldCharType="end"/>
                    </w:r>
                  </w:p>
                </w:txbxContent>
              </v:textbox>
            </v:shape>
          </w:pict>
        </mc:Fallback>
      </mc:AlternateContent>
    </w:r>
    <w:r>
      <w:rPr>
        <w:noProof/>
        <w:lang w:val="en-US" w:eastAsia="en-US"/>
      </w:rPr>
      <mc:AlternateContent>
        <mc:Choice Requires="wps">
          <w:drawing>
            <wp:anchor distT="0" distB="0" distL="114297" distR="114297" simplePos="0" relativeHeight="251662336" behindDoc="0" locked="0" layoutInCell="1" allowOverlap="1" wp14:anchorId="7469CE4C" wp14:editId="1A1C304C">
              <wp:simplePos x="0" y="0"/>
              <wp:positionH relativeFrom="column">
                <wp:posOffset>190499</wp:posOffset>
              </wp:positionH>
              <wp:positionV relativeFrom="paragraph">
                <wp:posOffset>-336550</wp:posOffset>
              </wp:positionV>
              <wp:extent cx="0" cy="596900"/>
              <wp:effectExtent l="0" t="0" r="0" b="127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6900"/>
                      </a:xfrm>
                      <a:prstGeom prst="line">
                        <a:avLst/>
                      </a:prstGeom>
                      <a:ln w="12700">
                        <a:solidFill>
                          <a:srgbClr val="AC162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3A50DB3" id="Straight Connector 6" o:spid="_x0000_s1026" style="position:absolute;z-index:251662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15pt,-26.5pt" to="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" strokecolor="#ac162c" strokeweight="1pt">
              <v:stroke joinstyle="miter"/>
              <o:lock v:ext="edit" shapetype="f"/>
            </v:lin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E95BD" w14:textId="77777777" w:rsidR="00B00B6C" w:rsidRDefault="004D5D72">
    <w:pPr>
      <w:pStyle w:val="Footer"/>
    </w:pPr>
    <w:r>
      <w:rPr>
        <w:noProof/>
        <w:lang w:val="en-US" w:eastAsia="en-US"/>
      </w:rPr>
      <mc:AlternateContent>
        <mc:Choice Requires="wps">
          <w:drawing>
            <wp:anchor distT="0" distB="0" distL="114300" distR="114300" simplePos="0" relativeHeight="251666432" behindDoc="0" locked="0" layoutInCell="1" allowOverlap="1" wp14:anchorId="2F515263" wp14:editId="5DD25FA7">
              <wp:simplePos x="0" y="0"/>
              <wp:positionH relativeFrom="column">
                <wp:posOffset>434340</wp:posOffset>
              </wp:positionH>
              <wp:positionV relativeFrom="paragraph">
                <wp:posOffset>-261620</wp:posOffset>
              </wp:positionV>
              <wp:extent cx="2171700" cy="64008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640080"/>
                      </a:xfrm>
                      <a:prstGeom prst="rect">
                        <a:avLst/>
                      </a:prstGeom>
                      <a:noFill/>
                      <a:ln w="6350">
                        <a:noFill/>
                      </a:ln>
                    </wps:spPr>
                    <wps:txbx>
                      <w:txbxContent>
                        <w:p w14:paraId="4B34E6CF" w14:textId="77777777" w:rsidR="00997A9E" w:rsidRPr="00245ED4" w:rsidRDefault="00EC4D7B" w:rsidP="00245ED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F515263" id="_x0000_t202" coordsize="21600,21600" o:spt="202" path="m,l,21600r21600,l21600,xe">
              <v:stroke joinstyle="miter"/>
              <v:path gradientshapeok="t" o:connecttype="rect"/>
            </v:shapetype>
            <v:shape id="Text Box 3" o:spid="_x0000_s1027" type="#_x0000_t202" style="position:absolute;left:0;text-align:left;margin-left:34.2pt;margin-top:-20.6pt;width:171pt;height:5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" filled="f" stroked="f" strokeweight=".5pt">
              <v:textbox>
                <w:txbxContent>
                  <w:p w14:paraId="4B34E6CF" w14:textId="77777777" w:rsidR="00997A9E" w:rsidRPr="00245ED4" w:rsidRDefault="004D5D72" w:rsidP="00245ED4"/>
                </w:txbxContent>
              </v:textbox>
            </v:shape>
          </w:pict>
        </mc:Fallback>
      </mc:AlternateContent>
    </w:r>
    <w:r>
      <w:rPr>
        <w:noProof/>
        <w:lang w:val="en-US" w:eastAsia="en-US"/>
      </w:rPr>
      <mc:AlternateContent>
        <mc:Choice Requires="wps">
          <w:drawing>
            <wp:anchor distT="0" distB="0" distL="114300" distR="114300" simplePos="0" relativeHeight="251667456" behindDoc="0" locked="0" layoutInCell="1" allowOverlap="1" wp14:anchorId="6AAC72A4" wp14:editId="74B6E9C6">
              <wp:simplePos x="0" y="0"/>
              <wp:positionH relativeFrom="column">
                <wp:posOffset>2750820</wp:posOffset>
              </wp:positionH>
              <wp:positionV relativeFrom="paragraph">
                <wp:posOffset>-261620</wp:posOffset>
              </wp:positionV>
              <wp:extent cx="1813560" cy="6337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3560" cy="633730"/>
                      </a:xfrm>
                      <a:prstGeom prst="rect">
                        <a:avLst/>
                      </a:prstGeom>
                      <a:noFill/>
                      <a:ln w="6350">
                        <a:noFill/>
                      </a:ln>
                    </wps:spPr>
                    <wps:txbx>
                      <w:txbxContent>
                        <w:p w14:paraId="3071F5B0" w14:textId="77777777" w:rsidR="00997A9E" w:rsidRPr="00245ED4" w:rsidRDefault="004D5D72" w:rsidP="00245ED4">
                          <w:pPr>
                            <w:rPr>
                              <w:lang w:val="en-GB"/>
                            </w:rPr>
                          </w:pPr>
                          <w:r>
                            <w:rPr>
                              <w:lang w:val="en-G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AAC72A4" id="Text Box 2" o:spid="_x0000_s1028" type="#_x0000_t202" style="position:absolute;left:0;text-align:left;margin-left:216.6pt;margin-top:-20.6pt;width:142.8pt;height:4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" filled="f" stroked="f" strokeweight=".5pt">
              <v:textbox>
                <w:txbxContent>
                  <w:p w14:paraId="3071F5B0" w14:textId="77777777" w:rsidR="00997A9E" w:rsidRPr="00245ED4" w:rsidRDefault="004D5D72" w:rsidP="00245ED4">
                    <w:pPr>
                      <w:rPr>
                        <w:lang w:val="en-GB"/>
                      </w:rPr>
                    </w:pPr>
                    <w:r>
                      <w:rPr>
                        <w:lang w:val="en-GB"/>
                      </w:rPr>
                      <w:t>`</w:t>
                    </w:r>
                  </w:p>
                </w:txbxContent>
              </v:textbox>
            </v:shape>
          </w:pict>
        </mc:Fallback>
      </mc:AlternateContent>
    </w:r>
    <w:r>
      <w:rPr>
        <w:noProof/>
        <w:lang w:val="en-US" w:eastAsia="en-US"/>
      </w:rPr>
      <mc:AlternateContent>
        <mc:Choice Requires="wps">
          <w:drawing>
            <wp:anchor distT="0" distB="0" distL="114300" distR="114300" simplePos="0" relativeHeight="251668480" behindDoc="0" locked="0" layoutInCell="1" allowOverlap="1" wp14:anchorId="283335DC" wp14:editId="4FA6062C">
              <wp:simplePos x="0" y="0"/>
              <wp:positionH relativeFrom="column">
                <wp:posOffset>4707890</wp:posOffset>
              </wp:positionH>
              <wp:positionV relativeFrom="paragraph">
                <wp:posOffset>-335915</wp:posOffset>
              </wp:positionV>
              <wp:extent cx="1215390" cy="6337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5390" cy="633730"/>
                      </a:xfrm>
                      <a:prstGeom prst="rect">
                        <a:avLst/>
                      </a:prstGeom>
                      <a:noFill/>
                      <a:ln w="6350">
                        <a:noFill/>
                      </a:ln>
                    </wps:spPr>
                    <wps:txbx>
                      <w:txbxContent>
                        <w:p w14:paraId="3E049AF4" w14:textId="77777777" w:rsidR="00245ED4" w:rsidRPr="00245ED4" w:rsidRDefault="00EC4D7B" w:rsidP="00245ED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83335DC" id="Text Box 1" o:spid="_x0000_s1029" type="#_x0000_t202" style="position:absolute;left:0;text-align:left;margin-left:370.7pt;margin-top:-26.45pt;width:95.7pt;height:4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" filled="f" stroked="f" strokeweight=".5pt">
              <v:textbox>
                <w:txbxContent>
                  <w:p w14:paraId="3E049AF4" w14:textId="77777777" w:rsidR="00245ED4" w:rsidRPr="00245ED4" w:rsidRDefault="004D5D72" w:rsidP="00245ED4"/>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6A789" w14:textId="77777777" w:rsidR="00EC4D7B" w:rsidRDefault="00EC4D7B">
      <w:r>
        <w:separator/>
      </w:r>
    </w:p>
  </w:footnote>
  <w:footnote w:type="continuationSeparator" w:id="0">
    <w:p w14:paraId="30B9362D" w14:textId="77777777" w:rsidR="00EC4D7B" w:rsidRDefault="00EC4D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43F7F" w14:textId="77777777" w:rsidR="00FE7404" w:rsidRPr="000F2E5D" w:rsidRDefault="00EC4D7B" w:rsidP="00DC5C24">
    <w:r>
      <w:rPr>
        <w:noProof/>
        <w:lang w:val="en-GB"/>
      </w:rPr>
      <w:pict w14:anchorId="6BE834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2050" type="#_x0000_t75" style="position:absolute;left:0;text-align:left;margin-left:0;margin-top:0;width:450.75pt;height:475.5pt;z-index:-251652096;mso-position-horizontal:center;mso-position-horizontal-relative:margin;mso-position-vertical:center;mso-position-vertical-relative:margin" o:allowincell="f">
          <v:imagedata r:id="rId1" o:title="Watermark_Memo"/>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EC3FE" w14:textId="77777777" w:rsidR="00906251" w:rsidRDefault="00EC4D7B" w:rsidP="003413E5">
    <w:r>
      <w:rPr>
        <w:noProof/>
        <w:lang w:val="en-GB"/>
      </w:rPr>
      <w:pict w14:anchorId="46231A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2051" type="#_x0000_t75" style="position:absolute;left:0;text-align:left;margin-left:-3.1pt;margin-top:79.1pt;width:457.3pt;height:482.4pt;z-index:-251651072;mso-position-horizontal-relative:margin;mso-position-vertical-relative:margin" o:allowincell="f">
          <v:imagedata r:id="rId1" o:title="Watermark_Memo"/>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tblpXSpec="center" w:tblpY="68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59"/>
      <w:gridCol w:w="1303"/>
      <w:gridCol w:w="3785"/>
      <w:gridCol w:w="142"/>
    </w:tblGrid>
    <w:tr w:rsidR="00997A9E" w14:paraId="0E0D341E" w14:textId="77777777" w:rsidTr="000211C9">
      <w:trPr>
        <w:gridAfter w:val="1"/>
        <w:wAfter w:w="142" w:type="dxa"/>
        <w:trHeight w:val="501"/>
      </w:trPr>
      <w:tc>
        <w:tcPr>
          <w:tcW w:w="3559" w:type="dxa"/>
          <w:vAlign w:val="bottom"/>
        </w:tcPr>
        <w:p w14:paraId="4D247F9E" w14:textId="551D09B4" w:rsidR="00997A9E" w:rsidRPr="00FD03C5" w:rsidRDefault="00EC4D7B" w:rsidP="000211C9">
          <w:pPr>
            <w:pStyle w:val="NazivRM"/>
          </w:pPr>
        </w:p>
      </w:tc>
      <w:tc>
        <w:tcPr>
          <w:tcW w:w="1303" w:type="dxa"/>
          <w:vMerge w:val="restart"/>
        </w:tcPr>
        <w:p w14:paraId="0C40AF7C" w14:textId="7E2B90ED" w:rsidR="00997A9E" w:rsidRPr="00FD03C5" w:rsidRDefault="00EC4D7B" w:rsidP="00997A9E">
          <w:pPr>
            <w:pStyle w:val="NazivRM"/>
            <w:jc w:val="center"/>
            <w:rPr>
              <w:u w:val="thick" w:color="984807"/>
            </w:rPr>
          </w:pPr>
        </w:p>
      </w:tc>
      <w:tc>
        <w:tcPr>
          <w:tcW w:w="3785" w:type="dxa"/>
          <w:vAlign w:val="bottom"/>
        </w:tcPr>
        <w:p w14:paraId="2898EEC8" w14:textId="78B62161" w:rsidR="00997A9E" w:rsidRPr="00FD03C5" w:rsidRDefault="00EC4D7B" w:rsidP="00997A9E">
          <w:pPr>
            <w:pStyle w:val="NazivRM"/>
            <w:rPr>
              <w:u w:color="984807"/>
            </w:rPr>
          </w:pPr>
        </w:p>
      </w:tc>
    </w:tr>
    <w:tr w:rsidR="00997A9E" w:rsidRPr="000211C9" w14:paraId="1DD2C304" w14:textId="77777777" w:rsidTr="008623BB">
      <w:trPr>
        <w:trHeight w:val="464"/>
      </w:trPr>
      <w:tc>
        <w:tcPr>
          <w:tcW w:w="3559" w:type="dxa"/>
        </w:tcPr>
        <w:p w14:paraId="2B9524FD" w14:textId="5E64292E" w:rsidR="00997A9E" w:rsidRPr="000211C9" w:rsidRDefault="00EC4D7B" w:rsidP="001229C7">
          <w:pPr>
            <w:pStyle w:val="NazivFirma"/>
            <w:spacing w:before="0"/>
            <w:jc w:val="center"/>
            <w:rPr>
              <w:rFonts w:ascii="StobiSerif Regular" w:hAnsi="StobiSerif Regular"/>
              <w:b/>
              <w:bCs/>
              <w:sz w:val="16"/>
              <w:szCs w:val="16"/>
              <w:u w:val="thick" w:color="984807"/>
            </w:rPr>
          </w:pPr>
        </w:p>
      </w:tc>
      <w:tc>
        <w:tcPr>
          <w:tcW w:w="1303" w:type="dxa"/>
          <w:vMerge/>
        </w:tcPr>
        <w:p w14:paraId="13B8B955" w14:textId="77777777" w:rsidR="00997A9E" w:rsidRPr="00FD03C5" w:rsidRDefault="00EC4D7B" w:rsidP="00997A9E">
          <w:pPr>
            <w:pStyle w:val="NazivRM"/>
            <w:rPr>
              <w:u w:color="984807"/>
            </w:rPr>
          </w:pPr>
        </w:p>
      </w:tc>
      <w:tc>
        <w:tcPr>
          <w:tcW w:w="3927" w:type="dxa"/>
          <w:gridSpan w:val="2"/>
        </w:tcPr>
        <w:p w14:paraId="30AAA6EE" w14:textId="560A2617" w:rsidR="00997A9E" w:rsidRPr="000211C9" w:rsidRDefault="00EC4D7B" w:rsidP="001229C7">
          <w:pPr>
            <w:pStyle w:val="NazivFirma"/>
            <w:spacing w:before="0"/>
            <w:jc w:val="center"/>
            <w:rPr>
              <w:rFonts w:ascii="StobiSerif Regular" w:hAnsi="StobiSerif Regular"/>
              <w:b/>
              <w:bCs/>
              <w:sz w:val="16"/>
              <w:szCs w:val="16"/>
            </w:rPr>
          </w:pPr>
        </w:p>
      </w:tc>
    </w:tr>
  </w:tbl>
  <w:p w14:paraId="39904007" w14:textId="77777777" w:rsidR="00FE7404" w:rsidRPr="000F2E5D" w:rsidRDefault="00EC4D7B" w:rsidP="001229C7">
    <w:pPr>
      <w:pStyle w:val="BodyText"/>
    </w:pPr>
    <w:r>
      <w:rPr>
        <w:noProof/>
        <w:lang w:val="en-GB"/>
      </w:rPr>
      <w:pict w14:anchorId="4BB285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2049" type="#_x0000_t75" style="position:absolute;left:0;text-align:left;margin-left:0;margin-top:0;width:450.75pt;height:475.5pt;z-index:-251653120;mso-position-horizontal:center;mso-position-horizontal-relative:margin;mso-position-vertical:center;mso-position-vertical-relative:margin" o:allowincell="f">
          <v:imagedata r:id="rId1" o:title="Watermark_Memo"/>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2405E"/>
    <w:multiLevelType w:val="hybridMultilevel"/>
    <w:tmpl w:val="D4845F7E"/>
    <w:lvl w:ilvl="0" w:tplc="E4A067F0">
      <w:numFmt w:val="bullet"/>
      <w:pStyle w:val="PrilogLista"/>
      <w:lvlText w:val="-"/>
      <w:lvlJc w:val="left"/>
      <w:pPr>
        <w:ind w:left="720" w:hanging="360"/>
      </w:pPr>
      <w:rPr>
        <w:rFonts w:ascii="StobiSerif Regular" w:eastAsia="Calibri" w:hAnsi="StobiSerif Regular" w:cs="Courier New"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662"/>
    <w:rsid w:val="000C648C"/>
    <w:rsid w:val="004D5D72"/>
    <w:rsid w:val="007160A1"/>
    <w:rsid w:val="00772765"/>
    <w:rsid w:val="0080199C"/>
    <w:rsid w:val="008A7C08"/>
    <w:rsid w:val="00984662"/>
    <w:rsid w:val="00B42BA1"/>
    <w:rsid w:val="00E87D2C"/>
    <w:rsid w:val="00EC4D7B"/>
    <w:rsid w:val="00F53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8694E6"/>
  <w15:chartTrackingRefBased/>
  <w15:docId w15:val="{8D3AF1BE-5ADB-4373-BCFC-A2BAC0008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Текст"/>
    <w:qFormat/>
    <w:rsid w:val="00984662"/>
    <w:pPr>
      <w:suppressAutoHyphens/>
      <w:spacing w:after="0" w:line="240" w:lineRule="auto"/>
      <w:jc w:val="both"/>
    </w:pPr>
    <w:rPr>
      <w:rFonts w:ascii="StobiSans Regular" w:eastAsia="Times New Roman" w:hAnsi="StobiSans Regular" w:cs="Times New Roman"/>
      <w:kern w:val="0"/>
      <w:sz w:val="24"/>
      <w:szCs w:val="24"/>
      <w:lang w:val="mk-MK"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84662"/>
    <w:pPr>
      <w:tabs>
        <w:tab w:val="center" w:pos="4153"/>
        <w:tab w:val="right" w:pos="8306"/>
      </w:tabs>
    </w:pPr>
  </w:style>
  <w:style w:type="character" w:customStyle="1" w:styleId="FooterChar">
    <w:name w:val="Footer Char"/>
    <w:basedOn w:val="DefaultParagraphFont"/>
    <w:link w:val="Footer"/>
    <w:uiPriority w:val="99"/>
    <w:rsid w:val="00984662"/>
    <w:rPr>
      <w:rFonts w:ascii="StobiSans Regular" w:eastAsia="Times New Roman" w:hAnsi="StobiSans Regular" w:cs="Times New Roman"/>
      <w:kern w:val="0"/>
      <w:sz w:val="24"/>
      <w:szCs w:val="24"/>
      <w:lang w:val="mk-MK" w:eastAsia="en-GB"/>
      <w14:ligatures w14:val="none"/>
    </w:rPr>
  </w:style>
  <w:style w:type="table" w:styleId="TableGrid">
    <w:name w:val="Table Grid"/>
    <w:basedOn w:val="TableNormal"/>
    <w:uiPriority w:val="39"/>
    <w:rsid w:val="00984662"/>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zivRM">
    <w:name w:val="NazivRM"/>
    <w:basedOn w:val="NazivFirma"/>
    <w:qFormat/>
    <w:rsid w:val="00984662"/>
    <w:pPr>
      <w:spacing w:before="0"/>
    </w:pPr>
    <w:rPr>
      <w:rFonts w:ascii="StobiSerif Regular" w:hAnsi="StobiSerif Regular"/>
      <w:sz w:val="16"/>
    </w:rPr>
  </w:style>
  <w:style w:type="paragraph" w:customStyle="1" w:styleId="NazivFirma">
    <w:name w:val="NazivFirma"/>
    <w:basedOn w:val="Header"/>
    <w:qFormat/>
    <w:rsid w:val="00984662"/>
    <w:pPr>
      <w:tabs>
        <w:tab w:val="clear" w:pos="4680"/>
        <w:tab w:val="clear" w:pos="9360"/>
      </w:tabs>
      <w:suppressAutoHyphens w:val="0"/>
      <w:spacing w:before="120"/>
      <w:jc w:val="left"/>
    </w:pPr>
    <w:rPr>
      <w:rFonts w:ascii="StobiSerif Bold" w:hAnsi="StobiSerif Bold" w:cs="Arial"/>
      <w:noProof/>
      <w:lang w:val="en-US" w:eastAsia="mk-MK"/>
    </w:rPr>
  </w:style>
  <w:style w:type="paragraph" w:styleId="BodyText">
    <w:name w:val="Body Text"/>
    <w:basedOn w:val="Normal"/>
    <w:link w:val="BodyTextChar"/>
    <w:qFormat/>
    <w:rsid w:val="00984662"/>
    <w:pPr>
      <w:suppressAutoHyphens w:val="0"/>
      <w:spacing w:after="200"/>
    </w:pPr>
    <w:rPr>
      <w:rFonts w:ascii="StobiSerif Regular" w:hAnsi="StobiSerif Regular"/>
      <w:sz w:val="22"/>
      <w:szCs w:val="20"/>
      <w:lang w:eastAsia="mk-MK"/>
    </w:rPr>
  </w:style>
  <w:style w:type="character" w:customStyle="1" w:styleId="BodyTextChar">
    <w:name w:val="Body Text Char"/>
    <w:basedOn w:val="DefaultParagraphFont"/>
    <w:link w:val="BodyText"/>
    <w:rsid w:val="00984662"/>
    <w:rPr>
      <w:rFonts w:ascii="StobiSerif Regular" w:eastAsia="Times New Roman" w:hAnsi="StobiSerif Regular" w:cs="Times New Roman"/>
      <w:kern w:val="0"/>
      <w:szCs w:val="20"/>
      <w:lang w:val="mk-MK" w:eastAsia="mk-MK"/>
      <w14:ligatures w14:val="none"/>
    </w:rPr>
  </w:style>
  <w:style w:type="paragraph" w:styleId="Header">
    <w:name w:val="header"/>
    <w:basedOn w:val="Normal"/>
    <w:link w:val="HeaderChar"/>
    <w:uiPriority w:val="99"/>
    <w:semiHidden/>
    <w:unhideWhenUsed/>
    <w:rsid w:val="00984662"/>
    <w:pPr>
      <w:tabs>
        <w:tab w:val="center" w:pos="4680"/>
        <w:tab w:val="right" w:pos="9360"/>
      </w:tabs>
    </w:pPr>
  </w:style>
  <w:style w:type="character" w:customStyle="1" w:styleId="HeaderChar">
    <w:name w:val="Header Char"/>
    <w:basedOn w:val="DefaultParagraphFont"/>
    <w:link w:val="Header"/>
    <w:uiPriority w:val="99"/>
    <w:semiHidden/>
    <w:rsid w:val="00984662"/>
    <w:rPr>
      <w:rFonts w:ascii="StobiSans Regular" w:eastAsia="Times New Roman" w:hAnsi="StobiSans Regular" w:cs="Times New Roman"/>
      <w:kern w:val="0"/>
      <w:sz w:val="24"/>
      <w:szCs w:val="24"/>
      <w:lang w:val="mk-MK" w:eastAsia="en-GB"/>
      <w14:ligatures w14:val="none"/>
    </w:rPr>
  </w:style>
  <w:style w:type="paragraph" w:customStyle="1" w:styleId="PrilogLista">
    <w:name w:val="PrilogLista"/>
    <w:basedOn w:val="Normal"/>
    <w:rsid w:val="00984662"/>
    <w:pPr>
      <w:numPr>
        <w:numId w:val="1"/>
      </w:numPr>
      <w:suppressAutoHyphens w:val="0"/>
      <w:spacing w:before="300"/>
      <w:ind w:left="142" w:hanging="142"/>
      <w:jc w:val="left"/>
    </w:pPr>
    <w:rPr>
      <w:rFonts w:ascii="StobiSerif Regular" w:hAnsi="StobiSerif Regular"/>
      <w:sz w:val="16"/>
      <w:szCs w:val="20"/>
      <w:lang w:eastAsia="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ProtocolNumberIn xmlns="http://schemas.microsoft.com/sharepoint/v3" xsi:nil="true"/>
    <DocumentTypeId xmlns="http://schemas.microsoft.com/sharepoint/v3">18</DocumentTypeId>
    <ProtocolNumberOut xmlns="http://schemas.microsoft.com/sharepoint/v3" xsi:nil="true"/>
    <ProtocolNumberInArchiveDate xmlns="http://schemas.microsoft.com/sharepoint/v3" xsi:nil="true"/>
    <ProtocolNumberOutArchiveDate xmlns="http://schemas.microsoft.com/sharepoint/v3" xsi:nil="true"/>
    <xd_ProgID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ListFieldsContentType" ma:contentTypeID="0x01010086FCDBBC86574C7ABFC9FD714B80DE6C00E2C7F8C81C23294C89324BF5CEA14518" ma:contentTypeVersion="" ma:contentTypeDescription="" ma:contentTypeScope="" ma:versionID="aa4fabcaac4c822cd226357799dd1e1f">
  <xsd:schema xmlns:xsd="http://www.w3.org/2001/XMLSchema" xmlns:xs="http://www.w3.org/2001/XMLSchema" xmlns:p="http://schemas.microsoft.com/office/2006/metadata/properties" xmlns:ns1="http://schemas.microsoft.com/sharepoint/v3" targetNamespace="http://schemas.microsoft.com/office/2006/metadata/properties" ma:root="true" ma:fieldsID="c320286d5c7e03d319bc1f80b16b21f5" ns1:_="">
    <xsd:import namespace="http://schemas.microsoft.com/sharepoint/v3"/>
    <xsd:element name="properties">
      <xsd:complexType>
        <xsd:sequence>
          <xsd:element name="documentManagement">
            <xsd:complexType>
              <xsd:all>
                <xsd:element ref="ns1:TemplateUrl" minOccurs="0"/>
                <xsd:element ref="ns1:xd_ProgID" minOccurs="0"/>
                <xsd:element ref="ns1:xd_Signature" minOccurs="0"/>
                <xsd:element ref="ns1:DocumentTypeId" minOccurs="0"/>
                <xsd:element ref="ns1:ProtocolNumberIn" minOccurs="0"/>
                <xsd:element ref="ns1:ProtocolNumberOut" minOccurs="0"/>
                <xsd:element ref="ns1:ProtocolNumberInArchiveDate" minOccurs="0"/>
                <xsd:element ref="ns1:ProtocolNumberOutArchiv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Template Link" ma:hidden="true" ma:internalName="TemplateUrl">
      <xsd:simpleType>
        <xsd:restriction base="dms:Text"/>
      </xsd:simpleType>
    </xsd:element>
    <xsd:element name="xd_ProgID" ma:index="2" nillable="true" ma:displayName="HTML File Link" ma:hidden="true" ma:internalName="xd_ProgID">
      <xsd:simpleType>
        <xsd:restriction base="dms:Text"/>
      </xsd:simpleType>
    </xsd:element>
    <xsd:element name="xd_Signature" ma:index="3" nillable="true" ma:displayName="Is Signed" ma:hidden="true" ma:internalName="xd_Signature" ma:readOnly="true">
      <xsd:simpleType>
        <xsd:restriction base="dms:Boolean"/>
      </xsd:simpleType>
    </xsd:element>
    <xsd:element name="DocumentTypeId" ma:index="6" nillable="true" ma:displayName="DocumentTypeId" ma:hidden="true" ma:internalName="DocumentTypeId">
      <xsd:simpleType>
        <xsd:restriction base="dms:Text">
          <xsd:maxLength value="255"/>
        </xsd:restriction>
      </xsd:simpleType>
    </xsd:element>
    <xsd:element name="ProtocolNumberIn" ma:index="7" nillable="true" ma:displayName="ProtocolNumberIn" ma:hidden="true" ma:internalName="ProtocolNumberIn">
      <xsd:simpleType>
        <xsd:restriction base="dms:Text">
          <xsd:maxLength value="255"/>
        </xsd:restriction>
      </xsd:simpleType>
    </xsd:element>
    <xsd:element name="ProtocolNumberOut" ma:index="8" nillable="true" ma:displayName="ProtocolNumberOut" ma:hidden="true" ma:internalName="ProtocolNumberOut">
      <xsd:simpleType>
        <xsd:restriction base="dms:Text">
          <xsd:maxLength value="255"/>
        </xsd:restriction>
      </xsd:simpleType>
    </xsd:element>
    <xsd:element name="ProtocolNumberInArchiveDate" ma:index="9" nillable="true" ma:displayName="ProtocolNumberInArchiveDate" ma:hidden="true" ma:internalName="ProtocolNumberInArchiveDate">
      <xsd:simpleType>
        <xsd:restriction base="dms:DateTime"/>
      </xsd:simpleType>
    </xsd:element>
    <xsd:element name="ProtocolNumberOutArchiveDate" ma:index="10" nillable="true" ma:displayName="ProtocolNumberOutArchiveDate" ma:hidden="true" ma:internalName="ProtocolNumberOutArchiv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50361-7E59-46CD-9E56-591AB4DFA7F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44D400E-2ECD-41CC-80F9-47CEA85BF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B2EE25-1A30-4DC5-849A-18C1C552C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1636</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Ризици за Стратегија за реформа на јавната администрација 2023 – 2030 со Акциски план 2023 – 2026</vt:lpstr>
    </vt:vector>
  </TitlesOfParts>
  <Company/>
  <LinksUpToDate>false</LinksUpToDate>
  <CharactersWithSpaces>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Ризици за Стратегија за реформа на јавната администрација 2023 – 2030 со Акциски план 2023 – 2026</dc:title>
  <dc:subject/>
  <dc:creator>Mitko Aritonovski</dc:creator>
  <cp:keywords/>
  <dc:description/>
  <cp:lastModifiedBy>Irena Stameska</cp:lastModifiedBy>
  <cp:revision>3</cp:revision>
  <dcterms:created xsi:type="dcterms:W3CDTF">2023-06-09T13:09:00Z</dcterms:created>
  <dcterms:modified xsi:type="dcterms:W3CDTF">2023-06-15T10:47:00Z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0x01010086FCDBBC86574C7ABFC9FD714B80DE6C00E2C7F8C81C23294C89324BF5CEA14518</vt:lpwstr>
  </property>
  <property fmtid="{D5CDD505-2E9C-101B-9397-08002B2CF9AE}" pid="3" name="CreatedBy">
    <vt:lpwstr>i:0e.t|e-vlada.mk sts|irena.stameska</vt:lpwstr>
  </property>
  <property fmtid="{D5CDD505-2E9C-101B-9397-08002B2CF9AE}" pid="4" name="ModifiedBy">
    <vt:lpwstr>i:0e.t|e-vlada.mk sts|bahtijan.abdula</vt:lpwstr>
  </property>
</Properties>
</file>