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632BA" w14:textId="77777777" w:rsidR="005B4C66" w:rsidRPr="005B4C66" w:rsidRDefault="005B4C66" w:rsidP="005B4C6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color w:val="000000"/>
          <w:kern w:val="36"/>
          <w:sz w:val="26"/>
          <w:szCs w:val="26"/>
          <w14:ligatures w14:val="none"/>
        </w:rPr>
      </w:pPr>
      <w:r w:rsidRPr="005B4C66">
        <w:rPr>
          <w:rFonts w:ascii="Calibri" w:eastAsia="Times New Roman" w:hAnsi="Calibri" w:cs="Calibri"/>
          <w:b/>
          <w:bCs/>
          <w:color w:val="000000"/>
          <w:kern w:val="36"/>
          <w:sz w:val="26"/>
          <w:szCs w:val="26"/>
          <w14:ligatures w14:val="none"/>
        </w:rPr>
        <w:t>ПРАВИЛНИК ЗА ЗАШТИТЕНО ВНАТРЕШНО ПРИЈАВУВАЊЕ ВО ИНСТИТУЦИИТЕ ВО ЈАВНИОТ СЕКТОР</w:t>
      </w:r>
    </w:p>
    <w:p w14:paraId="1104E3DD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03A6440B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1C8D1AA9" w14:textId="77777777" w:rsidR="005B4C66" w:rsidRPr="005B4C66" w:rsidRDefault="005B4C66" w:rsidP="005B4C66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5B4C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5B4C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1</w:t>
      </w:r>
    </w:p>
    <w:p w14:paraId="6C4495DD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правилник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пропишува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proofErr w:type="gram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сектор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E3642A3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22A72ABA" w14:textId="77777777" w:rsidR="005B4C66" w:rsidRPr="005B4C66" w:rsidRDefault="005B4C66" w:rsidP="005B4C66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5B4C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5B4C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2</w:t>
      </w:r>
    </w:p>
    <w:p w14:paraId="021EEE4D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(1) 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Раководното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сектор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извршил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натамошниот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текст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: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раководното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)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назначува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доставени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заради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натамошниот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текст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: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).</w:t>
      </w:r>
    </w:p>
    <w:p w14:paraId="77A8B372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(2) 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раководното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назначуваат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повеќе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определува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нив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одговорно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сумирање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изготвување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доставување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полугодишен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извештај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DF91474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(3)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каде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нема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врши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раководното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792703E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(4)   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Раководното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пропишува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процедури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издвојување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обработка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презема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мерки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обезбедување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личните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однесуваат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применувајќи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прописите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личните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класифицирани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информации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7E8ED04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(5)   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Раководното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Државната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комисија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спречување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корупцијата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следните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4DD97AE9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proofErr w:type="gram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презиме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2B4D08EC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место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455C1C20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телефонски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број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контакт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79AFE205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поштенска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адреса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адреса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пошта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6B7ED752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(6)    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(5)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објавуваат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веб-локацијата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назначено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начин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достапни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C174837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243A67AF" w14:textId="77777777" w:rsidR="005B4C66" w:rsidRPr="005B4C66" w:rsidRDefault="005B4C66" w:rsidP="005B4C66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5B4C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5B4C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3</w:t>
      </w:r>
    </w:p>
    <w:p w14:paraId="6FA8683B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Раководното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назначување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раководи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следното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2AB3A076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вработено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раководно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место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481FA09D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 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завршено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високо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образование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областа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безбедносните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економски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науки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00618766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   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поседува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безбедносен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сертификат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степен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зависност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степенот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класификацијата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информациите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располага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каде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назначува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3893F7CC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 xml:space="preserve">- 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искуство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претставки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вршење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надзор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преземање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истражни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инспекциски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дејствија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вршење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ревизија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контрола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искуство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извршување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должности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доверливост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добивање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испраќање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упатување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F96193E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5C531000" w14:textId="77777777" w:rsidR="005B4C66" w:rsidRPr="005B4C66" w:rsidRDefault="005B4C66" w:rsidP="005B4C66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5B4C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5B4C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4</w:t>
      </w:r>
    </w:p>
    <w:p w14:paraId="7999BDD7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(1)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Раководното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му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независност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непреченост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A14EC40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(2)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Заради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обезбедување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тајност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личните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примаат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обработуваат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раководното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прописите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личните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прописите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класифицирани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информации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соодветни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технички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организациски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мерки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случајно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незаконско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нивно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уништување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нивно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случајно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губење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преправање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неовластено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откривање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пристап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особено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обработката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вклучува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пренос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преку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мрежа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какви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било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незаконски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облици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обработка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FB81291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(3)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Раководното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му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простор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опрема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43AD0ACF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простор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соодветен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странки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608481A3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посебен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компјутер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обезбеден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единствено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корисничко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лозинка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креирана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позната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само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нему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интернет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конекција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посебно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сандаче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пошта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обезбедено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единствено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корисничко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лозинка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креирана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позната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само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нему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566E2D45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посебен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приемен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штембил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5BCB8ED9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посебен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деловодник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2B34126B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посебно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поштенско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сандаче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07B368D1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посебна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телефонска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линија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08C8DA85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  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документарен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ормар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обезбедено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чување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записниците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создадените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документи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материјали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врска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надворешно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посебниот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деловодник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приемниот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штембил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1C73C376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опрема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техничките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организациски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мерки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личните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однесуваат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предвид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прописите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личните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прописите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класифицирани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информации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01E409D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43A18A19" w14:textId="77777777" w:rsidR="005B4C66" w:rsidRPr="005B4C66" w:rsidRDefault="005B4C66" w:rsidP="005B4C66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5B4C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5B4C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5</w:t>
      </w:r>
    </w:p>
    <w:p w14:paraId="273BAA5D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(1)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врши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доставени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директно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него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заради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натамошниот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текст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: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),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поединечно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групно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писмена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форма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доставени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лично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преку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посебно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поштенско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сандаче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записник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7037DFD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(2) 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Заведувањето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врши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посебен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штембил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евидентирање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посебниот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деловодник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C052256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0C030567" w14:textId="77777777" w:rsidR="005B4C66" w:rsidRPr="005B4C66" w:rsidRDefault="005B4C66" w:rsidP="005B4C66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5B4C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5B4C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6</w:t>
      </w:r>
    </w:p>
    <w:p w14:paraId="6AF2F0D2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 xml:space="preserve">(1) 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добиена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составува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записник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содржани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следните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050D8F2B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a)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743A273B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презиме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75FFEEA1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категорија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својство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76727B6A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остане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доверлив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степенот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20F58520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б)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субјектот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0600DA98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в)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опис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казниво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незаконито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недозволиво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повредува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загрозува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интерес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69CEB502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г)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предложени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начин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форма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комуникација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помеѓу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proofErr w:type="gram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3A030BFB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д) </w:t>
      </w:r>
      <w:proofErr w:type="spellStart"/>
      <w:proofErr w:type="gram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прилози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21EF787F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ѓ)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датум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место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7AEE7195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(2)  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Совпаѓањето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усната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содржината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записникот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потврдува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личен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потпис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доставени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заради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надворешно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8884BFA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(3)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Записникот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заведува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FD79090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5BD19683" w14:textId="77777777" w:rsidR="005B4C66" w:rsidRPr="005B4C66" w:rsidRDefault="005B4C66" w:rsidP="005B4C66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5B4C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5B4C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7</w:t>
      </w:r>
    </w:p>
    <w:p w14:paraId="12881442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(1)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доставена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форма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носач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запис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пат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печати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записот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одговара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според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содржината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испечатеното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попишани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прилози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добиени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форма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записи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заведува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97DD456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(2)  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печатењето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прилозите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неекономично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зачувува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форма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посебниот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компјутер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обезбеден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лозинка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позната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само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нему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B47AF19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(3) 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проследува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потребно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пренесување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приложените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записи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заради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случајот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(2)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извршувајќи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обврските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одговорностите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обезбедените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технички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организациски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мерки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согласност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прописите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уредува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личните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записи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преснимува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носач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запис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приложува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8153357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705F619A" w14:textId="77777777" w:rsidR="005B4C66" w:rsidRPr="005B4C66" w:rsidRDefault="005B4C66" w:rsidP="005B4C66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5B4C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5B4C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8</w:t>
      </w:r>
    </w:p>
    <w:p w14:paraId="16303859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(1) 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истиот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заведува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прилози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разгледува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проучува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нејзината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содржина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2EE7B48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(2)  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документ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запис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претставува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однесува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веднаш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забелешка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евидентира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посебниот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деловодник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задржува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копие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приложените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документи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оригинал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пропратно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писмо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писарницата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1FC67E7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 xml:space="preserve">(3) 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преземените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дејствија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(2)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одлагање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известува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познат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B2ACE39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64366195" w14:textId="77777777" w:rsidR="005B4C66" w:rsidRPr="005B4C66" w:rsidRDefault="005B4C66" w:rsidP="005B4C66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5B4C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5B4C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9</w:t>
      </w:r>
    </w:p>
    <w:p w14:paraId="154A7B28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(1)   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заведувањето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одлагање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врши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проценка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содржината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дали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логична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разумна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дали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претставува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дали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доволно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елементи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проследена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понатамошно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56361D4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(2) 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вршењето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проценката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побара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дополнителни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информации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познат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консултира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притоа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внимава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идентитетот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0ACF9FA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(3) 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извршување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проценката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заклучоци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понатамошно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однесуваат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надлежноста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ненадлежноста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каде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назначено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потребното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преземање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мерки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6FEBE3D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25D522DF" w14:textId="77777777" w:rsidR="005B4C66" w:rsidRPr="005B4C66" w:rsidRDefault="005B4C66" w:rsidP="005B4C66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5B4C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5B4C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10</w:t>
      </w:r>
    </w:p>
    <w:p w14:paraId="7CA79076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(1)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наводите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содржината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заклучоците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9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(3)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правилник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одлагање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известува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раководното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35DFBB3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(2)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исклучок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вршењето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проценката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9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правилник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констатира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наводите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содржината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непосредно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посредно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насочени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раководното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проследува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78DCD2F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66053EAB" w14:textId="77777777" w:rsidR="005B4C66" w:rsidRPr="005B4C66" w:rsidRDefault="005B4C66" w:rsidP="005B4C66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5B4C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5B4C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11</w:t>
      </w:r>
    </w:p>
    <w:p w14:paraId="7242019B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(1) 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доставена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најдоцна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осум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заведува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проследува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9448F31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(2)   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пријавено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кривично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дело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државата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човечноста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меѓународното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областа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организираниот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криминал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Кривичниот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законик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пропишана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казна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затвор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најмалку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четири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години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чиешто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докажување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проследено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несразмерни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тешкотии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исказ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поради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можната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опасност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изложен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заплашување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закана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одмазда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опасност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животот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здравјето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слободата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физичкиот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интегритет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поголем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обем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својство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сведок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даде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исказ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прибавена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писмена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согласност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одлагање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06363C9F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Министерството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надлежен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јавен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обвинител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иницијатива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доставување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писмено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поднесување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Предлог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вклучување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Програмата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сведоци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</w:p>
    <w:p w14:paraId="69C04FDD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обвинител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иницијатива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поднесување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Предлог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вклучување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Програмата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сведоци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1C4C2A8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 xml:space="preserve">3)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проследувањето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доставувањето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писменото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(2)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алинеи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 и 2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истовремено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известува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познат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46C53B0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0AD36AAC" w14:textId="77777777" w:rsidR="005B4C66" w:rsidRPr="005B4C66" w:rsidRDefault="005B4C66" w:rsidP="005B4C66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5B4C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5B4C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12</w:t>
      </w:r>
    </w:p>
    <w:p w14:paraId="6BAFF2E4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(1)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упатена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проценката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9од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правилник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логична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разумна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доволно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елементи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понатамошно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презема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мерки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своја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надлежност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проследува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службеното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областа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однесува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откако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претходно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издвои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личните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разоткријат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идентитетот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барал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остане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доверлив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8060DB0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(2) 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известува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текот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 и</w:t>
      </w:r>
      <w:proofErr w:type="gram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  </w:t>
      </w:r>
      <w:proofErr w:type="spellStart"/>
      <w:proofErr w:type="gram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дејствијата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proofErr w:type="gram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преземени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му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овозможува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увид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списите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оформен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врз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неговата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B47F253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(3)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овозможувањето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увидот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(2)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пристапот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информациите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врска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штетни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последици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текот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одделува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тие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информации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известува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му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овозможува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увид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останатиот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дел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содржината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известувањето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останатиот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дел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списите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2284EBE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(4) 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исходот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оформен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известува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познат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F619AC7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4E7B9045" w14:textId="77777777" w:rsidR="005B4C66" w:rsidRPr="005B4C66" w:rsidRDefault="005B4C66" w:rsidP="005B4C66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5B4C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5B4C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13</w:t>
      </w:r>
    </w:p>
    <w:p w14:paraId="755A87F2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(1)    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изготвува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полугодишен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извештај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општи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статистички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оформени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D1E49CC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(2)  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Општи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статистички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задолжително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известува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полугодишен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извештај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7E01ECC0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a)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вкупен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број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2AE47331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б)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број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следните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параметри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1923F8F1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форма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начин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записник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писмена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пошта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писмена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пошта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),</w:t>
      </w:r>
    </w:p>
    <w:p w14:paraId="1411FCBC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пријавено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казниво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недозволиво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11198135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категорија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својство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1A7E779E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позиција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/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место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пријавени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00BFA612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доверливи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5352A075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анонимни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23E290E2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анонимни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барале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бидат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доверливи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45DCEE04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в)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вкупен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број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47A3E6F8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г)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број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анонимни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75E097ED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д)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број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доверливи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44314526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 xml:space="preserve">ѓ)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број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проследени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3136ABEE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е)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број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постапила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рамки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своите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надлежности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196E9D3C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(3) 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оформени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4392BD1F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a)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вкупен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број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6F6E1C2F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б)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број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параметрите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6E3C33AD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форма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начин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записник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писмена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пошта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писмена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електронска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пошта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),</w:t>
      </w:r>
    </w:p>
    <w:p w14:paraId="169776C0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пријавено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казниво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недозволиво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4BB363D0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категорија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својство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3C090804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позиција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/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работно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место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пријавени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4185590B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доверливи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33B5E1CC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анонимни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</w:p>
    <w:p w14:paraId="63A4310A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анонимни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барале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бидат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доверливи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2CFA35FC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в)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вкупен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број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доставиле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оформени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15F5C6DC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г)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број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анонимни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доставиле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оформени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10DAB640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д)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број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доверливи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доставиле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оформени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318E5DF0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ѓ)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број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оформени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3DB68BDE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е)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преземени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мерки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1F2088A9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ж)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статус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оформени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исход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предметите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E277A09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0B817F6B" w14:textId="77777777" w:rsidR="005B4C66" w:rsidRPr="005B4C66" w:rsidRDefault="005B4C66" w:rsidP="005B4C66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5B4C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5B4C6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14</w:t>
      </w:r>
    </w:p>
    <w:p w14:paraId="0201DEAD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правилник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влегува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сила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осмиот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објавувањето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„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Службен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весник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“</w:t>
      </w:r>
      <w:proofErr w:type="gram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отпочне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применува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отпочнувањето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примената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(„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Службен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весник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“ </w:t>
      </w:r>
      <w:proofErr w:type="spellStart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број</w:t>
      </w:r>
      <w:proofErr w:type="spellEnd"/>
      <w:proofErr w:type="gramEnd"/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196/15).</w:t>
      </w:r>
    </w:p>
    <w:p w14:paraId="1CC84C2C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4B1EE5BD" w14:textId="77777777" w:rsidR="005B4C66" w:rsidRPr="005B4C66" w:rsidRDefault="005B4C66" w:rsidP="005B4C66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5B4C6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tbl>
      <w:tblPr>
        <w:tblW w:w="903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5"/>
        <w:gridCol w:w="4515"/>
      </w:tblGrid>
      <w:tr w:rsidR="005B4C66" w:rsidRPr="005B4C66" w14:paraId="3373B8C0" w14:textId="77777777"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7B606583" w14:textId="77777777" w:rsidR="005B4C66" w:rsidRPr="005B4C66" w:rsidRDefault="005B4C66" w:rsidP="005B4C66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</w:pPr>
            <w:proofErr w:type="spellStart"/>
            <w:r w:rsidRPr="005B4C66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Бр</w:t>
            </w:r>
            <w:proofErr w:type="spellEnd"/>
            <w:r w:rsidRPr="005B4C66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. 01-1122/1</w:t>
            </w:r>
          </w:p>
        </w:tc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3C235B56" w14:textId="77777777" w:rsidR="005B4C66" w:rsidRPr="005B4C66" w:rsidRDefault="005B4C66" w:rsidP="005B4C66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</w:pPr>
          </w:p>
        </w:tc>
      </w:tr>
      <w:tr w:rsidR="005B4C66" w:rsidRPr="005B4C66" w14:paraId="2D46CBC6" w14:textId="77777777"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798374AA" w14:textId="77777777" w:rsidR="005B4C66" w:rsidRPr="005B4C66" w:rsidRDefault="005B4C66" w:rsidP="005B4C66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</w:pPr>
            <w:r w:rsidRPr="005B4C66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 xml:space="preserve">3 </w:t>
            </w:r>
            <w:proofErr w:type="spellStart"/>
            <w:r w:rsidRPr="005B4C66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март</w:t>
            </w:r>
            <w:proofErr w:type="spellEnd"/>
            <w:r w:rsidRPr="005B4C66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 xml:space="preserve"> 2016 </w:t>
            </w:r>
            <w:proofErr w:type="spellStart"/>
            <w:r w:rsidRPr="005B4C66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година</w:t>
            </w:r>
            <w:proofErr w:type="spellEnd"/>
            <w:r w:rsidRPr="005B4C66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   </w:t>
            </w:r>
          </w:p>
        </w:tc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431F9292" w14:textId="77777777" w:rsidR="005B4C66" w:rsidRPr="005B4C66" w:rsidRDefault="005B4C66" w:rsidP="005B4C66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</w:pPr>
            <w:r w:rsidRPr="005B4C66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 xml:space="preserve">    </w:t>
            </w:r>
            <w:proofErr w:type="spellStart"/>
            <w:r w:rsidRPr="005B4C66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Министер</w:t>
            </w:r>
            <w:proofErr w:type="spellEnd"/>
            <w:r w:rsidRPr="005B4C66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 xml:space="preserve"> </w:t>
            </w:r>
            <w:proofErr w:type="spellStart"/>
            <w:r w:rsidRPr="005B4C66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за</w:t>
            </w:r>
            <w:proofErr w:type="spellEnd"/>
            <w:r w:rsidRPr="005B4C66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 xml:space="preserve"> </w:t>
            </w:r>
            <w:proofErr w:type="spellStart"/>
            <w:r w:rsidRPr="005B4C66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правда</w:t>
            </w:r>
            <w:proofErr w:type="spellEnd"/>
            <w:r w:rsidRPr="005B4C66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,</w:t>
            </w:r>
          </w:p>
        </w:tc>
      </w:tr>
      <w:tr w:rsidR="005B4C66" w:rsidRPr="005B4C66" w14:paraId="033EAEA7" w14:textId="77777777"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10043184" w14:textId="77777777" w:rsidR="005B4C66" w:rsidRPr="005B4C66" w:rsidRDefault="005B4C66" w:rsidP="005B4C66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</w:pPr>
            <w:proofErr w:type="spellStart"/>
            <w:r w:rsidRPr="005B4C66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Скопје</w:t>
            </w:r>
            <w:proofErr w:type="spellEnd"/>
            <w:r w:rsidRPr="005B4C66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         </w:t>
            </w:r>
          </w:p>
        </w:tc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14:paraId="0BEC4C7A" w14:textId="77777777" w:rsidR="005B4C66" w:rsidRPr="005B4C66" w:rsidRDefault="005B4C66" w:rsidP="005B4C66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</w:pPr>
            <w:r w:rsidRPr="005B4C66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 xml:space="preserve">     д-р </w:t>
            </w:r>
            <w:proofErr w:type="spellStart"/>
            <w:r w:rsidRPr="005B4C66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Аднан</w:t>
            </w:r>
            <w:proofErr w:type="spellEnd"/>
            <w:r w:rsidRPr="005B4C66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 xml:space="preserve"> Јашари, </w:t>
            </w:r>
            <w:proofErr w:type="spellStart"/>
            <w:r w:rsidRPr="005B4C66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с.р</w:t>
            </w:r>
            <w:proofErr w:type="spellEnd"/>
            <w:r w:rsidRPr="005B4C66">
              <w:rPr>
                <w:rFonts w:ascii="Roboto" w:eastAsia="Times New Roman" w:hAnsi="Roboto" w:cs="Times New Roman"/>
                <w:color w:val="444444"/>
                <w:kern w:val="0"/>
                <w:sz w:val="17"/>
                <w:szCs w:val="17"/>
                <w14:ligatures w14:val="none"/>
              </w:rPr>
              <w:t>.</w:t>
            </w:r>
          </w:p>
        </w:tc>
      </w:tr>
    </w:tbl>
    <w:p w14:paraId="34DCDF91" w14:textId="77777777" w:rsidR="00C21BB1" w:rsidRDefault="00C21BB1"/>
    <w:sectPr w:rsidR="00C21BB1" w:rsidSect="00A1207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D8"/>
    <w:rsid w:val="005B4C66"/>
    <w:rsid w:val="005E39C1"/>
    <w:rsid w:val="00790BD8"/>
    <w:rsid w:val="00A011F3"/>
    <w:rsid w:val="00A12072"/>
    <w:rsid w:val="00C21BB1"/>
    <w:rsid w:val="00E9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2EED4-B72D-41C0-AEBE-7BCEE635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B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B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B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B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B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B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B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B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B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B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B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B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B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B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2055</Words>
  <Characters>11714</Characters>
  <Application>Microsoft Office Word</Application>
  <DocSecurity>0</DocSecurity>
  <Lines>97</Lines>
  <Paragraphs>27</Paragraphs>
  <ScaleCrop>false</ScaleCrop>
  <Company/>
  <LinksUpToDate>false</LinksUpToDate>
  <CharactersWithSpaces>13742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Чедомир Стефаноски</dc:creator>
  <cp:keywords/>
  <dc:description/>
  <cp:lastModifiedBy>Чедомир Стефаноски</cp:lastModifiedBy>
  <cp:revision>2</cp:revision>
  <dcterms:created xsi:type="dcterms:W3CDTF">2026-04-16T07:41:00Z</dcterms:created>
  <dcterms:modified xsi:type="dcterms:W3CDTF">2026-04-16T07:41:00Z</dcterms:modified>
</cp:coreProperties>
</file>