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1C32" w14:textId="6B091C31" w:rsidR="00F53F90" w:rsidRPr="00F53F90" w:rsidRDefault="00F53F90" w:rsidP="00F53F9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color w:val="000000"/>
          <w:kern w:val="36"/>
          <w:sz w:val="26"/>
          <w:szCs w:val="26"/>
          <w:lang w:val="mk-MK"/>
          <w14:ligatures w14:val="none"/>
        </w:rPr>
      </w:pPr>
      <w:r w:rsidRPr="00F53F90">
        <w:rPr>
          <w:rFonts w:ascii="Calibri" w:eastAsia="Times New Roman" w:hAnsi="Calibri" w:cs="Calibri"/>
          <w:b/>
          <w:bCs/>
          <w:color w:val="000000"/>
          <w:kern w:val="36"/>
          <w:sz w:val="26"/>
          <w:szCs w:val="26"/>
          <w14:ligatures w14:val="none"/>
        </w:rPr>
        <w:t>ЗАКОН ЗА ЗАШТИТА НА УКАЖУВАЧИ</w:t>
      </w:r>
    </w:p>
    <w:p w14:paraId="4A4971F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EA52B3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</w:p>
    <w:p w14:paraId="21773F0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6B916C0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</w:t>
      </w:r>
    </w:p>
    <w:p w14:paraId="35AABA9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должностите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1C4E9A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A4396D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Значење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изразите</w:t>
      </w:r>
      <w:proofErr w:type="spellEnd"/>
    </w:p>
    <w:p w14:paraId="7DFF59F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482AABEC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</w:t>
      </w:r>
    </w:p>
    <w:p w14:paraId="2812654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смисла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пренесува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сомневање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сознание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веројатно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неетичко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незаконито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C37DB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смисла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намера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ABB1FD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Категории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37C22C3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лицe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коe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засновано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неопределено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определено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F27060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кандидат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кандидат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волонтер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практикант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71F48C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волонтер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практикант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56370AE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ангажирано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8A9096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соработка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7DA2F4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користело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услуги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8536FA1" w14:textId="77777777" w:rsidR="00F53F90" w:rsidRPr="00F53F90" w:rsidRDefault="00F53F90" w:rsidP="00F53F90">
      <w:pPr>
        <w:shd w:val="clear" w:color="auto" w:fill="FFFFFF"/>
        <w:spacing w:before="120" w:after="12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   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смисла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подразбира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локалната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агенција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фонд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установа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претпријатие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Скопје,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општина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градот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Скопје,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регистрирана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доминантна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целосна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сопственост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3EE7B56" w14:textId="77777777" w:rsidR="00F53F90" w:rsidRPr="00F53F90" w:rsidRDefault="00F53F90" w:rsidP="00F53F90">
      <w:pPr>
        <w:shd w:val="clear" w:color="auto" w:fill="FFFFFF"/>
        <w:spacing w:before="120" w:after="12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(5)    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смисла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подразбира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регистрирано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трговскиот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регистар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регистарот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Централниот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регистар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опфатено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(4)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EFE51DB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(6)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смисла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подразбира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граѓанинот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признати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ризиците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здравјето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одбраната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животната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средина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природата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сопственоста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пазарот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претприемништвото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владеење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криминалот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D97209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(7)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поимот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подразбираат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брачниот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вонбрачниот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другар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роднините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роднините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странична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трет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роднините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сватовство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заклучно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втор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посвоеник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посвоител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 и 9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9C924A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48F190C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</w:p>
    <w:p w14:paraId="00C08BB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5BBF730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3</w:t>
      </w:r>
    </w:p>
    <w:p w14:paraId="4706F03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4, 5 и 6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добра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намера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разумно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уверување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времето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вистинити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3B26A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докажува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добрата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намера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вистинитоста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846D45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гарантира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04D219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ограничи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A0E6DBA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6946A8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</w:p>
    <w:p w14:paraId="46C7EE2C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7F08F71B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4</w:t>
      </w:r>
    </w:p>
    <w:p w14:paraId="15FCC0F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сомневање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сознание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незаконито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1C82BA6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5E3543D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C77EA0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5F5978AA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почитување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процедурите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0676EA1A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откријат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AFFA0D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информира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BCA373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(5)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комисија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7B4198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(6)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најмалку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344623A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(7)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и (6)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начин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179339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(8)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Насоки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(6)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1BD36F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2F29F6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</w:p>
    <w:p w14:paraId="60D96F6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093506F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5</w:t>
      </w:r>
    </w:p>
    <w:p w14:paraId="7E81648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Министерството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комисија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Народниот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правобранител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44FA5D5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непосредно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посредно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насочено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53DBCBC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(4)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алиенеја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3224ED0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задоволен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сомнева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предизвика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последници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4DA602A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записник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4C19E9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  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рамките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откријат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анонимно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информираат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2ED9E0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0D3918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(5)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истовремено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F821FD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(6)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обезбедил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отстапено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E0B448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(7)    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114FEFD1" w14:textId="77777777" w:rsidR="00F53F90" w:rsidRPr="00F53F90" w:rsidRDefault="00F53F90" w:rsidP="00F53F90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и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озвозможи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увид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списи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предметот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42AFEE9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завршувањето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познат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исходот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26092C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DECF06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</w:p>
    <w:p w14:paraId="05CEA9B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45150F4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6</w:t>
      </w:r>
    </w:p>
    <w:p w14:paraId="1E9B966E" w14:textId="77777777" w:rsidR="00F53F90" w:rsidRPr="00F53F90" w:rsidRDefault="00F53F90" w:rsidP="00F53F90">
      <w:pPr>
        <w:shd w:val="clear" w:color="auto" w:fill="FFFFFF"/>
        <w:spacing w:before="120" w:after="12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51E6C21E" w14:textId="77777777" w:rsidR="00F53F90" w:rsidRPr="00F53F90" w:rsidRDefault="00F53F90" w:rsidP="00F53F90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и 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оневозможено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невоспоставенa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процедура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1CB1CFAB" w14:textId="77777777" w:rsidR="00F53F90" w:rsidRPr="00F53F90" w:rsidRDefault="00F53F90" w:rsidP="00F53F90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и 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законски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6C7893A2" w14:textId="77777777" w:rsidR="00F53F90" w:rsidRPr="00F53F90" w:rsidRDefault="00F53F90" w:rsidP="00F53F90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препознатлива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уништување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докази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прикривање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натамошниот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: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).</w:t>
      </w:r>
    </w:p>
    <w:p w14:paraId="68C496C0" w14:textId="77777777" w:rsidR="00F53F90" w:rsidRPr="00F53F90" w:rsidRDefault="00F53F90" w:rsidP="00F53F90">
      <w:pPr>
        <w:shd w:val="clear" w:color="auto" w:fill="FFFFFF"/>
        <w:spacing w:before="120" w:after="12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58D828FA" w14:textId="77777777" w:rsidR="00F53F90" w:rsidRPr="00F53F90" w:rsidRDefault="00F53F90" w:rsidP="00F53F90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субјектот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значење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77A8E7DE" w14:textId="77777777" w:rsidR="00F53F90" w:rsidRPr="00F53F90" w:rsidRDefault="00F53F90" w:rsidP="00F53F90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прописите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класифицирани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граѓанска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непосредно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лесно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препознатливо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5D422D1" w14:textId="77777777" w:rsidR="00F53F90" w:rsidRPr="00F53F90" w:rsidRDefault="00F53F90" w:rsidP="00F53F90">
      <w:pPr>
        <w:shd w:val="clear" w:color="auto" w:fill="FFFFFF"/>
        <w:spacing w:before="120" w:after="12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</w:t>
      </w:r>
      <w:r w:rsidRPr="00F53F90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14:ligatures w14:val="none"/>
        </w:rPr>
        <w:t> 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чијашто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националната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одбраната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независноста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територијалниот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интегритет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648667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достапни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и 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8, 9 и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28EF7E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1CA617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</w:p>
    <w:p w14:paraId="3C0A03AC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73BB779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7</w:t>
      </w:r>
    </w:p>
    <w:p w14:paraId="78FA7C9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забранува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овозможување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кога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неопходно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потребно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C8997D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личните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9248B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дознае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штити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7FBED1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(4)    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учесникот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6C2908C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(5)    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одлука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идентитетот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 </w:t>
      </w:r>
    </w:p>
    <w:p w14:paraId="21302FD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(6)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Податоците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откријат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0A9056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F42261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</w:p>
    <w:p w14:paraId="27BD794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AE3A3E4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8</w:t>
      </w:r>
    </w:p>
    <w:p w14:paraId="7A1333A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,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санкција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престанок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суспензија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распоредување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понеповолно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дискриминација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настапување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надворешно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DB14EA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воздржување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62262E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комисија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Народниот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правобранител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Инспекцискиот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Министерството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надлежности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039581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проширува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опфати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сторат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веројатно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оној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сомнева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извршилe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2F637B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AC41F87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9</w:t>
      </w:r>
    </w:p>
    <w:p w14:paraId="10FA52CB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добивање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</w:t>
      </w:r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</w:t>
      </w:r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извршено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вид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семејство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E46EA9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1A1BF0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семејство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обраќаат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прекинување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пропустите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52B31A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утврдените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наоди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(1), (2) и 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51CF55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(5)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покрај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активност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(1), (2) и 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продолжи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семејство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одлагање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осум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покренуваат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гонење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разрешување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распоредување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сменување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мерки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избрани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именувани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претпријатија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располагаат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капитал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2FDC9E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(6)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човечноста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меѓународното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областа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организираниот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криминал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Кривичниот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законик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пропишана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затвор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најмалку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четири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чиешто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докажување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проследено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несразмерни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тешкотии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исказ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биде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изложен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заплашување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закана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одмазда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опасност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животот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здравјето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слободата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интегритет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поголем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исказ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прибавена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1D366F1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Министерството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писмено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Програмата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</w:p>
    <w:p w14:paraId="4C50A19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-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обвинител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иницијатива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Предлог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вклучување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Програмата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сведоци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C540EB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FC4B1A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</w:p>
    <w:p w14:paraId="47DF6E1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618E5053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10</w:t>
      </w:r>
    </w:p>
    <w:p w14:paraId="2BAC6B4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09D391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побара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:</w:t>
      </w:r>
    </w:p>
    <w:p w14:paraId="7AA3480B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дека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преземено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дејствије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650FCC6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забрана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повторување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2A214F6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поништување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извршено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дејтвие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5AEF0C6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отстранување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последиците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дејствие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;</w:t>
      </w:r>
      <w:proofErr w:type="gramEnd"/>
    </w:p>
    <w:p w14:paraId="1FBBFF9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-  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нематеријална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A4A4AA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итна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F1FDFD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ревизија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4DADA6C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AFA5E9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Товар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докажувањето</w:t>
      </w:r>
      <w:proofErr w:type="spellEnd"/>
    </w:p>
    <w:p w14:paraId="320B9C4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27705F8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11</w:t>
      </w:r>
    </w:p>
    <w:p w14:paraId="2B2CBB1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случај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постоење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товарот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докажување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страна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повредило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семејство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E11F31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1A8924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</w:p>
    <w:p w14:paraId="7AFF7EA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36ABECD2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12</w:t>
      </w:r>
    </w:p>
    <w:p w14:paraId="7CA907D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договорите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склучуваат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ангажмани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забранува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сомневање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сознание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казниво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дело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незаконито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недозволиво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загрозува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интерес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безбедноста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одбраната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пак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таквото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дефинира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како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доверливост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лојалност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професионалност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сметаат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ништовни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B9E648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683431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</w:p>
    <w:p w14:paraId="74B2B90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0771274D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13</w:t>
      </w:r>
    </w:p>
    <w:p w14:paraId="1AFD5BD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има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може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претрпи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блиско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4B9EB2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надомест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остварува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поднесување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тужба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B7FF88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76E7BC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Злоупотреба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</w:p>
    <w:p w14:paraId="548F839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0B83331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14</w:t>
      </w:r>
    </w:p>
    <w:p w14:paraId="5590918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Злоупотреба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свесно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невистинити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информации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цел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предизвикување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последици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истото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262BC0C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Злоупотреба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внимание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совесно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степен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околностите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проверил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тие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точни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веродостојни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78EAEB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злоупотребата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и 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губи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7D16CF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(4)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Злоупотребата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настанале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штетни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последици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основ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утврдување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негова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84DE21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EE8A76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Известување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</w:p>
    <w:p w14:paraId="1E6B539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1671B526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15</w:t>
      </w:r>
    </w:p>
    <w:p w14:paraId="233F339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и 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комисија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AAC12CF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(2)    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Државната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комисија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спречување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корупцијата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должнa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Собранието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достави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годишен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рамки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својот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годишен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65A63F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Формата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полугодишните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извештаи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внатрешните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и 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4B8FF1A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81F472A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Надзор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</w:p>
    <w:p w14:paraId="02F9CB0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3EDE0C5" w14:textId="77777777" w:rsidR="00F53F90" w:rsidRPr="00F53F90" w:rsidRDefault="00F53F90" w:rsidP="00F53F90">
      <w:pPr>
        <w:shd w:val="clear" w:color="auto" w:fill="FFFFFF"/>
        <w:spacing w:before="120" w:after="120" w:line="240" w:lineRule="auto"/>
        <w:ind w:left="75" w:right="66" w:hanging="1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15-а</w:t>
      </w:r>
    </w:p>
    <w:p w14:paraId="17D4C5A1" w14:textId="77777777" w:rsidR="00F53F90" w:rsidRPr="00F53F90" w:rsidRDefault="00F53F90" w:rsidP="00F53F90">
      <w:pPr>
        <w:shd w:val="clear" w:color="auto" w:fill="FFFFFF"/>
        <w:spacing w:before="120" w:after="12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Надзор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врши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Министерството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8AE76B9" w14:textId="77777777" w:rsidR="00F53F90" w:rsidRPr="00F53F90" w:rsidRDefault="00F53F90" w:rsidP="00F53F90">
      <w:pPr>
        <w:shd w:val="clear" w:color="auto" w:fill="FFFFFF"/>
        <w:spacing w:before="120" w:after="120" w:line="240" w:lineRule="auto"/>
        <w:ind w:left="-15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80D6AC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</w:t>
      </w:r>
      <w:proofErr w:type="spellEnd"/>
    </w:p>
    <w:p w14:paraId="75C535E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p w14:paraId="29B16C7B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16</w:t>
      </w:r>
    </w:p>
    <w:p w14:paraId="169B7FE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раководното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(4)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685A25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FB2E2DD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17</w:t>
      </w:r>
    </w:p>
    <w:p w14:paraId="7CB615A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    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микро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1.500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голем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(7)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7069413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250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0F7D8F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0F4A2FB4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18</w:t>
      </w:r>
    </w:p>
    <w:p w14:paraId="2C14CEE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10.000 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35533F5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55B13C33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19</w:t>
      </w:r>
    </w:p>
    <w:p w14:paraId="0B5F63B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овластено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укажувачи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друго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5805E1B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физичко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7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8A725BA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(3)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микро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голем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F5F03F9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B283229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20</w:t>
      </w:r>
    </w:p>
    <w:p w14:paraId="60192C6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(1)     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микро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мал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среден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10.000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голем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трговец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вработени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9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(2)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0C95FA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866992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30D4135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21</w:t>
      </w:r>
    </w:p>
    <w:p w14:paraId="0E8B6D4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1.000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4.000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доколку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спротивно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15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5EB897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Глоба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500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евра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денарска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противвредност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му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одговорното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институцијата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правното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прекршокот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8058A2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 </w:t>
      </w:r>
    </w:p>
    <w:p w14:paraId="5792A20F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22</w:t>
      </w:r>
    </w:p>
    <w:p w14:paraId="2F5FFEC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покренување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барање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поведување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спроведе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порамнување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0BCFBC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3D137D3F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23</w:t>
      </w:r>
    </w:p>
    <w:p w14:paraId="2FB8BB12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прекршоците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предвидени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постапка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води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прекршочна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санкција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изрече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надлежен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суд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CED6B91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B44853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Преодни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завршни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</w:t>
      </w:r>
      <w:proofErr w:type="spellEnd"/>
    </w:p>
    <w:p w14:paraId="2EB6C21B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24</w:t>
      </w:r>
    </w:p>
    <w:p w14:paraId="344151B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(1)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3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</w:t>
      </w:r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</w:t>
      </w:r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користат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материјали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произлегуваат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незаконско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следење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комуникации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периодот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2008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2015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година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  <w:proofErr w:type="gramEnd"/>
    </w:p>
    <w:p w14:paraId="48E88D08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(2)    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лице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пријава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содржина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којашто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е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дозволена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 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(1)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обезбедува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заштитата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согласно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8, 9 и 10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одредбите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C77448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268D8421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25</w:t>
      </w:r>
    </w:p>
    <w:p w14:paraId="1E12B497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членовите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(5) и 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(4)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 60</w:t>
      </w:r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4EA6CD16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016A2BA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26</w:t>
      </w:r>
    </w:p>
    <w:p w14:paraId="2F6D9C5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насоките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4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(8)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1B130594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3C9C80C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27</w:t>
      </w:r>
    </w:p>
    <w:p w14:paraId="2F0C4090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Министерот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ги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донесе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актите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5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став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(4)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рок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60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0415A3B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4D3751D1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28</w:t>
      </w:r>
    </w:p>
    <w:p w14:paraId="5E4A95B1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е </w:t>
      </w: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избришан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</w:p>
    <w:p w14:paraId="6E5D8E2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6243D40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29</w:t>
      </w:r>
    </w:p>
    <w:p w14:paraId="074E7F1E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lastRenderedPageBreak/>
        <w:t>Законите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кои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уредуваат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права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обврски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работен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однос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јавниот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и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приватниот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сектор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усогласат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најдоцна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три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месеци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696F6495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71729B4A" w14:textId="77777777" w:rsidR="00F53F90" w:rsidRPr="00F53F90" w:rsidRDefault="00F53F90" w:rsidP="00F53F90">
      <w:pPr>
        <w:shd w:val="clear" w:color="auto" w:fill="FFFFFF"/>
        <w:spacing w:after="100" w:afterAutospacing="1" w:line="240" w:lineRule="auto"/>
        <w:jc w:val="center"/>
        <w:outlineLvl w:val="1"/>
        <w:rPr>
          <w:rFonts w:ascii="Calibri" w:eastAsia="Times New Roman" w:hAnsi="Calibri" w:cs="Calibri"/>
          <w:color w:val="000000"/>
          <w:kern w:val="0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Член</w:t>
      </w:r>
      <w:proofErr w:type="spellEnd"/>
      <w:r w:rsidRPr="00F53F9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30</w:t>
      </w:r>
    </w:p>
    <w:p w14:paraId="54BC6D0D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осмиот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објавувањето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„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Службен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весник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Република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Македонија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“</w:t>
      </w:r>
      <w:proofErr w:type="gram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, а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ќе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започне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се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применува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по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четири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месеци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од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денот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влегувањето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во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сила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на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овој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закон</w:t>
      </w:r>
      <w:proofErr w:type="spellEnd"/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.</w:t>
      </w:r>
    </w:p>
    <w:p w14:paraId="5BB07FA3" w14:textId="77777777" w:rsidR="00F53F90" w:rsidRPr="00F53F90" w:rsidRDefault="00F53F90" w:rsidP="00F53F90">
      <w:pPr>
        <w:shd w:val="clear" w:color="auto" w:fill="FFFFFF"/>
        <w:spacing w:after="100" w:line="240" w:lineRule="auto"/>
        <w:ind w:right="100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53F9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1E259C7A" w14:textId="77777777" w:rsidR="00C21BB1" w:rsidRDefault="00C21BB1"/>
    <w:sectPr w:rsidR="00C21BB1" w:rsidSect="00A1207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55"/>
    <w:rsid w:val="005E39C1"/>
    <w:rsid w:val="00A011F3"/>
    <w:rsid w:val="00A12072"/>
    <w:rsid w:val="00C21BB1"/>
    <w:rsid w:val="00E90A68"/>
    <w:rsid w:val="00F06555"/>
    <w:rsid w:val="00F5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4BDF9"/>
  <w15:chartTrackingRefBased/>
  <w15:docId w15:val="{10BE4935-F838-4D32-BB99-D0824069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5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5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5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5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5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5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5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3691</Words>
  <Characters>21044</Characters>
  <Application>Microsoft Office Word</Application>
  <DocSecurity>0</DocSecurity>
  <Lines>175</Lines>
  <Paragraphs>49</Paragraphs>
  <ScaleCrop>false</ScaleCrop>
  <Company/>
  <LinksUpToDate>false</LinksUpToDate>
  <CharactersWithSpaces>24686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Чедомир Стефаноски</dc:creator>
  <cp:keywords/>
  <dc:description/>
  <cp:lastModifiedBy>Чедомир Стефаноски</cp:lastModifiedBy>
  <cp:revision>2</cp:revision>
  <dcterms:created xsi:type="dcterms:W3CDTF">2026-04-16T07:38:00Z</dcterms:created>
  <dcterms:modified xsi:type="dcterms:W3CDTF">2026-04-16T07:39:00Z</dcterms:modified>
</cp:coreProperties>
</file>