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247F" w14:textId="77777777" w:rsidR="006A21A6" w:rsidRPr="00D2007E" w:rsidRDefault="006A21A6" w:rsidP="00D200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Број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Службен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весник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: 220/2024</w:t>
      </w:r>
    </w:p>
    <w:p w14:paraId="0AD5D83C" w14:textId="77777777" w:rsidR="006A21A6" w:rsidRPr="00D2007E" w:rsidRDefault="006A21A6" w:rsidP="00D200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Број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одлука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Уставен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У.бр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.): /</w:t>
      </w:r>
    </w:p>
    <w:p w14:paraId="48D51CD6" w14:textId="77777777" w:rsidR="006A21A6" w:rsidRPr="00D2007E" w:rsidRDefault="006A21A6" w:rsidP="00D200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Датум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објава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Службен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весник</w:t>
      </w:r>
      <w:proofErr w:type="spellEnd"/>
      <w:r w:rsidRPr="00D2007E">
        <w:rPr>
          <w:rFonts w:ascii="Calibri" w:eastAsia="Times New Roman" w:hAnsi="Calibri" w:cs="Calibri"/>
          <w:b/>
          <w:bCs/>
          <w:color w:val="444444"/>
          <w:kern w:val="0"/>
          <w:sz w:val="20"/>
          <w:szCs w:val="20"/>
          <w14:ligatures w14:val="none"/>
        </w:rPr>
        <w:t>: 30.10.2024</w:t>
      </w:r>
    </w:p>
    <w:p w14:paraId="2B6FD21F" w14:textId="77777777" w:rsidR="00D2007E" w:rsidRPr="00D2007E" w:rsidRDefault="00D2007E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32C00992" w14:textId="2A737C2F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УСТАВЕН СУД НА РЕПУБЛИКА СЕВЕРНА МАКЕДОНИЈА</w:t>
      </w:r>
    </w:p>
    <w:p w14:paraId="0C3BF8FD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Македонија,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д-р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Дарко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Костадиновски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м-р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Татјана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Васиќ-Бозаџиева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д-р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Јадранка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Дабовиќ-Анастасовска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Елизабета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Дуковска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д-р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Осман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Кадриу,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Добрила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Кацарска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д-р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Павловска-Данева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м-р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Фатмир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Скендер,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110 и 112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Македонија”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115/2024),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седницата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одржана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октомври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2024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</w:p>
    <w:p w14:paraId="73CBB84E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96A8397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ОДЛУКА</w:t>
      </w:r>
    </w:p>
    <w:p w14:paraId="3647306A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419364F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1. СЕ УКИНУВА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 „</w:t>
      </w:r>
      <w:proofErr w:type="spellStart"/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Македонија“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</w:t>
      </w:r>
      <w:proofErr w:type="spellEnd"/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 96/2019).</w:t>
      </w:r>
    </w:p>
    <w:p w14:paraId="364572CE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2.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”.</w:t>
      </w:r>
    </w:p>
    <w:p w14:paraId="21521737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5514C4E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Образложение</w:t>
      </w:r>
      <w:proofErr w:type="spellEnd"/>
    </w:p>
    <w:p w14:paraId="7AE9366E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FDA21F4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</w:t>
      </w:r>
    </w:p>
    <w:p w14:paraId="4E55818E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Македонија,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Александар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Наумовски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Битола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У.бр.148/2024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јули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2024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уставноста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порената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означен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диспозитивот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лука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бидејќи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157FE5A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7C58D66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II</w:t>
      </w:r>
    </w:p>
    <w:p w14:paraId="20CE5F91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седницата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врдениот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</w:t>
      </w:r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</w:t>
      </w:r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8350B87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6080952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III</w:t>
      </w:r>
    </w:p>
    <w:p w14:paraId="4D5A4902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1, 3 и 11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Македонија,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човекот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признати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Уставот,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владеењето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почитувањето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прифатените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норми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темелни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вредности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поредок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BAFB0BD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Македонија,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еднакви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независно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бојата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кожата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националното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социјалното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потекло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политичкото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верското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уверување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имотната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општествената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еднакви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E1C026D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Амандманoт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XXI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заменет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Aмандманот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гарантира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Меѓутоа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амандман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регулирано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вања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 </w:t>
      </w:r>
    </w:p>
    <w:p w14:paraId="5395D92D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гарантира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динечните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титуции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овластувања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запознат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човековите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активно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придонесува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унапредување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6B97B6D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Уставот.</w:t>
      </w:r>
    </w:p>
    <w:p w14:paraId="04C0C38B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110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ласноста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Уставот.</w:t>
      </w:r>
    </w:p>
    <w:p w14:paraId="721A4EC9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потписник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веќе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конвенции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различни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сфери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потписник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конвенции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нејзини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протоколи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третираат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поврзано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Европската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конвенција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вековите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764D640F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(„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Македонија“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</w:t>
      </w:r>
      <w:proofErr w:type="spellEnd"/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96/2019),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Законот,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функционирање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систем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целина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2049B26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збир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контрола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збир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судство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фун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кционирање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5C0B27B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C8C02EE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ситуација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недонесувањето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презумција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ваквите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одбива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затоа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управно-судска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</w:t>
      </w:r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ратификувани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водејќи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грижа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конзистентност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сигурност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еднаква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2595409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коe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конечен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прекршочна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непостапување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7F97C24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равно-судската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91C449F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употребуваат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</w:t>
      </w:r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значи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изедначува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непреземање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тивности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C818CE9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24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10797F2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тогаш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допуштена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настапува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B5CD576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24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ботата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меритум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јурисди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управно-правната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станува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збор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отсуство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стапка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375F2B2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дефини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порениот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EEC86E9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3005005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конкретниот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исполнети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неколку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процесни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истече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;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употреби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средства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остварување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допуштена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);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полнувањето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двете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претпоставки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?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допуштено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сe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уште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E0A8C35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конкрет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отсуството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остварување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уживањето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Истовремено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управно-правната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теорија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дефинира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презумција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одбиено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лежниот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законодавецот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непречено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користење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контрола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дури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мериторно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5B1B687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самоволна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арбитрарна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покренување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независен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1DB43AC0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нистрацијата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а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побарала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првичниот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поедноставни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посложени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помине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управата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помине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сe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уште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побара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ограничува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рестриктивна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губи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никаков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редовен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лек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63EAC32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помеѓу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ситуацијата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жителот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ситуација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бидејќи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воопшто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токму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несен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лежност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D60C8D7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Судот,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дефинираната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принципот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владеење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сигурност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бидејќи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предвремена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благовремена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30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губи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Амандманот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XXI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заменет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505AF4F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Амандманот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XXI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анализираат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духот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норматив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темелната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вредност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нашиот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поредок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почитувањето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човекот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признати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Уставот.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смисла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гарантира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овластувања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гаранција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подеднакво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загарантирано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6231CF4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Суштината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пристап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составен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правично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загарантира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Европската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конвенција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вековите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C1A7968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наведеното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дефинираната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владеењето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темелна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вредност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поредок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гаранција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Амандман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XXI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заменет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остварува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рестриктивно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голо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произволни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норми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конкретното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рестрик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тивно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владеењето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себе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обврзува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нодавецот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формулира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прецизни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недвосмислени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јасни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норми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елиминираат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секаква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конфузија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секаде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послужи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коректив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телот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ограничување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сe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додека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трае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Судот,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оставањето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широко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злоупотребуваат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стимулирајќи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новна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</w:t>
      </w:r>
      <w:proofErr w:type="spellEnd"/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 58/00, 44/02, 82/08, 167/10, 51/11 и 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Македонија“ бр</w:t>
      </w:r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.96/19, 110/19, 154/19 и 121/24), а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13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точка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)</w:t>
      </w:r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стопанските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субјекти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туку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извршуваат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делокруг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рови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сега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дефиниран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значењето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ослободувајќи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таквата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директно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владее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ње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принципот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сигурност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еднаквост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EB07088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1DA04DF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IV</w:t>
      </w:r>
    </w:p>
    <w:p w14:paraId="33F9B568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наведеното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диспозитивот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DB11AD2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E5E9B11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</w:t>
      </w:r>
    </w:p>
    <w:p w14:paraId="6E6FBE87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произведува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објавувањето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</w:t>
      </w:r>
      <w:proofErr w:type="gram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FED3BB3" w14:textId="77777777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1F13F4C" w14:textId="77777777" w:rsidR="00D2007E" w:rsidRDefault="00D2007E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3608CC6B" w14:textId="4E10C611" w:rsidR="00D2007E" w:rsidRPr="00D2007E" w:rsidRDefault="00D2007E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    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</w:t>
      </w: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</w:t>
      </w:r>
      <w:proofErr w:type="spellEnd"/>
    </w:p>
    <w:p w14:paraId="0A96F4AC" w14:textId="7B3F7FA5" w:rsidR="00D2007E" w:rsidRPr="00D2007E" w:rsidRDefault="00D2007E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У.бр.148/2024                                                                 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     </w:t>
      </w: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Уставниот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</w:p>
    <w:p w14:paraId="5C352F1E" w14:textId="3042EB3C" w:rsidR="00D2007E" w:rsidRPr="00D2007E" w:rsidRDefault="00D2007E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2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октомври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2024 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                                             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      </w:t>
      </w: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       </w:t>
      </w: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Северна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Македонија,</w:t>
      </w:r>
    </w:p>
    <w:p w14:paraId="7F5D7A6B" w14:textId="0997AAA8" w:rsidR="00D2007E" w:rsidRPr="00D2007E" w:rsidRDefault="00D2007E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Скопје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                                                                           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          </w:t>
      </w: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д-р </w:t>
      </w:r>
      <w:proofErr w:type="spellStart"/>
      <w:r w:rsidRPr="00D2007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Дарко</w:t>
      </w:r>
      <w:proofErr w:type="spellEnd"/>
      <w:r w:rsidRPr="00D2007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2007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Костадиновски</w:t>
      </w: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,с.р</w:t>
      </w:r>
      <w:proofErr w:type="spellEnd"/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  <w:proofErr w:type="gramEnd"/>
    </w:p>
    <w:p w14:paraId="402E69FC" w14:textId="77777777" w:rsidR="00D2007E" w:rsidRPr="00D2007E" w:rsidRDefault="00D2007E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B182934" w14:textId="4A06622D" w:rsidR="006A21A6" w:rsidRPr="00D2007E" w:rsidRDefault="006A21A6" w:rsidP="00D2007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200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55E6284" w14:textId="77777777" w:rsidR="00C21BB1" w:rsidRPr="00D2007E" w:rsidRDefault="00C21BB1" w:rsidP="00D2007E">
      <w:pPr>
        <w:jc w:val="both"/>
        <w:rPr>
          <w:rFonts w:ascii="Calibri" w:hAnsi="Calibri" w:cs="Calibri"/>
        </w:rPr>
      </w:pPr>
    </w:p>
    <w:sectPr w:rsidR="00C21BB1" w:rsidRPr="00D2007E" w:rsidSect="00A120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57"/>
    <w:rsid w:val="00126728"/>
    <w:rsid w:val="00412F5F"/>
    <w:rsid w:val="006A21A6"/>
    <w:rsid w:val="00A011F3"/>
    <w:rsid w:val="00A12072"/>
    <w:rsid w:val="00C21BB1"/>
    <w:rsid w:val="00D2007E"/>
    <w:rsid w:val="00E90A68"/>
    <w:rsid w:val="00F6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3CF7"/>
  <w15:chartTrackingRefBased/>
  <w15:docId w15:val="{E12CF2B6-7A64-47DC-9E71-D4F6B1E4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2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2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2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2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2581</Words>
  <Characters>13064</Characters>
  <Application>Microsoft Office Word</Application>
  <DocSecurity>0</DocSecurity>
  <Lines>217</Lines>
  <Paragraphs>60</Paragraphs>
  <ScaleCrop>false</ScaleCrop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Чедомир Стефаноски</dc:creator>
  <cp:keywords/>
  <dc:description/>
  <cp:lastModifiedBy>Чедомир Стефаноски</cp:lastModifiedBy>
  <cp:revision>4</cp:revision>
  <dcterms:created xsi:type="dcterms:W3CDTF">2026-03-09T08:28:00Z</dcterms:created>
  <dcterms:modified xsi:type="dcterms:W3CDTF">2026-03-10T09:58:00Z</dcterms:modified>
</cp:coreProperties>
</file>