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DB02" w14:textId="77777777" w:rsidR="00CC2339" w:rsidRDefault="00462067" w:rsidP="00D245AC">
      <w:pPr>
        <w:pStyle w:val="NoSpacing"/>
        <w:spacing w:line="360" w:lineRule="auto"/>
        <w:jc w:val="center"/>
        <w:rPr>
          <w:rFonts w:ascii="StobiSerif Regular" w:hAnsi="StobiSerif Regular" w:cstheme="minorHAnsi"/>
          <w:b/>
          <w:bCs/>
          <w:sz w:val="24"/>
          <w:szCs w:val="24"/>
        </w:rPr>
      </w:pPr>
      <w:r w:rsidRPr="002C1C7D">
        <w:rPr>
          <w:rFonts w:ascii="StobiSerif Regular" w:hAnsi="StobiSerif Regular" w:cstheme="minorHAnsi"/>
          <w:b/>
          <w:bCs/>
          <w:sz w:val="24"/>
          <w:szCs w:val="24"/>
        </w:rPr>
        <w:t xml:space="preserve">ИЗВЕШТАЈ ОД СПРОВЕДЕНО ИСТРАЖУВАЊЕ ЗА </w:t>
      </w:r>
      <w:r w:rsidR="00D245AC">
        <w:rPr>
          <w:rFonts w:ascii="StobiSerif Regular" w:hAnsi="StobiSerif Regular" w:cstheme="minorHAnsi"/>
          <w:b/>
          <w:bCs/>
          <w:sz w:val="24"/>
          <w:szCs w:val="24"/>
        </w:rPr>
        <w:t xml:space="preserve">МЕРЕЊЕ НА </w:t>
      </w:r>
    </w:p>
    <w:p w14:paraId="227FD816" w14:textId="15A481EC" w:rsidR="00462067" w:rsidRPr="002C1C7D" w:rsidRDefault="00462067" w:rsidP="00D245AC">
      <w:pPr>
        <w:pStyle w:val="NoSpacing"/>
        <w:spacing w:line="360" w:lineRule="auto"/>
        <w:jc w:val="center"/>
        <w:rPr>
          <w:rFonts w:ascii="StobiSerif Regular" w:hAnsi="StobiSerif Regular" w:cstheme="minorHAnsi"/>
          <w:b/>
          <w:bCs/>
          <w:sz w:val="24"/>
          <w:szCs w:val="24"/>
        </w:rPr>
      </w:pPr>
      <w:r w:rsidRPr="002C1C7D">
        <w:rPr>
          <w:rFonts w:ascii="StobiSerif Regular" w:hAnsi="StobiSerif Regular" w:cstheme="minorHAnsi"/>
          <w:b/>
          <w:bCs/>
          <w:sz w:val="24"/>
          <w:szCs w:val="24"/>
        </w:rPr>
        <w:t>ИНДЕКС НА КВАЛИТЕТ НА ИНСТИТУЦИИТЕ</w:t>
      </w:r>
      <w:r w:rsidR="00CC2339">
        <w:rPr>
          <w:rFonts w:ascii="StobiSerif Regular" w:hAnsi="StobiSerif Regular" w:cstheme="minorHAnsi"/>
          <w:b/>
          <w:bCs/>
          <w:sz w:val="24"/>
          <w:szCs w:val="24"/>
        </w:rPr>
        <w:t xml:space="preserve"> </w:t>
      </w:r>
      <w:r w:rsidR="00D245AC">
        <w:rPr>
          <w:rFonts w:ascii="StobiSerif Regular" w:hAnsi="StobiSerif Regular" w:cstheme="minorHAnsi"/>
          <w:b/>
          <w:bCs/>
          <w:sz w:val="24"/>
          <w:szCs w:val="24"/>
        </w:rPr>
        <w:t>ОД ЈАВНИОТ СЕКТОР</w:t>
      </w:r>
    </w:p>
    <w:p w14:paraId="2E148419" w14:textId="77777777" w:rsidR="007523BB" w:rsidRPr="00F040AE" w:rsidRDefault="007523BB" w:rsidP="007523BB"/>
    <w:p w14:paraId="3337EF5C" w14:textId="77777777" w:rsidR="00335DE2" w:rsidRPr="00796817" w:rsidRDefault="00335DE2" w:rsidP="00906251">
      <w:pPr>
        <w:rPr>
          <w:lang w:val="ru-RU"/>
        </w:rPr>
      </w:pPr>
    </w:p>
    <w:p w14:paraId="639B9213" w14:textId="77777777" w:rsidR="005F197A" w:rsidRPr="00796817" w:rsidRDefault="005F197A" w:rsidP="00BD2475">
      <w:pPr>
        <w:pStyle w:val="a0"/>
        <w:rPr>
          <w:lang w:val="ru-RU"/>
        </w:rPr>
      </w:pPr>
    </w:p>
    <w:p w14:paraId="42FC0DE7" w14:textId="77777777" w:rsidR="005F197A" w:rsidRPr="00796817" w:rsidRDefault="005F197A" w:rsidP="00F06063">
      <w:pPr>
        <w:pStyle w:val="a0"/>
        <w:rPr>
          <w:lang w:val="ru-RU"/>
        </w:rPr>
      </w:pPr>
    </w:p>
    <w:p w14:paraId="00119F3A" w14:textId="77777777" w:rsidR="00F06063" w:rsidRPr="00061EC9" w:rsidRDefault="00F06063" w:rsidP="00061EC9">
      <w:pPr>
        <w:pStyle w:val="Default"/>
        <w:rPr>
          <w:rFonts w:ascii="StobiSerif Regular" w:eastAsiaTheme="minorHAnsi" w:hAnsi="StobiSerif Regular" w:cstheme="minorHAnsi"/>
          <w:b/>
          <w:color w:val="auto"/>
          <w:sz w:val="28"/>
          <w:szCs w:val="28"/>
          <w:lang w:eastAsia="en-US"/>
        </w:rPr>
      </w:pPr>
      <w:bookmarkStart w:id="0" w:name="_Toc12885804"/>
      <w:r w:rsidRPr="00061EC9">
        <w:rPr>
          <w:rFonts w:ascii="StobiSerif Regular" w:eastAsiaTheme="minorHAnsi" w:hAnsi="StobiSerif Regular" w:cstheme="minorHAnsi"/>
          <w:b/>
          <w:color w:val="auto"/>
          <w:sz w:val="28"/>
          <w:szCs w:val="28"/>
          <w:lang w:eastAsia="en-US"/>
        </w:rPr>
        <w:t>1. Вовед</w:t>
      </w:r>
      <w:bookmarkEnd w:id="0"/>
    </w:p>
    <w:p w14:paraId="3F1611E4" w14:textId="77777777" w:rsidR="00F06063" w:rsidRPr="00917EA4" w:rsidRDefault="00F06063" w:rsidP="00F06063"/>
    <w:p w14:paraId="3205BE59" w14:textId="77777777" w:rsidR="00F06063" w:rsidRPr="00F06063" w:rsidRDefault="00F06063" w:rsidP="00F06063">
      <w:pPr>
        <w:suppressAutoHyphens w:val="0"/>
        <w:spacing w:line="259" w:lineRule="auto"/>
        <w:rPr>
          <w:rFonts w:ascii="StobiSerif Regular" w:eastAsiaTheme="minorHAnsi" w:hAnsi="StobiSerif Regular" w:cstheme="minorHAnsi"/>
          <w:b/>
          <w:lang w:eastAsia="en-US"/>
        </w:rPr>
      </w:pPr>
      <w:r w:rsidRPr="00F06063">
        <w:rPr>
          <w:rFonts w:ascii="StobiSerif Regular" w:eastAsiaTheme="minorHAnsi" w:hAnsi="StobiSerif Regular" w:cstheme="minorHAnsi"/>
          <w:lang w:eastAsia="en-US"/>
        </w:rPr>
        <w:t xml:space="preserve">Министерството за јавна администрација (МЈА) e клучна институција задолжена за координација на процесот на реформа на јавната администрација преку имплементација на </w:t>
      </w:r>
      <w:r w:rsidRPr="00F06063">
        <w:rPr>
          <w:rFonts w:ascii="StobiSerif Regular" w:eastAsiaTheme="minorHAnsi" w:hAnsi="StobiSerif Regular" w:cstheme="minorHAnsi"/>
          <w:b/>
          <w:lang w:eastAsia="en-US"/>
        </w:rPr>
        <w:t>Стратегијата за РЈА (2023-2030) со Акциски план</w:t>
      </w:r>
      <w:r w:rsidRPr="00F06063">
        <w:rPr>
          <w:rFonts w:ascii="StobiSerif Regular" w:eastAsiaTheme="minorHAnsi" w:hAnsi="StobiSerif Regular" w:cstheme="minorHAnsi"/>
          <w:lang w:eastAsia="en-US"/>
        </w:rPr>
        <w:t xml:space="preserve"> во четирите приоритетни области: 1) Креирање на политики и координација; 2) Јавна служба и управување со човечките ресурси; 3) Oдговорност, отчетност и транспарентност и 4) Давање услуги и дигитална трансформација. Фокусот на Стратегијата за РЈА е создавање на </w:t>
      </w:r>
      <w:r w:rsidRPr="00F06063">
        <w:rPr>
          <w:rFonts w:ascii="StobiSerif Regular" w:eastAsiaTheme="minorHAnsi" w:hAnsi="StobiSerif Regular" w:cstheme="minorHAnsi"/>
          <w:b/>
          <w:lang w:eastAsia="en-US"/>
        </w:rPr>
        <w:t>модерна и ефикасна јавна администрација базирана на дигитализација која обезбедува квалитетни и брзи услуги за граѓаните и деловните субјекти.</w:t>
      </w:r>
    </w:p>
    <w:p w14:paraId="55D8218D" w14:textId="2609E7AE" w:rsidR="00F06063" w:rsidRPr="00061EC9" w:rsidRDefault="00F06063" w:rsidP="00061EC9">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 xml:space="preserve">Министерството за информатичко општество и администрација подготви </w:t>
      </w:r>
      <w:r w:rsidRPr="00061EC9">
        <w:rPr>
          <w:rFonts w:ascii="StobiSerif Regular" w:eastAsiaTheme="minorHAnsi" w:hAnsi="StobiSerif Regular" w:cstheme="minorHAnsi"/>
          <w:b/>
          <w:lang w:eastAsia="en-US"/>
        </w:rPr>
        <w:t>Национален план за управување со квалитет во јавниот сектор за периодот 2023-2025 годи</w:t>
      </w:r>
      <w:r w:rsidRPr="00061EC9">
        <w:rPr>
          <w:rFonts w:ascii="StobiSerif Regular" w:eastAsiaTheme="minorHAnsi" w:hAnsi="StobiSerif Regular" w:cstheme="minorHAnsi"/>
          <w:lang w:eastAsia="en-US"/>
        </w:rPr>
        <w:t xml:space="preserve">на, </w:t>
      </w:r>
      <w:r w:rsidR="005E70EA" w:rsidRPr="00061EC9">
        <w:rPr>
          <w:rFonts w:ascii="StobiSerif Regular" w:eastAsiaTheme="minorHAnsi" w:hAnsi="StobiSerif Regular" w:cstheme="minorHAnsi"/>
          <w:lang w:eastAsia="en-US"/>
        </w:rPr>
        <w:t xml:space="preserve">кој </w:t>
      </w:r>
      <w:r w:rsidRPr="00061EC9">
        <w:rPr>
          <w:rFonts w:ascii="StobiSerif Regular" w:eastAsiaTheme="minorHAnsi" w:hAnsi="StobiSerif Regular" w:cstheme="minorHAnsi"/>
          <w:lang w:eastAsia="en-US"/>
        </w:rPr>
        <w:t xml:space="preserve"> предвидува мерки за унапредување на областа за управување со квалитет</w:t>
      </w:r>
      <w:r w:rsidR="005E70EA" w:rsidRPr="00061EC9">
        <w:rPr>
          <w:rFonts w:ascii="StobiSerif Regular" w:eastAsiaTheme="minorHAnsi" w:hAnsi="StobiSerif Regular" w:cstheme="minorHAnsi"/>
          <w:lang w:eastAsia="en-US"/>
        </w:rPr>
        <w:t>от.</w:t>
      </w:r>
    </w:p>
    <w:p w14:paraId="1AAF2D58" w14:textId="77777777" w:rsidR="00F06063" w:rsidRPr="00061EC9" w:rsidRDefault="00F06063" w:rsidP="00061EC9">
      <w:pPr>
        <w:suppressAutoHyphens w:val="0"/>
        <w:spacing w:line="259" w:lineRule="auto"/>
        <w:rPr>
          <w:rFonts w:ascii="StobiSerif Regular" w:eastAsiaTheme="minorHAnsi" w:hAnsi="StobiSerif Regular" w:cstheme="minorHAnsi"/>
          <w:lang w:eastAsia="en-US"/>
        </w:rPr>
      </w:pPr>
    </w:p>
    <w:p w14:paraId="25843D23" w14:textId="77777777" w:rsidR="009C16A3" w:rsidRDefault="009C16A3" w:rsidP="009C16A3">
      <w:pPr>
        <w:pStyle w:val="Default"/>
        <w:rPr>
          <w:rFonts w:ascii="StobiSans Regular" w:hAnsi="StobiSans Regular"/>
          <w:b/>
          <w:color w:val="auto"/>
          <w:sz w:val="28"/>
          <w:szCs w:val="26"/>
        </w:rPr>
      </w:pPr>
    </w:p>
    <w:p w14:paraId="34A59883" w14:textId="5478488D" w:rsidR="009C16A3" w:rsidRPr="00061EC9" w:rsidRDefault="009C16A3" w:rsidP="009C16A3">
      <w:pPr>
        <w:pStyle w:val="Default"/>
        <w:rPr>
          <w:rFonts w:ascii="StobiSerif Regular" w:eastAsiaTheme="minorHAnsi" w:hAnsi="StobiSerif Regular" w:cstheme="minorHAnsi"/>
          <w:b/>
          <w:color w:val="auto"/>
          <w:sz w:val="28"/>
          <w:szCs w:val="28"/>
          <w:lang w:eastAsia="en-US"/>
        </w:rPr>
      </w:pPr>
      <w:r w:rsidRPr="00061EC9">
        <w:rPr>
          <w:rFonts w:ascii="StobiSerif Regular" w:eastAsiaTheme="minorHAnsi" w:hAnsi="StobiSerif Regular" w:cstheme="minorHAnsi"/>
          <w:b/>
          <w:color w:val="auto"/>
          <w:sz w:val="28"/>
          <w:szCs w:val="28"/>
          <w:lang w:eastAsia="en-US"/>
        </w:rPr>
        <w:t>2. Опфат</w:t>
      </w:r>
    </w:p>
    <w:p w14:paraId="52F33327" w14:textId="77777777" w:rsidR="00DA5BDB" w:rsidRDefault="00DA5BDB" w:rsidP="009C16A3">
      <w:pPr>
        <w:pStyle w:val="Default"/>
        <w:rPr>
          <w:rFonts w:ascii="StobiSans Regular" w:hAnsi="StobiSans Regular"/>
        </w:rPr>
      </w:pPr>
    </w:p>
    <w:p w14:paraId="55B65B0B" w14:textId="0C9EB0FF" w:rsidR="00DA5BDB" w:rsidRPr="00061EC9" w:rsidRDefault="00DA5BDB"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Методологијата за оценка на индекс на квалитет на институциите има за цел индиректно да ги рефлектира процесите на реформа на јавната администрација, поврзани со Стратегијата за реформа на јавната администрација, но воедно да ги опфати предизвиците поврзани со интеграциите во Европската Унија опфатени преку „Принципите на јавната администрација“ на СИГМА и извештаите од Европската Комисија за напредок на Република Северна Македонија.</w:t>
      </w:r>
    </w:p>
    <w:p w14:paraId="3EF8CC67" w14:textId="77777777" w:rsidR="00DA5BDB" w:rsidRPr="00061EC9" w:rsidRDefault="00DA5BDB" w:rsidP="005820BF">
      <w:pPr>
        <w:suppressAutoHyphens w:val="0"/>
        <w:spacing w:line="259" w:lineRule="auto"/>
        <w:rPr>
          <w:rFonts w:ascii="StobiSerif Regular" w:eastAsiaTheme="minorHAnsi" w:hAnsi="StobiSerif Regular" w:cstheme="minorHAnsi"/>
          <w:lang w:eastAsia="en-US"/>
        </w:rPr>
      </w:pPr>
    </w:p>
    <w:p w14:paraId="22D77C68" w14:textId="77777777" w:rsidR="00DA5BDB" w:rsidRDefault="00DA5BDB" w:rsidP="005820BF">
      <w:pPr>
        <w:suppressAutoHyphens w:val="0"/>
        <w:spacing w:line="259" w:lineRule="auto"/>
        <w:rPr>
          <w:rFonts w:ascii="StobiSerif Regular" w:eastAsiaTheme="minorHAnsi" w:hAnsi="StobiSerif Regular" w:cstheme="minorHAnsi"/>
          <w:lang w:val="en-US" w:eastAsia="en-US"/>
        </w:rPr>
      </w:pPr>
      <w:r w:rsidRPr="00061EC9">
        <w:rPr>
          <w:rFonts w:ascii="StobiSerif Regular" w:eastAsiaTheme="minorHAnsi" w:hAnsi="StobiSerif Regular" w:cstheme="minorHAnsi"/>
          <w:lang w:eastAsia="en-US"/>
        </w:rPr>
        <w:t>Методологијата за оценка на индекс на квалитет на институциите има за цел да обезбеди подобрен квалитет во работењето на администрацијата и поквалитетни услуги за граѓаните и бизнис секторот.</w:t>
      </w:r>
    </w:p>
    <w:p w14:paraId="5D6E63F4" w14:textId="77777777" w:rsidR="005F6C70" w:rsidRDefault="005F6C70" w:rsidP="005820BF">
      <w:pPr>
        <w:suppressAutoHyphens w:val="0"/>
        <w:spacing w:line="259" w:lineRule="auto"/>
        <w:rPr>
          <w:rFonts w:ascii="StobiSerif Regular" w:eastAsiaTheme="minorHAnsi" w:hAnsi="StobiSerif Regular" w:cstheme="minorHAnsi"/>
          <w:lang w:eastAsia="en-US"/>
        </w:rPr>
      </w:pPr>
    </w:p>
    <w:p w14:paraId="3FCC7015" w14:textId="08987FE0" w:rsidR="00DA5BDB" w:rsidRPr="00061EC9" w:rsidRDefault="00DA5BDB"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 xml:space="preserve">Процесот на оценка на квалитетот на работата на институциите ќе овозможи да се идентификуваат институциите кои добро работат и кои испорачуваат квалитетни услуги. </w:t>
      </w:r>
    </w:p>
    <w:p w14:paraId="20F4A85A" w14:textId="4B24C4D4" w:rsidR="00DA5BDB" w:rsidRPr="00061EC9" w:rsidRDefault="00DA5BDB"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lastRenderedPageBreak/>
        <w:t xml:space="preserve">Методологијата за оценка на индекс на квалитет на институциите од една страна  е алатка за следење на напредокот во работата на институциите, а до друга страна е и алатка за нивно континуирано подобрување. </w:t>
      </w:r>
    </w:p>
    <w:p w14:paraId="64EB4C8D" w14:textId="77777777" w:rsidR="00DA5BDB" w:rsidRPr="00061EC9" w:rsidRDefault="00DA5BDB" w:rsidP="005820BF">
      <w:pPr>
        <w:suppressAutoHyphens w:val="0"/>
        <w:spacing w:line="259" w:lineRule="auto"/>
        <w:rPr>
          <w:rFonts w:ascii="StobiSerif Regular" w:eastAsiaTheme="minorHAnsi" w:hAnsi="StobiSerif Regular" w:cstheme="minorHAnsi"/>
          <w:lang w:eastAsia="en-US"/>
        </w:rPr>
      </w:pPr>
    </w:p>
    <w:p w14:paraId="1A12C996" w14:textId="5DCC43C0" w:rsidR="005820BF" w:rsidRPr="00061EC9" w:rsidRDefault="00DA5BDB"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Методологијата ги следи новитетите и одредбите утврдени во Законот за административни службеници и Законот за вработените во јавниот сектор, Законот за општата управна постапка, Законот за електронско управување, Законот за воведување на систем за управување со квалитетот и заедничката рамка за процена на работењето и давањето на услуги во државната служба, Законот за користење на податоците од јавниот сектор и Законот за локалната самоуправа, како и во други материјални закони што се однесуваат на конкретни области поединечно</w:t>
      </w:r>
      <w:r w:rsidR="005820BF" w:rsidRPr="00061EC9">
        <w:rPr>
          <w:rFonts w:ascii="StobiSerif Regular" w:eastAsiaTheme="minorHAnsi" w:hAnsi="StobiSerif Regular" w:cstheme="minorHAnsi"/>
          <w:lang w:eastAsia="en-US"/>
        </w:rPr>
        <w:t xml:space="preserve">. Во однос на достапноста на услугите, усвоени се и Стандардите WCAG за веб пристапност на веб страните на институциите, на ниво АА, и изработени се и упатства за пристапност до веб содржини.  </w:t>
      </w:r>
    </w:p>
    <w:p w14:paraId="7000EB9C" w14:textId="0B7ECA5D" w:rsidR="00DA5BDB" w:rsidRDefault="00DA5BDB" w:rsidP="00DA5BDB"/>
    <w:p w14:paraId="788C84A6" w14:textId="41576737" w:rsidR="00DA5BDB" w:rsidRPr="00061EC9" w:rsidRDefault="005820BF" w:rsidP="005820BF">
      <w:pPr>
        <w:pStyle w:val="Default"/>
        <w:rPr>
          <w:rFonts w:ascii="StobiSerif Regular" w:eastAsiaTheme="minorHAnsi" w:hAnsi="StobiSerif Regular" w:cstheme="minorHAnsi"/>
          <w:b/>
          <w:color w:val="auto"/>
          <w:sz w:val="28"/>
          <w:szCs w:val="28"/>
          <w:lang w:eastAsia="en-US"/>
        </w:rPr>
      </w:pPr>
      <w:r w:rsidRPr="00061EC9">
        <w:rPr>
          <w:rFonts w:ascii="StobiSerif Regular" w:eastAsiaTheme="minorHAnsi" w:hAnsi="StobiSerif Regular" w:cstheme="minorHAnsi"/>
          <w:b/>
          <w:color w:val="auto"/>
          <w:sz w:val="28"/>
          <w:szCs w:val="28"/>
          <w:lang w:eastAsia="en-US"/>
        </w:rPr>
        <w:t>3. Процес на оценка на квалитет</w:t>
      </w:r>
    </w:p>
    <w:p w14:paraId="766616EB" w14:textId="77777777" w:rsidR="00DA5BDB" w:rsidRDefault="00DA5BDB" w:rsidP="00DA5BDB">
      <w:pPr>
        <w:rPr>
          <w:highlight w:val="yellow"/>
        </w:rPr>
      </w:pPr>
    </w:p>
    <w:p w14:paraId="10FF4140" w14:textId="4D7BDD64" w:rsidR="00DA5BDB" w:rsidRPr="00061EC9" w:rsidRDefault="00DA5BDB"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 xml:space="preserve">Процесот на оценка на квалитет според Методологијата се спроведува еднаш годишно на одреден опсег од институции кои Владата на Република Северна Македонија ќе одлучи да го опфати, заради анализа на нивното работење, а на предлог на Министерството за </w:t>
      </w:r>
      <w:r w:rsidR="005820BF" w:rsidRPr="00061EC9">
        <w:rPr>
          <w:rFonts w:ascii="StobiSerif Regular" w:eastAsiaTheme="minorHAnsi" w:hAnsi="StobiSerif Regular" w:cstheme="minorHAnsi"/>
          <w:lang w:eastAsia="en-US"/>
        </w:rPr>
        <w:t xml:space="preserve">јавна </w:t>
      </w:r>
      <w:r w:rsidRPr="00061EC9">
        <w:rPr>
          <w:rFonts w:ascii="StobiSerif Regular" w:eastAsiaTheme="minorHAnsi" w:hAnsi="StobiSerif Regular" w:cstheme="minorHAnsi"/>
          <w:lang w:eastAsia="en-US"/>
        </w:rPr>
        <w:t xml:space="preserve">администрација, како координатор на процесот. </w:t>
      </w:r>
    </w:p>
    <w:p w14:paraId="2B76EE3F" w14:textId="77777777" w:rsidR="00DA5BDB" w:rsidRPr="005820BF" w:rsidRDefault="00DA5BDB" w:rsidP="005820BF">
      <w:pPr>
        <w:suppressAutoHyphens w:val="0"/>
        <w:spacing w:line="259" w:lineRule="auto"/>
        <w:rPr>
          <w:rFonts w:eastAsia="Calibri"/>
          <w:lang w:eastAsia="en-US"/>
        </w:rPr>
      </w:pPr>
    </w:p>
    <w:p w14:paraId="6C8ED525" w14:textId="285960C9" w:rsidR="00F72DFE" w:rsidRPr="00F233CC" w:rsidRDefault="00F72DFE" w:rsidP="005820BF">
      <w:pPr>
        <w:suppressAutoHyphens w:val="0"/>
        <w:spacing w:line="259" w:lineRule="auto"/>
        <w:rPr>
          <w:rFonts w:ascii="StobiSerif Regular" w:eastAsiaTheme="minorHAnsi" w:hAnsi="StobiSerif Regular" w:cstheme="minorHAnsi"/>
          <w:lang w:val="en-US" w:eastAsia="en-US"/>
        </w:rPr>
      </w:pPr>
      <w:r w:rsidRPr="00061EC9">
        <w:rPr>
          <w:rFonts w:ascii="StobiSerif Regular" w:eastAsiaTheme="minorHAnsi" w:hAnsi="StobiSerif Regular" w:cstheme="minorHAnsi"/>
          <w:lang w:eastAsia="en-US"/>
        </w:rPr>
        <w:t xml:space="preserve">Во истражувањето за мерење на квалитет на институции во 2024 година се опфатени десет јавни институции избрани од страна на Министерството за јавна администрација и тоа: </w:t>
      </w:r>
    </w:p>
    <w:p w14:paraId="4706669C" w14:textId="12EFB4BE" w:rsidR="00F72DFE" w:rsidRPr="00112806" w:rsidRDefault="003014B6"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 xml:space="preserve">Центар за социјална работа </w:t>
      </w:r>
      <w:r w:rsidR="002C6A47">
        <w:rPr>
          <w:rFonts w:ascii="StobiSerif Regular" w:eastAsiaTheme="minorHAnsi" w:hAnsi="StobiSerif Regular" w:cstheme="minorHAnsi"/>
        </w:rPr>
        <w:t>–</w:t>
      </w:r>
      <w:r w:rsidR="00F72DFE" w:rsidRPr="00112806">
        <w:rPr>
          <w:rFonts w:ascii="StobiSerif Regular" w:eastAsiaTheme="minorHAnsi" w:hAnsi="StobiSerif Regular" w:cstheme="minorHAnsi"/>
        </w:rPr>
        <w:t>Битола</w:t>
      </w:r>
      <w:r w:rsidR="002C6A47">
        <w:rPr>
          <w:rFonts w:ascii="StobiSerif Regular" w:eastAsiaTheme="minorHAnsi" w:hAnsi="StobiSerif Regular" w:cstheme="minorHAnsi"/>
        </w:rPr>
        <w:t xml:space="preserve"> (ЦСР Битола)</w:t>
      </w:r>
      <w:r w:rsidR="00F72DFE" w:rsidRPr="00112806">
        <w:rPr>
          <w:rFonts w:ascii="StobiSerif Regular" w:eastAsiaTheme="minorHAnsi" w:hAnsi="StobiSerif Regular" w:cstheme="minorHAnsi"/>
        </w:rPr>
        <w:t xml:space="preserve"> </w:t>
      </w:r>
    </w:p>
    <w:p w14:paraId="5B9B448A" w14:textId="6A4EBA65" w:rsidR="00F72DFE" w:rsidRPr="00112806" w:rsidRDefault="003014B6"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Фонд за пензиско и инвалидско осигурување</w:t>
      </w:r>
      <w:r w:rsidR="002C6A47">
        <w:rPr>
          <w:rFonts w:ascii="StobiSerif Regular" w:eastAsiaTheme="minorHAnsi" w:hAnsi="StobiSerif Regular" w:cstheme="minorHAnsi"/>
        </w:rPr>
        <w:t xml:space="preserve"> (ПИОМ)</w:t>
      </w:r>
    </w:p>
    <w:p w14:paraId="6EA1421D" w14:textId="4061543D" w:rsidR="00F72DFE"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Ц</w:t>
      </w:r>
      <w:r w:rsidR="003014B6" w:rsidRPr="00112806">
        <w:rPr>
          <w:rFonts w:ascii="StobiSerif Regular" w:eastAsiaTheme="minorHAnsi" w:hAnsi="StobiSerif Regular" w:cstheme="minorHAnsi"/>
        </w:rPr>
        <w:t>ентрален регистар</w:t>
      </w:r>
      <w:r w:rsidRPr="00112806">
        <w:rPr>
          <w:rFonts w:ascii="StobiSerif Regular" w:eastAsiaTheme="minorHAnsi" w:hAnsi="StobiSerif Regular" w:cstheme="minorHAnsi"/>
        </w:rPr>
        <w:t xml:space="preserve"> </w:t>
      </w:r>
      <w:r w:rsidR="003014B6" w:rsidRPr="00112806">
        <w:rPr>
          <w:rFonts w:ascii="StobiSerif Regular" w:eastAsiaTheme="minorHAnsi" w:hAnsi="StobiSerif Regular" w:cstheme="minorHAnsi"/>
        </w:rPr>
        <w:t xml:space="preserve"> (ЦРМ)</w:t>
      </w:r>
    </w:p>
    <w:p w14:paraId="3B724686" w14:textId="319D2450" w:rsidR="00F72DFE"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 xml:space="preserve">Министерство за култура и туризам (МКТ) </w:t>
      </w:r>
    </w:p>
    <w:p w14:paraId="2A08636A" w14:textId="280D7D1E" w:rsidR="00F72DFE"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А</w:t>
      </w:r>
      <w:r w:rsidR="003014B6" w:rsidRPr="00112806">
        <w:rPr>
          <w:rFonts w:ascii="StobiSerif Regular" w:eastAsiaTheme="minorHAnsi" w:hAnsi="StobiSerif Regular" w:cstheme="minorHAnsi"/>
        </w:rPr>
        <w:t>генција за вработување на РМ (АВРМ)</w:t>
      </w:r>
    </w:p>
    <w:p w14:paraId="1EDAA018" w14:textId="378D5247" w:rsidR="00F72DFE" w:rsidRPr="00112806" w:rsidRDefault="003014B6"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Факултет за информатички науки и компјутерско инженерство (</w:t>
      </w:r>
      <w:r w:rsidR="00F72DFE" w:rsidRPr="00112806">
        <w:rPr>
          <w:rFonts w:ascii="StobiSerif Regular" w:eastAsiaTheme="minorHAnsi" w:hAnsi="StobiSerif Regular" w:cstheme="minorHAnsi"/>
        </w:rPr>
        <w:t>ФИНКИ</w:t>
      </w:r>
      <w:r w:rsidRPr="00112806">
        <w:rPr>
          <w:rFonts w:ascii="StobiSerif Regular" w:eastAsiaTheme="minorHAnsi" w:hAnsi="StobiSerif Regular" w:cstheme="minorHAnsi"/>
        </w:rPr>
        <w:t>)</w:t>
      </w:r>
      <w:r w:rsidR="00F72DFE" w:rsidRPr="00112806">
        <w:rPr>
          <w:rFonts w:ascii="StobiSerif Regular" w:eastAsiaTheme="minorHAnsi" w:hAnsi="StobiSerif Regular" w:cstheme="minorHAnsi"/>
        </w:rPr>
        <w:t xml:space="preserve"> </w:t>
      </w:r>
    </w:p>
    <w:p w14:paraId="443C703E" w14:textId="07505238" w:rsidR="00F72DFE"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 xml:space="preserve">Општина </w:t>
      </w:r>
      <w:r w:rsidR="009C16A3" w:rsidRPr="00112806">
        <w:rPr>
          <w:rFonts w:ascii="StobiSerif Regular" w:eastAsiaTheme="minorHAnsi" w:hAnsi="StobiSerif Regular" w:cstheme="minorHAnsi"/>
        </w:rPr>
        <w:t>Ш</w:t>
      </w:r>
      <w:r w:rsidRPr="00112806">
        <w:rPr>
          <w:rFonts w:ascii="StobiSerif Regular" w:eastAsiaTheme="minorHAnsi" w:hAnsi="StobiSerif Regular" w:cstheme="minorHAnsi"/>
        </w:rPr>
        <w:t xml:space="preserve">тип </w:t>
      </w:r>
    </w:p>
    <w:p w14:paraId="5DAAC4DA" w14:textId="49F027DA" w:rsidR="00F72DFE"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 xml:space="preserve">Водовод и канализација-Прилеп (ВКП) </w:t>
      </w:r>
    </w:p>
    <w:p w14:paraId="7B4EC039" w14:textId="19D8964E" w:rsidR="00F72DFE"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rPr>
      </w:pPr>
      <w:r w:rsidRPr="00112806">
        <w:rPr>
          <w:rFonts w:ascii="StobiSerif Regular" w:eastAsiaTheme="minorHAnsi" w:hAnsi="StobiSerif Regular" w:cstheme="minorHAnsi"/>
        </w:rPr>
        <w:t xml:space="preserve">Министерство за европски прашања (МЕП) </w:t>
      </w:r>
    </w:p>
    <w:p w14:paraId="6A339BE6" w14:textId="2A16CE17" w:rsidR="00F233CC" w:rsidRPr="00112806" w:rsidRDefault="00F72DFE" w:rsidP="00112806">
      <w:pPr>
        <w:pStyle w:val="ListParagraph"/>
        <w:numPr>
          <w:ilvl w:val="0"/>
          <w:numId w:val="25"/>
        </w:numPr>
        <w:suppressAutoHyphens w:val="0"/>
        <w:spacing w:line="259" w:lineRule="auto"/>
        <w:rPr>
          <w:rFonts w:ascii="StobiSerif Regular" w:eastAsiaTheme="minorHAnsi" w:hAnsi="StobiSerif Regular" w:cstheme="minorHAnsi"/>
          <w:lang w:val="en-US"/>
        </w:rPr>
      </w:pPr>
      <w:r w:rsidRPr="00112806">
        <w:rPr>
          <w:rFonts w:ascii="StobiSerif Regular" w:eastAsiaTheme="minorHAnsi" w:hAnsi="StobiSerif Regular" w:cstheme="minorHAnsi"/>
        </w:rPr>
        <w:t xml:space="preserve">Инспекторат за животна средина (ИЖС) </w:t>
      </w:r>
    </w:p>
    <w:p w14:paraId="3F983DC1" w14:textId="77777777" w:rsidR="005F6C70" w:rsidRDefault="005F6C70" w:rsidP="005F6C70">
      <w:pPr>
        <w:suppressAutoHyphens w:val="0"/>
        <w:spacing w:line="259" w:lineRule="auto"/>
        <w:rPr>
          <w:rFonts w:ascii="StobiSerif Regular" w:eastAsiaTheme="minorHAnsi" w:hAnsi="StobiSerif Regular" w:cstheme="minorHAnsi"/>
          <w:i/>
          <w:lang w:eastAsia="en-US"/>
        </w:rPr>
      </w:pPr>
      <w:r w:rsidRPr="005622BD">
        <w:rPr>
          <w:rFonts w:ascii="StobiSerif Regular" w:eastAsiaTheme="minorHAnsi" w:hAnsi="StobiSerif Regular" w:cstheme="minorHAnsi"/>
          <w:i/>
          <w:lang w:eastAsia="en-US"/>
        </w:rPr>
        <w:t>Напоменуваме дека од овие 10 институции 8 се буџетски корисници</w:t>
      </w:r>
      <w:r w:rsidRPr="005622BD">
        <w:rPr>
          <w:rFonts w:ascii="StobiSerif Regular" w:eastAsiaTheme="minorHAnsi" w:hAnsi="StobiSerif Regular" w:cstheme="minorHAnsi"/>
          <w:i/>
          <w:lang w:val="en-US" w:eastAsia="en-US"/>
        </w:rPr>
        <w:t>,</w:t>
      </w:r>
      <w:r w:rsidRPr="005622BD">
        <w:rPr>
          <w:rFonts w:ascii="StobiSerif Regular" w:eastAsiaTheme="minorHAnsi" w:hAnsi="StobiSerif Regular" w:cstheme="minorHAnsi"/>
          <w:i/>
          <w:lang w:eastAsia="en-US"/>
        </w:rPr>
        <w:t xml:space="preserve"> додека 2 институции се единки корисници: ЦСР Битола и ФИНКИ.</w:t>
      </w:r>
    </w:p>
    <w:p w14:paraId="5D65BBB8" w14:textId="66E194AB" w:rsidR="005820BF" w:rsidRPr="00061EC9" w:rsidRDefault="005820BF"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lastRenderedPageBreak/>
        <w:t>До горе наведените институции кои се вклучени во годишната оценка испратен е прашалник за оценка</w:t>
      </w:r>
      <w:r w:rsidR="00E80C60" w:rsidRPr="00061EC9">
        <w:rPr>
          <w:rFonts w:ascii="StobiSerif Regular" w:eastAsiaTheme="minorHAnsi" w:hAnsi="StobiSerif Regular" w:cstheme="minorHAnsi"/>
          <w:lang w:eastAsia="en-US"/>
        </w:rPr>
        <w:t>, кој</w:t>
      </w:r>
      <w:r w:rsidRPr="00061EC9">
        <w:rPr>
          <w:rFonts w:ascii="StobiSerif Regular" w:eastAsiaTheme="minorHAnsi" w:hAnsi="StobiSerif Regular" w:cstheme="minorHAnsi"/>
          <w:lang w:eastAsia="en-US"/>
        </w:rPr>
        <w:t xml:space="preserve"> опфаќа прашања во 5 </w:t>
      </w:r>
      <w:r w:rsidR="00E80C60" w:rsidRPr="00061EC9">
        <w:rPr>
          <w:rFonts w:ascii="StobiSerif Regular" w:eastAsiaTheme="minorHAnsi" w:hAnsi="StobiSerif Regular" w:cstheme="minorHAnsi"/>
          <w:lang w:eastAsia="en-US"/>
        </w:rPr>
        <w:t xml:space="preserve">(пет) </w:t>
      </w:r>
      <w:r w:rsidRPr="00061EC9">
        <w:rPr>
          <w:rFonts w:ascii="StobiSerif Regular" w:eastAsiaTheme="minorHAnsi" w:hAnsi="StobiSerif Regular" w:cstheme="minorHAnsi"/>
          <w:lang w:eastAsia="en-US"/>
        </w:rPr>
        <w:t xml:space="preserve">области: </w:t>
      </w:r>
    </w:p>
    <w:p w14:paraId="22DF64C0" w14:textId="5DAF38AB" w:rsidR="005820BF" w:rsidRPr="00061EC9" w:rsidRDefault="005820BF" w:rsidP="00F233CC">
      <w:pPr>
        <w:pStyle w:val="ListParagraph"/>
        <w:numPr>
          <w:ilvl w:val="0"/>
          <w:numId w:val="23"/>
        </w:numPr>
        <w:suppressAutoHyphens w:val="0"/>
        <w:spacing w:line="259" w:lineRule="auto"/>
        <w:rPr>
          <w:rFonts w:ascii="StobiSerif Regular" w:eastAsiaTheme="minorHAnsi" w:hAnsi="StobiSerif Regular" w:cstheme="minorHAnsi"/>
          <w:sz w:val="24"/>
          <w:szCs w:val="24"/>
        </w:rPr>
      </w:pPr>
      <w:r w:rsidRPr="00061EC9">
        <w:rPr>
          <w:rFonts w:ascii="StobiSerif Regular" w:eastAsiaTheme="minorHAnsi" w:hAnsi="StobiSerif Regular" w:cstheme="minorHAnsi"/>
          <w:sz w:val="24"/>
          <w:szCs w:val="24"/>
        </w:rPr>
        <w:t>Стратешко планирање</w:t>
      </w:r>
      <w:r w:rsidR="00290532">
        <w:rPr>
          <w:rFonts w:ascii="StobiSerif Regular" w:eastAsiaTheme="minorHAnsi" w:hAnsi="StobiSerif Regular" w:cstheme="minorHAnsi"/>
          <w:sz w:val="24"/>
          <w:szCs w:val="24"/>
        </w:rPr>
        <w:t>;</w:t>
      </w:r>
      <w:r w:rsidRPr="00061EC9">
        <w:rPr>
          <w:rFonts w:ascii="StobiSerif Regular" w:eastAsiaTheme="minorHAnsi" w:hAnsi="StobiSerif Regular" w:cstheme="minorHAnsi"/>
          <w:sz w:val="24"/>
          <w:szCs w:val="24"/>
        </w:rPr>
        <w:t xml:space="preserve"> </w:t>
      </w:r>
    </w:p>
    <w:p w14:paraId="6F28EA98" w14:textId="261DD482" w:rsidR="005820BF" w:rsidRPr="00061EC9" w:rsidRDefault="005820BF" w:rsidP="00F233CC">
      <w:pPr>
        <w:pStyle w:val="ListParagraph"/>
        <w:numPr>
          <w:ilvl w:val="0"/>
          <w:numId w:val="23"/>
        </w:numPr>
        <w:suppressAutoHyphens w:val="0"/>
        <w:spacing w:line="259" w:lineRule="auto"/>
        <w:rPr>
          <w:rFonts w:ascii="StobiSerif Regular" w:eastAsiaTheme="minorHAnsi" w:hAnsi="StobiSerif Regular" w:cstheme="minorHAnsi"/>
          <w:sz w:val="24"/>
          <w:szCs w:val="24"/>
        </w:rPr>
      </w:pPr>
      <w:r w:rsidRPr="00061EC9">
        <w:rPr>
          <w:rFonts w:ascii="StobiSerif Regular" w:eastAsiaTheme="minorHAnsi" w:hAnsi="StobiSerif Regular" w:cstheme="minorHAnsi"/>
          <w:sz w:val="24"/>
          <w:szCs w:val="24"/>
        </w:rPr>
        <w:t>Управување со човечки ресурси</w:t>
      </w:r>
      <w:r w:rsidR="00290532">
        <w:rPr>
          <w:rFonts w:ascii="StobiSerif Regular" w:eastAsiaTheme="minorHAnsi" w:hAnsi="StobiSerif Regular" w:cstheme="minorHAnsi"/>
          <w:sz w:val="24"/>
          <w:szCs w:val="24"/>
        </w:rPr>
        <w:t>;</w:t>
      </w:r>
    </w:p>
    <w:p w14:paraId="0FBCC90D" w14:textId="616E57A4" w:rsidR="005820BF" w:rsidRPr="00061EC9" w:rsidRDefault="005820BF" w:rsidP="00F233CC">
      <w:pPr>
        <w:pStyle w:val="ListParagraph"/>
        <w:numPr>
          <w:ilvl w:val="0"/>
          <w:numId w:val="23"/>
        </w:numPr>
        <w:suppressAutoHyphens w:val="0"/>
        <w:spacing w:line="259" w:lineRule="auto"/>
        <w:rPr>
          <w:rFonts w:ascii="StobiSerif Regular" w:eastAsiaTheme="minorHAnsi" w:hAnsi="StobiSerif Regular" w:cstheme="minorHAnsi"/>
          <w:sz w:val="24"/>
          <w:szCs w:val="24"/>
        </w:rPr>
      </w:pPr>
      <w:r w:rsidRPr="00061EC9">
        <w:rPr>
          <w:rFonts w:ascii="StobiSerif Regular" w:eastAsiaTheme="minorHAnsi" w:hAnsi="StobiSerif Regular" w:cstheme="minorHAnsi"/>
          <w:sz w:val="24"/>
          <w:szCs w:val="24"/>
        </w:rPr>
        <w:t>Обезбедување услуги</w:t>
      </w:r>
      <w:r w:rsidR="00290532">
        <w:rPr>
          <w:rFonts w:ascii="StobiSerif Regular" w:eastAsiaTheme="minorHAnsi" w:hAnsi="StobiSerif Regular" w:cstheme="minorHAnsi"/>
          <w:sz w:val="24"/>
          <w:szCs w:val="24"/>
        </w:rPr>
        <w:t>;</w:t>
      </w:r>
    </w:p>
    <w:p w14:paraId="5879A6B4" w14:textId="69434D14" w:rsidR="005820BF" w:rsidRPr="00061EC9" w:rsidRDefault="005820BF" w:rsidP="00F233CC">
      <w:pPr>
        <w:pStyle w:val="ListParagraph"/>
        <w:numPr>
          <w:ilvl w:val="0"/>
          <w:numId w:val="23"/>
        </w:numPr>
        <w:suppressAutoHyphens w:val="0"/>
        <w:spacing w:line="259" w:lineRule="auto"/>
        <w:rPr>
          <w:rFonts w:ascii="StobiSerif Regular" w:eastAsiaTheme="minorHAnsi" w:hAnsi="StobiSerif Regular" w:cstheme="minorHAnsi"/>
          <w:sz w:val="24"/>
          <w:szCs w:val="24"/>
        </w:rPr>
      </w:pPr>
      <w:r w:rsidRPr="00061EC9">
        <w:rPr>
          <w:rFonts w:ascii="StobiSerif Regular" w:eastAsiaTheme="minorHAnsi" w:hAnsi="StobiSerif Regular" w:cstheme="minorHAnsi"/>
          <w:sz w:val="24"/>
          <w:szCs w:val="24"/>
        </w:rPr>
        <w:t>Транспарентност</w:t>
      </w:r>
      <w:r w:rsidR="00290532">
        <w:rPr>
          <w:rFonts w:ascii="StobiSerif Regular" w:eastAsiaTheme="minorHAnsi" w:hAnsi="StobiSerif Regular" w:cstheme="minorHAnsi"/>
          <w:sz w:val="24"/>
          <w:szCs w:val="24"/>
        </w:rPr>
        <w:t>; и</w:t>
      </w:r>
    </w:p>
    <w:p w14:paraId="4DFD1CF5" w14:textId="77777777" w:rsidR="005820BF" w:rsidRPr="00061EC9" w:rsidRDefault="005820BF" w:rsidP="00F233CC">
      <w:pPr>
        <w:pStyle w:val="ListParagraph"/>
        <w:numPr>
          <w:ilvl w:val="0"/>
          <w:numId w:val="23"/>
        </w:numPr>
        <w:suppressAutoHyphens w:val="0"/>
        <w:spacing w:line="259" w:lineRule="auto"/>
        <w:rPr>
          <w:rFonts w:ascii="StobiSerif Regular" w:eastAsiaTheme="minorHAnsi" w:hAnsi="StobiSerif Regular" w:cstheme="minorHAnsi"/>
          <w:sz w:val="24"/>
          <w:szCs w:val="24"/>
        </w:rPr>
      </w:pPr>
      <w:r w:rsidRPr="00061EC9">
        <w:rPr>
          <w:rFonts w:ascii="StobiSerif Regular" w:eastAsiaTheme="minorHAnsi" w:hAnsi="StobiSerif Regular" w:cstheme="minorHAnsi"/>
          <w:sz w:val="24"/>
          <w:szCs w:val="24"/>
        </w:rPr>
        <w:t>Управување со квалитет</w:t>
      </w:r>
    </w:p>
    <w:p w14:paraId="024CCD7B" w14:textId="77777777" w:rsidR="005820BF" w:rsidRDefault="005820BF" w:rsidP="005820BF">
      <w:pPr>
        <w:suppressAutoHyphens w:val="0"/>
        <w:spacing w:line="259" w:lineRule="auto"/>
        <w:rPr>
          <w:rFonts w:ascii="StobiSerif Regular" w:eastAsiaTheme="minorHAnsi" w:hAnsi="StobiSerif Regular" w:cstheme="minorHAnsi"/>
          <w:lang w:val="en-US" w:eastAsia="en-US"/>
        </w:rPr>
      </w:pPr>
      <w:r w:rsidRPr="00061EC9">
        <w:rPr>
          <w:rFonts w:ascii="StobiSerif Regular" w:eastAsiaTheme="minorHAnsi" w:hAnsi="StobiSerif Regular" w:cstheme="minorHAnsi"/>
          <w:lang w:eastAsia="en-US"/>
        </w:rPr>
        <w:t>Прашалникот се наоѓа во прилог 1 на Методологијата.</w:t>
      </w:r>
    </w:p>
    <w:p w14:paraId="68C83190" w14:textId="77777777" w:rsidR="00F233CC" w:rsidRPr="00F233CC" w:rsidRDefault="00F233CC" w:rsidP="005820BF">
      <w:pPr>
        <w:suppressAutoHyphens w:val="0"/>
        <w:spacing w:line="259" w:lineRule="auto"/>
        <w:rPr>
          <w:rFonts w:ascii="StobiSerif Regular" w:eastAsiaTheme="minorHAnsi" w:hAnsi="StobiSerif Regular" w:cstheme="minorHAnsi"/>
          <w:lang w:val="en-US" w:eastAsia="en-US"/>
        </w:rPr>
      </w:pPr>
    </w:p>
    <w:p w14:paraId="1CED3E35" w14:textId="328F2D56" w:rsidR="009C16A3" w:rsidRPr="00061EC9" w:rsidRDefault="005820BF"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Контакт лицата од институциите, како назначени координатори на процесот во својата институција, го пополнуваат прашалникот во соработка со сите засегнати организациски единици во институцијата. Дадените одговори мора да се базираат на докази и факти</w:t>
      </w:r>
      <w:r w:rsidR="003501C2" w:rsidRPr="00061EC9">
        <w:rPr>
          <w:rFonts w:ascii="StobiSerif Regular" w:eastAsiaTheme="minorHAnsi" w:hAnsi="StobiSerif Regular" w:cstheme="minorHAnsi"/>
          <w:lang w:eastAsia="en-US"/>
        </w:rPr>
        <w:t>, согласно расположливите информации и документи во институцијата</w:t>
      </w:r>
      <w:r w:rsidR="00E80C60" w:rsidRPr="00061EC9">
        <w:rPr>
          <w:rFonts w:ascii="StobiSerif Regular" w:eastAsiaTheme="minorHAnsi" w:hAnsi="StobiSerif Regular" w:cstheme="minorHAnsi"/>
          <w:lang w:eastAsia="en-US"/>
        </w:rPr>
        <w:t>.</w:t>
      </w:r>
    </w:p>
    <w:p w14:paraId="018F72F4" w14:textId="77777777" w:rsidR="00E80C60" w:rsidRPr="00061EC9" w:rsidRDefault="00E80C60" w:rsidP="005820BF">
      <w:pPr>
        <w:suppressAutoHyphens w:val="0"/>
        <w:spacing w:line="259" w:lineRule="auto"/>
        <w:rPr>
          <w:rFonts w:ascii="StobiSerif Regular" w:eastAsiaTheme="minorHAnsi" w:hAnsi="StobiSerif Regular" w:cstheme="minorHAnsi"/>
          <w:lang w:eastAsia="en-US"/>
        </w:rPr>
      </w:pPr>
    </w:p>
    <w:p w14:paraId="5A5E2F98" w14:textId="5E3A6707" w:rsidR="00F72DFE" w:rsidRPr="00061EC9" w:rsidRDefault="00E80C60"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Пополнетите прашалници се испраќаат до назначена Комисија за оценка во МЈА.</w:t>
      </w:r>
    </w:p>
    <w:p w14:paraId="1611ECC0" w14:textId="77777777" w:rsidR="00E80C60" w:rsidRPr="00061EC9" w:rsidRDefault="00E80C60" w:rsidP="00E80C60">
      <w:pPr>
        <w:rPr>
          <w:rFonts w:ascii="StobiSerif Regular" w:eastAsiaTheme="minorHAnsi" w:hAnsi="StobiSerif Regular" w:cstheme="minorHAnsi"/>
          <w:lang w:eastAsia="en-US"/>
        </w:rPr>
      </w:pPr>
    </w:p>
    <w:p w14:paraId="7DFB731C" w14:textId="1FCD2F1E" w:rsidR="00E80C60" w:rsidRPr="00061EC9" w:rsidRDefault="00E80C60" w:rsidP="00E80C60">
      <w:pPr>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 xml:space="preserve">Паралелно на процесот на пополнување на прашалникот од страна на институциите, Министерството за јавна администрација ангажира надворешна компанија која спроведе надворешни истражувања за анализа на процесот на обезбедување услуги од институциите. </w:t>
      </w:r>
    </w:p>
    <w:p w14:paraId="327C07B0" w14:textId="77777777" w:rsidR="00E80C60" w:rsidRPr="00061EC9" w:rsidRDefault="00E80C60" w:rsidP="00E80C60">
      <w:pPr>
        <w:rPr>
          <w:rFonts w:ascii="StobiSerif Regular" w:eastAsiaTheme="minorHAnsi" w:hAnsi="StobiSerif Regular" w:cstheme="minorHAnsi"/>
          <w:lang w:eastAsia="en-US"/>
        </w:rPr>
      </w:pPr>
    </w:p>
    <w:p w14:paraId="6A54B3FB" w14:textId="13CA0C93" w:rsidR="00F72DFE" w:rsidRPr="00061EC9" w:rsidRDefault="00F72DFE" w:rsidP="005820BF">
      <w:pPr>
        <w:suppressAutoHyphens w:val="0"/>
        <w:spacing w:line="259" w:lineRule="auto"/>
        <w:rPr>
          <w:rFonts w:ascii="StobiSerif Regular" w:eastAsiaTheme="minorHAnsi" w:hAnsi="StobiSerif Regular" w:cstheme="minorHAnsi"/>
          <w:lang w:eastAsia="en-US"/>
        </w:rPr>
      </w:pPr>
      <w:r w:rsidRPr="00061EC9">
        <w:rPr>
          <w:rFonts w:ascii="StobiSerif Regular" w:eastAsiaTheme="minorHAnsi" w:hAnsi="StobiSerif Regular" w:cstheme="minorHAnsi"/>
          <w:lang w:eastAsia="en-US"/>
        </w:rPr>
        <w:t xml:space="preserve">Истражувањето опфати два сегмента и тоа: </w:t>
      </w:r>
    </w:p>
    <w:p w14:paraId="4937ACC5" w14:textId="638C23AD" w:rsidR="00AA51FD" w:rsidRPr="00061EC9" w:rsidRDefault="00AA51FD" w:rsidP="00AA51FD">
      <w:pPr>
        <w:pStyle w:val="ListParagraph"/>
        <w:numPr>
          <w:ilvl w:val="0"/>
          <w:numId w:val="19"/>
        </w:numPr>
        <w:suppressAutoHyphens w:val="0"/>
        <w:spacing w:line="259" w:lineRule="auto"/>
        <w:rPr>
          <w:rFonts w:ascii="StobiSerif Regular" w:eastAsiaTheme="minorHAnsi" w:hAnsi="StobiSerif Regular" w:cstheme="minorHAnsi"/>
          <w:sz w:val="24"/>
          <w:szCs w:val="24"/>
        </w:rPr>
      </w:pPr>
      <w:r w:rsidRPr="00061EC9">
        <w:rPr>
          <w:rFonts w:ascii="StobiSerif Regular" w:eastAsiaTheme="minorHAnsi" w:hAnsi="StobiSerif Regular" w:cstheme="minorHAnsi"/>
          <w:sz w:val="24"/>
          <w:szCs w:val="24"/>
        </w:rPr>
        <w:t>Анкета на корисници на услуги (прашалникот се наоѓа во прилог 2 на Методологијата</w:t>
      </w:r>
      <w:r w:rsidR="0006043B" w:rsidRPr="00061EC9">
        <w:rPr>
          <w:rFonts w:ascii="StobiSerif Regular" w:eastAsiaTheme="minorHAnsi" w:hAnsi="StobiSerif Regular" w:cstheme="minorHAnsi"/>
          <w:sz w:val="24"/>
          <w:szCs w:val="24"/>
        </w:rPr>
        <w:t xml:space="preserve">). </w:t>
      </w:r>
    </w:p>
    <w:p w14:paraId="2555418C" w14:textId="39EDF9BA" w:rsidR="00E80C60" w:rsidRDefault="00F72DFE" w:rsidP="00A03DE4">
      <w:pPr>
        <w:pStyle w:val="ListParagraph"/>
        <w:numPr>
          <w:ilvl w:val="0"/>
          <w:numId w:val="19"/>
        </w:numPr>
        <w:suppressAutoHyphens w:val="0"/>
        <w:spacing w:line="259" w:lineRule="auto"/>
        <w:rPr>
          <w:rFonts w:ascii="StobiSerif Regular" w:eastAsiaTheme="minorHAnsi" w:hAnsi="StobiSerif Regular" w:cstheme="minorHAnsi"/>
          <w:sz w:val="24"/>
          <w:szCs w:val="24"/>
        </w:rPr>
      </w:pPr>
      <w:r w:rsidRPr="00707BB3">
        <w:rPr>
          <w:rFonts w:ascii="StobiSerif Regular" w:eastAsiaTheme="minorHAnsi" w:hAnsi="StobiSerif Regular" w:cstheme="minorHAnsi"/>
          <w:sz w:val="24"/>
          <w:szCs w:val="24"/>
        </w:rPr>
        <w:t xml:space="preserve"> „</w:t>
      </w:r>
      <w:r w:rsidR="00D245AC">
        <w:rPr>
          <w:rFonts w:ascii="StobiSerif Regular" w:eastAsiaTheme="minorHAnsi" w:hAnsi="StobiSerif Regular" w:cstheme="minorHAnsi"/>
          <w:sz w:val="24"/>
          <w:szCs w:val="24"/>
        </w:rPr>
        <w:t>Т</w:t>
      </w:r>
      <w:r w:rsidRPr="00707BB3">
        <w:rPr>
          <w:rFonts w:ascii="StobiSerif Regular" w:eastAsiaTheme="minorHAnsi" w:hAnsi="StobiSerif Regular" w:cstheme="minorHAnsi"/>
          <w:sz w:val="24"/>
          <w:szCs w:val="24"/>
        </w:rPr>
        <w:t xml:space="preserve">аен клиент“ </w:t>
      </w:r>
      <w:r w:rsidR="00E80C60" w:rsidRPr="00707BB3">
        <w:rPr>
          <w:rFonts w:ascii="StobiSerif Regular" w:eastAsiaTheme="minorHAnsi" w:hAnsi="StobiSerif Regular" w:cstheme="minorHAnsi"/>
          <w:sz w:val="24"/>
          <w:szCs w:val="24"/>
        </w:rPr>
        <w:t xml:space="preserve"> (прашалникот се наоѓа во прилог 3 на Методологијата</w:t>
      </w:r>
      <w:r w:rsidR="00AA51FD" w:rsidRPr="00707BB3">
        <w:rPr>
          <w:rFonts w:ascii="StobiSerif Regular" w:eastAsiaTheme="minorHAnsi" w:hAnsi="StobiSerif Regular" w:cstheme="minorHAnsi"/>
          <w:sz w:val="24"/>
          <w:szCs w:val="24"/>
        </w:rPr>
        <w:t>).</w:t>
      </w:r>
      <w:r w:rsidR="0006043B" w:rsidRPr="00707BB3">
        <w:rPr>
          <w:rFonts w:ascii="StobiSerif Regular" w:eastAsiaTheme="minorHAnsi" w:hAnsi="StobiSerif Regular" w:cstheme="minorHAnsi"/>
          <w:sz w:val="24"/>
          <w:szCs w:val="24"/>
        </w:rPr>
        <w:t xml:space="preserve"> </w:t>
      </w:r>
    </w:p>
    <w:p w14:paraId="11BDA056" w14:textId="77777777" w:rsidR="00707BB3" w:rsidRPr="00707BB3" w:rsidRDefault="00707BB3" w:rsidP="00707BB3">
      <w:pPr>
        <w:pStyle w:val="ListParagraph"/>
        <w:suppressAutoHyphens w:val="0"/>
        <w:spacing w:line="259" w:lineRule="auto"/>
        <w:rPr>
          <w:rFonts w:ascii="StobiSerif Regular" w:eastAsiaTheme="minorHAnsi" w:hAnsi="StobiSerif Regular" w:cstheme="minorHAnsi"/>
          <w:sz w:val="24"/>
          <w:szCs w:val="24"/>
        </w:rPr>
      </w:pPr>
    </w:p>
    <w:p w14:paraId="70CFFCE3" w14:textId="57672357" w:rsidR="00AA51FD" w:rsidRPr="00061EC9" w:rsidRDefault="00AA51FD" w:rsidP="00061EC9">
      <w:pPr>
        <w:pStyle w:val="Default"/>
        <w:rPr>
          <w:rFonts w:ascii="StobiSerif Regular" w:eastAsiaTheme="minorHAnsi" w:hAnsi="StobiSerif Regular" w:cstheme="minorHAnsi"/>
          <w:b/>
          <w:color w:val="auto"/>
          <w:sz w:val="28"/>
          <w:szCs w:val="28"/>
          <w:lang w:eastAsia="en-US"/>
        </w:rPr>
      </w:pPr>
      <w:r w:rsidRPr="00061EC9">
        <w:rPr>
          <w:rFonts w:ascii="StobiSerif Regular" w:eastAsiaTheme="minorHAnsi" w:hAnsi="StobiSerif Regular" w:cstheme="minorHAnsi"/>
          <w:b/>
          <w:color w:val="auto"/>
          <w:sz w:val="28"/>
          <w:szCs w:val="28"/>
          <w:lang w:eastAsia="en-US"/>
        </w:rPr>
        <w:t>4. Евалуација</w:t>
      </w:r>
      <w:r w:rsidR="0006043B" w:rsidRPr="00061EC9">
        <w:rPr>
          <w:rFonts w:ascii="StobiSerif Regular" w:eastAsiaTheme="minorHAnsi" w:hAnsi="StobiSerif Regular" w:cstheme="minorHAnsi"/>
          <w:b/>
          <w:color w:val="auto"/>
          <w:sz w:val="28"/>
          <w:szCs w:val="28"/>
          <w:lang w:eastAsia="en-US"/>
        </w:rPr>
        <w:t xml:space="preserve"> и анализа </w:t>
      </w:r>
      <w:r w:rsidRPr="00061EC9">
        <w:rPr>
          <w:rFonts w:ascii="StobiSerif Regular" w:eastAsiaTheme="minorHAnsi" w:hAnsi="StobiSerif Regular" w:cstheme="minorHAnsi"/>
          <w:b/>
          <w:color w:val="auto"/>
          <w:sz w:val="28"/>
          <w:szCs w:val="28"/>
          <w:lang w:eastAsia="en-US"/>
        </w:rPr>
        <w:t>на резултатите</w:t>
      </w:r>
    </w:p>
    <w:p w14:paraId="6F8CF160" w14:textId="0D14DB2D" w:rsidR="00AA51FD" w:rsidRDefault="00AA51FD" w:rsidP="005820BF">
      <w:pPr>
        <w:suppressAutoHyphens w:val="0"/>
        <w:spacing w:line="259" w:lineRule="auto"/>
      </w:pPr>
    </w:p>
    <w:p w14:paraId="64B26914" w14:textId="693366DA" w:rsidR="00AA51FD" w:rsidRPr="005F6C70" w:rsidRDefault="00AA51FD" w:rsidP="005F6C70">
      <w:pPr>
        <w:rPr>
          <w:rFonts w:ascii="StobiSerif Regular" w:eastAsiaTheme="minorHAnsi" w:hAnsi="StobiSerif Regular" w:cstheme="minorHAnsi"/>
          <w:lang w:eastAsia="en-US"/>
        </w:rPr>
      </w:pPr>
      <w:r w:rsidRPr="005F6C70">
        <w:rPr>
          <w:rFonts w:ascii="StobiSerif Regular" w:eastAsiaTheme="minorHAnsi" w:hAnsi="StobiSerif Regular" w:cstheme="minorHAnsi"/>
          <w:lang w:eastAsia="en-US"/>
        </w:rPr>
        <w:t>Комисијата изврши евалуација на институциите преку оценка на:</w:t>
      </w:r>
    </w:p>
    <w:p w14:paraId="2B762392" w14:textId="2D805DC9" w:rsidR="00AA51FD" w:rsidRPr="005F6C70" w:rsidRDefault="00874732" w:rsidP="005F6C70">
      <w:pPr>
        <w:pStyle w:val="ListParagraph"/>
        <w:numPr>
          <w:ilvl w:val="0"/>
          <w:numId w:val="27"/>
        </w:numPr>
        <w:rPr>
          <w:rFonts w:ascii="StobiSerif Regular" w:eastAsiaTheme="minorHAnsi" w:hAnsi="StobiSerif Regular" w:cstheme="minorHAnsi"/>
          <w:sz w:val="24"/>
          <w:szCs w:val="24"/>
        </w:rPr>
      </w:pPr>
      <w:r w:rsidRPr="005F6C70">
        <w:rPr>
          <w:rFonts w:ascii="StobiSerif Regular" w:eastAsiaTheme="minorHAnsi" w:hAnsi="StobiSerif Regular" w:cstheme="minorHAnsi"/>
          <w:sz w:val="24"/>
          <w:szCs w:val="24"/>
        </w:rPr>
        <w:t xml:space="preserve">Пополнетиот </w:t>
      </w:r>
      <w:r w:rsidR="00AA51FD" w:rsidRPr="005F6C70">
        <w:rPr>
          <w:rFonts w:ascii="StobiSerif Regular" w:eastAsiaTheme="minorHAnsi" w:hAnsi="StobiSerif Regular" w:cstheme="minorHAnsi"/>
          <w:sz w:val="24"/>
          <w:szCs w:val="24"/>
        </w:rPr>
        <w:t>прашалник од институцијата;</w:t>
      </w:r>
    </w:p>
    <w:p w14:paraId="6E3F62D1" w14:textId="05B41DA6" w:rsidR="00AA51FD" w:rsidRPr="005F6C70" w:rsidRDefault="00874732" w:rsidP="005F6C70">
      <w:pPr>
        <w:pStyle w:val="ListParagraph"/>
        <w:numPr>
          <w:ilvl w:val="0"/>
          <w:numId w:val="27"/>
        </w:numPr>
        <w:rPr>
          <w:rFonts w:ascii="StobiSerif Regular" w:eastAsiaTheme="minorHAnsi" w:hAnsi="StobiSerif Regular" w:cstheme="minorHAnsi"/>
          <w:sz w:val="24"/>
          <w:szCs w:val="24"/>
        </w:rPr>
      </w:pPr>
      <w:r w:rsidRPr="005F6C70">
        <w:rPr>
          <w:rFonts w:ascii="StobiSerif Regular" w:eastAsiaTheme="minorHAnsi" w:hAnsi="StobiSerif Regular" w:cstheme="minorHAnsi"/>
          <w:sz w:val="24"/>
          <w:szCs w:val="24"/>
        </w:rPr>
        <w:t xml:space="preserve">Резултатите </w:t>
      </w:r>
      <w:r w:rsidR="00AA51FD" w:rsidRPr="005F6C70">
        <w:rPr>
          <w:rFonts w:ascii="StobiSerif Regular" w:eastAsiaTheme="minorHAnsi" w:hAnsi="StobiSerif Regular" w:cstheme="minorHAnsi"/>
          <w:sz w:val="24"/>
          <w:szCs w:val="24"/>
        </w:rPr>
        <w:t>од спроведената анкет</w:t>
      </w:r>
      <w:r w:rsidR="00707BB3" w:rsidRPr="005F6C70">
        <w:rPr>
          <w:rFonts w:ascii="StobiSerif Regular" w:eastAsiaTheme="minorHAnsi" w:hAnsi="StobiSerif Regular" w:cstheme="minorHAnsi"/>
          <w:sz w:val="24"/>
          <w:szCs w:val="24"/>
        </w:rPr>
        <w:t>а</w:t>
      </w:r>
      <w:r w:rsidR="00AA51FD" w:rsidRPr="005F6C70">
        <w:rPr>
          <w:rFonts w:ascii="StobiSerif Regular" w:eastAsiaTheme="minorHAnsi" w:hAnsi="StobiSerif Regular" w:cstheme="minorHAnsi"/>
          <w:sz w:val="24"/>
          <w:szCs w:val="24"/>
        </w:rPr>
        <w:t>, и</w:t>
      </w:r>
    </w:p>
    <w:p w14:paraId="10BED068" w14:textId="53CFD309" w:rsidR="00AA51FD" w:rsidRPr="005F6C70" w:rsidRDefault="00AA51FD" w:rsidP="005F6C70">
      <w:pPr>
        <w:pStyle w:val="ListParagraph"/>
        <w:numPr>
          <w:ilvl w:val="0"/>
          <w:numId w:val="27"/>
        </w:numPr>
        <w:rPr>
          <w:rFonts w:ascii="StobiSerif Regular" w:eastAsiaTheme="minorHAnsi" w:hAnsi="StobiSerif Regular" w:cstheme="minorHAnsi"/>
          <w:sz w:val="24"/>
          <w:szCs w:val="24"/>
        </w:rPr>
      </w:pPr>
      <w:r w:rsidRPr="005F6C70">
        <w:rPr>
          <w:rFonts w:ascii="StobiSerif Regular" w:eastAsiaTheme="minorHAnsi" w:hAnsi="StobiSerif Regular" w:cstheme="minorHAnsi"/>
          <w:sz w:val="24"/>
          <w:szCs w:val="24"/>
        </w:rPr>
        <w:t>Резултатите од спроведеното истражување „таен клиент“.</w:t>
      </w:r>
    </w:p>
    <w:p w14:paraId="69B2BB7B" w14:textId="77777777" w:rsidR="005F6C70" w:rsidRDefault="005F6C70" w:rsidP="00061EC9">
      <w:pPr>
        <w:pStyle w:val="NoSpacing"/>
        <w:spacing w:line="360" w:lineRule="auto"/>
        <w:jc w:val="both"/>
        <w:rPr>
          <w:rFonts w:ascii="StobiSerif Regular" w:hAnsi="StobiSerif Regular" w:cstheme="minorHAnsi"/>
          <w:sz w:val="24"/>
          <w:szCs w:val="24"/>
        </w:rPr>
      </w:pPr>
    </w:p>
    <w:p w14:paraId="37014DC6" w14:textId="226DCF34" w:rsidR="00F233CC" w:rsidRPr="005F6C70" w:rsidRDefault="00AA51FD" w:rsidP="005F6C70">
      <w:pPr>
        <w:rPr>
          <w:rFonts w:ascii="StobiSerif Regular" w:eastAsiaTheme="minorHAnsi" w:hAnsi="StobiSerif Regular" w:cstheme="minorHAnsi"/>
          <w:lang w:eastAsia="en-US"/>
        </w:rPr>
      </w:pPr>
      <w:r w:rsidRPr="005F6C70">
        <w:rPr>
          <w:rFonts w:ascii="StobiSerif Regular" w:eastAsiaTheme="minorHAnsi" w:hAnsi="StobiSerif Regular" w:cstheme="minorHAnsi"/>
          <w:lang w:eastAsia="en-US"/>
        </w:rPr>
        <w:lastRenderedPageBreak/>
        <w:t>Евалуацијата е</w:t>
      </w:r>
      <w:r w:rsidR="0006043B" w:rsidRPr="005F6C70">
        <w:rPr>
          <w:rFonts w:ascii="StobiSerif Regular" w:eastAsiaTheme="minorHAnsi" w:hAnsi="StobiSerif Regular" w:cstheme="minorHAnsi"/>
          <w:lang w:eastAsia="en-US"/>
        </w:rPr>
        <w:t xml:space="preserve"> </w:t>
      </w:r>
      <w:r w:rsidRPr="005F6C70">
        <w:rPr>
          <w:rFonts w:ascii="StobiSerif Regular" w:eastAsiaTheme="minorHAnsi" w:hAnsi="StobiSerif Regular" w:cstheme="minorHAnsi"/>
          <w:lang w:eastAsia="en-US"/>
        </w:rPr>
        <w:t xml:space="preserve">спроведена согласно однапред дефинирана матрица за оценка, при што во согласност со одговорите се доделуваат оценки на секој индивидуален елемент од прашалникот, анкетата и тајниот клиент. Утврдени се тежински фактори за сите три типови на истражувања, со цел доделување повеќе бодови за одредени елементи кои се поважни или покомплексни од останатите. </w:t>
      </w:r>
    </w:p>
    <w:p w14:paraId="278F1F1E" w14:textId="77777777" w:rsidR="00AA51FD" w:rsidRPr="005F6C70" w:rsidRDefault="00AA51FD" w:rsidP="005F6C70">
      <w:pPr>
        <w:rPr>
          <w:rFonts w:ascii="StobiSerif Regular" w:eastAsiaTheme="minorHAnsi" w:hAnsi="StobiSerif Regular" w:cstheme="minorHAnsi"/>
          <w:lang w:eastAsia="en-US"/>
        </w:rPr>
      </w:pPr>
      <w:r w:rsidRPr="005F6C70">
        <w:rPr>
          <w:rFonts w:ascii="StobiSerif Regular" w:eastAsiaTheme="minorHAnsi" w:hAnsi="StobiSerif Regular" w:cstheme="minorHAnsi"/>
          <w:lang w:eastAsia="en-US"/>
        </w:rPr>
        <w:t>Скалата на бодување по критериуми се наоѓа во прилог 4 на Методологијата.</w:t>
      </w:r>
    </w:p>
    <w:p w14:paraId="74290504" w14:textId="2B3AB1A3" w:rsidR="00AA51FD" w:rsidRPr="005F6C70" w:rsidRDefault="00AA51FD" w:rsidP="005F6C70">
      <w:pPr>
        <w:rPr>
          <w:rFonts w:ascii="StobiSerif Regular" w:eastAsiaTheme="minorHAnsi" w:hAnsi="StobiSerif Regular" w:cstheme="minorHAnsi"/>
          <w:lang w:eastAsia="en-US"/>
        </w:rPr>
      </w:pPr>
      <w:r w:rsidRPr="005F6C70">
        <w:rPr>
          <w:rFonts w:ascii="StobiSerif Regular" w:eastAsiaTheme="minorHAnsi" w:hAnsi="StobiSerif Regular" w:cstheme="minorHAnsi"/>
          <w:lang w:eastAsia="en-US"/>
        </w:rPr>
        <w:t>Врз основа на евалуацијата од сите три типа, се доделува индекс на квалитет на институцијата.</w:t>
      </w:r>
    </w:p>
    <w:p w14:paraId="65141195" w14:textId="77777777" w:rsidR="0006043B" w:rsidRPr="00E80C60" w:rsidRDefault="0006043B" w:rsidP="00AA51FD">
      <w:pPr>
        <w:suppressAutoHyphens w:val="0"/>
        <w:spacing w:line="259" w:lineRule="auto"/>
        <w:rPr>
          <w:rFonts w:eastAsia="Calibri"/>
          <w:lang w:eastAsia="en-US"/>
        </w:rPr>
      </w:pPr>
    </w:p>
    <w:p w14:paraId="4189D050" w14:textId="2D9DEC98" w:rsidR="0011401F" w:rsidRPr="0011401F" w:rsidRDefault="0011401F" w:rsidP="0011401F">
      <w:pPr>
        <w:pStyle w:val="ListParagraph"/>
        <w:numPr>
          <w:ilvl w:val="1"/>
          <w:numId w:val="29"/>
        </w:numPr>
        <w:suppressAutoHyphens w:val="0"/>
        <w:spacing w:line="259" w:lineRule="auto"/>
        <w:rPr>
          <w:rFonts w:ascii="StobiSerif Regular" w:hAnsi="StobiSerif Regular" w:cstheme="minorHAnsi"/>
          <w:b/>
          <w:bCs/>
          <w:sz w:val="24"/>
          <w:szCs w:val="24"/>
        </w:rPr>
      </w:pPr>
      <w:r w:rsidRPr="0011401F">
        <w:rPr>
          <w:rFonts w:ascii="StobiSerif Regular" w:hAnsi="StobiSerif Regular" w:cstheme="minorHAnsi"/>
          <w:b/>
          <w:bCs/>
          <w:sz w:val="24"/>
          <w:szCs w:val="24"/>
        </w:rPr>
        <w:t>Резултати од пополнет прашалник од институциите</w:t>
      </w:r>
    </w:p>
    <w:p w14:paraId="172FC722" w14:textId="77777777" w:rsidR="0011401F" w:rsidRDefault="0011401F" w:rsidP="005F6C70">
      <w:pPr>
        <w:suppressAutoHyphens w:val="0"/>
        <w:spacing w:line="259" w:lineRule="auto"/>
        <w:rPr>
          <w:rFonts w:ascii="StobiSerif Regular" w:hAnsi="StobiSerif Regular" w:cstheme="minorHAnsi"/>
        </w:rPr>
      </w:pPr>
    </w:p>
    <w:p w14:paraId="666AE446" w14:textId="467E1D21" w:rsidR="00C81F3C" w:rsidRPr="007776DB" w:rsidRDefault="00C81F3C" w:rsidP="007776DB">
      <w:pPr>
        <w:suppressAutoHyphens w:val="0"/>
        <w:spacing w:line="259" w:lineRule="auto"/>
        <w:rPr>
          <w:rFonts w:ascii="StobiSerif Regular" w:hAnsi="StobiSerif Regular" w:cstheme="minorHAnsi"/>
        </w:rPr>
      </w:pPr>
      <w:r w:rsidRPr="007776DB">
        <w:rPr>
          <w:rFonts w:ascii="StobiSerif Regular" w:hAnsi="StobiSerif Regular" w:cstheme="minorHAnsi"/>
        </w:rPr>
        <w:t xml:space="preserve">Во областа на </w:t>
      </w:r>
      <w:r w:rsidR="001D4BBF" w:rsidRPr="007776DB">
        <w:rPr>
          <w:rFonts w:ascii="StobiSerif Regular" w:hAnsi="StobiSerif Regular" w:cstheme="minorHAnsi"/>
          <w:b/>
          <w:bCs/>
        </w:rPr>
        <w:t xml:space="preserve">Стратешкото </w:t>
      </w:r>
      <w:r w:rsidRPr="007776DB">
        <w:rPr>
          <w:rFonts w:ascii="StobiSerif Regular" w:hAnsi="StobiSerif Regular" w:cstheme="minorHAnsi"/>
          <w:b/>
          <w:bCs/>
        </w:rPr>
        <w:t>планирање</w:t>
      </w:r>
      <w:r w:rsidRPr="007776DB">
        <w:rPr>
          <w:rFonts w:ascii="StobiSerif Regular" w:hAnsi="StobiSerif Regular" w:cstheme="minorHAnsi"/>
        </w:rPr>
        <w:t xml:space="preserve">, значајни разлики се забележуваат меѓу институциите, при што најдобри резултати постигнува Центарот за регистрација на матични податоци (ЦРМ), кој со освоени 97,5 поени го држи врвот. Министерството за култура и туризам (МКТ) исто така покажува солидни резултати, рангирајќи се високо со 71,5 поени. Од друга страна, Општина Штип е на </w:t>
      </w:r>
      <w:r w:rsidR="00924B4F" w:rsidRPr="007776DB">
        <w:rPr>
          <w:rFonts w:ascii="StobiSerif Regular" w:hAnsi="StobiSerif Regular" w:cstheme="minorHAnsi"/>
        </w:rPr>
        <w:t>последно место</w:t>
      </w:r>
      <w:r w:rsidRPr="007776DB">
        <w:rPr>
          <w:rFonts w:ascii="StobiSerif Regular" w:hAnsi="StobiSerif Regular" w:cstheme="minorHAnsi"/>
        </w:rPr>
        <w:t xml:space="preserve"> со 12,4 поени, што ја укажува потребата за значителни подобрувања во оваа област.</w:t>
      </w:r>
    </w:p>
    <w:p w14:paraId="2DC43682" w14:textId="77777777" w:rsidR="00C81F3C" w:rsidRPr="00C81F3C" w:rsidRDefault="00C81F3C" w:rsidP="00C81F3C">
      <w:pPr>
        <w:suppressAutoHyphens w:val="0"/>
        <w:spacing w:line="259" w:lineRule="auto"/>
        <w:rPr>
          <w:rFonts w:ascii="StobiSerif Regular" w:hAnsi="StobiSerif Regular" w:cstheme="minorHAnsi"/>
        </w:rPr>
      </w:pPr>
    </w:p>
    <w:p w14:paraId="0CDDEE77" w14:textId="77777777" w:rsidR="005F197A" w:rsidRPr="00061EC9" w:rsidRDefault="005F197A" w:rsidP="005820BF">
      <w:pPr>
        <w:suppressAutoHyphens w:val="0"/>
        <w:spacing w:line="259" w:lineRule="auto"/>
        <w:rPr>
          <w:rFonts w:ascii="StobiSerif Regular" w:eastAsiaTheme="minorHAnsi" w:hAnsi="StobiSerif Regular" w:cstheme="minorHAnsi"/>
          <w:lang w:eastAsia="en-US"/>
        </w:rPr>
      </w:pPr>
    </w:p>
    <w:p w14:paraId="3E038690" w14:textId="463B180C" w:rsidR="002326B8" w:rsidRPr="007710DD" w:rsidRDefault="00751159" w:rsidP="007710DD">
      <w:pPr>
        <w:suppressAutoHyphens w:val="0"/>
        <w:spacing w:line="259" w:lineRule="auto"/>
        <w:rPr>
          <w:rFonts w:ascii="StobiSerif Regular" w:eastAsiaTheme="minorHAnsi" w:hAnsi="StobiSerif Regular" w:cstheme="minorHAnsi"/>
          <w:lang w:eastAsia="en-US"/>
        </w:rPr>
      </w:pPr>
      <w:r w:rsidRPr="002326B8">
        <w:rPr>
          <w:b/>
          <w:noProof/>
          <w:lang w:eastAsia="mk-MK"/>
        </w:rPr>
        <w:drawing>
          <wp:inline distT="0" distB="0" distL="0" distR="0" wp14:anchorId="4D0EBC74" wp14:editId="29F54DDF">
            <wp:extent cx="5467350" cy="342392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DB4759" w14:textId="77777777" w:rsidR="00C81F3C" w:rsidRPr="00C81F3C" w:rsidRDefault="00C81F3C" w:rsidP="00C81F3C">
      <w:pPr>
        <w:suppressAutoHyphens w:val="0"/>
        <w:spacing w:line="259" w:lineRule="auto"/>
        <w:rPr>
          <w:rFonts w:ascii="StobiSerif Regular" w:hAnsi="StobiSerif Regular" w:cstheme="minorHAnsi"/>
          <w:i/>
        </w:rPr>
      </w:pPr>
      <w:r w:rsidRPr="00C81F3C">
        <w:rPr>
          <w:rFonts w:ascii="StobiSerif Regular" w:hAnsi="StobiSerif Regular" w:cstheme="minorHAnsi"/>
          <w:i/>
        </w:rPr>
        <w:lastRenderedPageBreak/>
        <w:t>И покрај важноста на стратешкото планирање, кај голем дел од институциите сè уште недостасуваат организациони единици или назначени лица кои би биле одговорни за оваа функција. Наместо сеопфатни стратешки планови, најчесто се подготвуваат годишни планови за работа.</w:t>
      </w:r>
    </w:p>
    <w:p w14:paraId="294CF51B" w14:textId="77777777" w:rsidR="00C81F3C" w:rsidRPr="00C81F3C" w:rsidRDefault="00C81F3C" w:rsidP="00C81F3C">
      <w:pPr>
        <w:suppressAutoHyphens w:val="0"/>
        <w:spacing w:line="259" w:lineRule="auto"/>
        <w:rPr>
          <w:rFonts w:ascii="StobiSerif Regular" w:hAnsi="StobiSerif Regular" w:cstheme="minorHAnsi"/>
          <w:i/>
        </w:rPr>
      </w:pPr>
    </w:p>
    <w:p w14:paraId="0863DA23" w14:textId="77777777" w:rsidR="00C81F3C" w:rsidRPr="00C81F3C" w:rsidRDefault="00C81F3C" w:rsidP="00C81F3C">
      <w:pPr>
        <w:suppressAutoHyphens w:val="0"/>
        <w:spacing w:line="259" w:lineRule="auto"/>
        <w:rPr>
          <w:rFonts w:ascii="StobiSerif Regular" w:hAnsi="StobiSerif Regular" w:cstheme="minorHAnsi"/>
          <w:i/>
        </w:rPr>
      </w:pPr>
      <w:r w:rsidRPr="00C81F3C">
        <w:rPr>
          <w:rFonts w:ascii="StobiSerif Regular" w:hAnsi="StobiSerif Regular" w:cstheme="minorHAnsi"/>
          <w:i/>
        </w:rPr>
        <w:t>Кај институциите кои ги развиваат стратешките планови, процесот е стандарден и ги вклучува сите засегнати страни внатре во институцијата преку учество на раководителите на организационите единици. Понатаму, се вклучуваат институции кои имаат улога во хоризонталните програми. Сепак, учеството на надворешни страни е минимално, што остава простор за унапредување на транспарентноста и консултациите.</w:t>
      </w:r>
    </w:p>
    <w:p w14:paraId="79B43592" w14:textId="77777777" w:rsidR="00C81F3C" w:rsidRPr="00C81F3C" w:rsidRDefault="00C81F3C" w:rsidP="00C81F3C">
      <w:pPr>
        <w:suppressAutoHyphens w:val="0"/>
        <w:spacing w:line="259" w:lineRule="auto"/>
        <w:rPr>
          <w:rFonts w:ascii="StobiSerif Regular" w:hAnsi="StobiSerif Regular" w:cstheme="minorHAnsi"/>
          <w:i/>
        </w:rPr>
      </w:pPr>
    </w:p>
    <w:p w14:paraId="7E9650DB" w14:textId="1089A758" w:rsidR="005F6C70" w:rsidRPr="002326B8" w:rsidRDefault="00C81F3C" w:rsidP="00C81F3C">
      <w:pPr>
        <w:suppressAutoHyphens w:val="0"/>
        <w:spacing w:line="259" w:lineRule="auto"/>
        <w:rPr>
          <w:rFonts w:ascii="StobiSerif Regular" w:hAnsi="StobiSerif Regular" w:cstheme="minorHAnsi"/>
          <w:i/>
        </w:rPr>
      </w:pPr>
      <w:r w:rsidRPr="00C81F3C">
        <w:rPr>
          <w:rFonts w:ascii="StobiSerif Regular" w:hAnsi="StobiSerif Regular" w:cstheme="minorHAnsi"/>
          <w:i/>
        </w:rPr>
        <w:t>Следењето на реализацијата на стратешките цели најчесто се изведува преку квалитативна евалуација на степенот на постигнатите резултати. Одредени институции дополнително ги објавуваат стратешките планови и информациите за нивната имплементација на своите веб-страници, што ја подобрува нивната отчетност пред јавноста</w:t>
      </w:r>
      <w:r w:rsidR="005F6C70" w:rsidRPr="002326B8">
        <w:rPr>
          <w:rFonts w:ascii="StobiSerif Regular" w:hAnsi="StobiSerif Regular" w:cstheme="minorHAnsi"/>
          <w:i/>
        </w:rPr>
        <w:t>.</w:t>
      </w:r>
    </w:p>
    <w:p w14:paraId="67A8E79A" w14:textId="77777777" w:rsidR="005F6C70" w:rsidRPr="00DD2C10" w:rsidRDefault="005F6C70" w:rsidP="005F6C70">
      <w:pPr>
        <w:suppressAutoHyphens w:val="0"/>
        <w:spacing w:line="259" w:lineRule="auto"/>
        <w:ind w:left="45"/>
        <w:rPr>
          <w:rFonts w:ascii="StobiSerif Regular" w:eastAsiaTheme="minorHAnsi" w:hAnsi="StobiSerif Regular" w:cstheme="minorHAnsi"/>
          <w:i/>
          <w:color w:val="FF0000"/>
        </w:rPr>
      </w:pPr>
    </w:p>
    <w:p w14:paraId="55C9FD80" w14:textId="77777777" w:rsidR="005F6C70" w:rsidRPr="005B18B8" w:rsidRDefault="005F6C70" w:rsidP="005F6C70">
      <w:pPr>
        <w:suppressAutoHyphens w:val="0"/>
        <w:spacing w:line="259" w:lineRule="auto"/>
        <w:rPr>
          <w:rFonts w:ascii="StobiSerif Regular" w:hAnsi="StobiSerif Regular" w:cstheme="minorHAnsi"/>
          <w:u w:val="single"/>
        </w:rPr>
      </w:pPr>
      <w:r w:rsidRPr="005B18B8">
        <w:rPr>
          <w:rFonts w:ascii="StobiSerif Regular" w:hAnsi="StobiSerif Regular" w:cstheme="minorHAnsi"/>
          <w:u w:val="single"/>
        </w:rPr>
        <w:t>Напомена:</w:t>
      </w:r>
    </w:p>
    <w:p w14:paraId="410EE952" w14:textId="4F4BFD2F" w:rsidR="005F6C70" w:rsidRPr="00C81F3C" w:rsidRDefault="005F6C70" w:rsidP="005F6C70">
      <w:pPr>
        <w:suppressAutoHyphens w:val="0"/>
        <w:spacing w:line="259" w:lineRule="auto"/>
        <w:rPr>
          <w:rFonts w:ascii="StobiSerif Regular" w:hAnsi="StobiSerif Regular" w:cstheme="minorHAnsi"/>
        </w:rPr>
      </w:pPr>
      <w:r w:rsidRPr="00C81F3C">
        <w:rPr>
          <w:rFonts w:ascii="StobiSerif Regular" w:hAnsi="StobiSerif Regular" w:cstheme="minorHAnsi"/>
        </w:rPr>
        <w:t>Според Закон</w:t>
      </w:r>
      <w:r w:rsidR="00C81F3C" w:rsidRPr="00C81F3C">
        <w:rPr>
          <w:rFonts w:ascii="StobiSerif Regular" w:hAnsi="StobiSerif Regular" w:cstheme="minorHAnsi"/>
        </w:rPr>
        <w:t>о</w:t>
      </w:r>
      <w:r w:rsidRPr="00C81F3C">
        <w:rPr>
          <w:rFonts w:ascii="StobiSerif Regular" w:hAnsi="StobiSerif Regular" w:cstheme="minorHAnsi"/>
        </w:rPr>
        <w:t>т за буџети</w:t>
      </w:r>
      <w:r w:rsidRPr="00C81F3C">
        <w:rPr>
          <w:rFonts w:ascii="StobiSerif Regular" w:hAnsi="StobiSerif Regular" w:cstheme="minorHAnsi"/>
        </w:rPr>
        <w:footnoteReference w:id="1"/>
      </w:r>
      <w:r w:rsidRPr="00C81F3C">
        <w:rPr>
          <w:rFonts w:ascii="StobiSerif Regular" w:hAnsi="StobiSerif Regular" w:cstheme="minorHAnsi"/>
        </w:rPr>
        <w:t>, член 2 став 1 точка 1 и 2 опфатени се:</w:t>
      </w:r>
    </w:p>
    <w:p w14:paraId="7419D61D" w14:textId="77777777" w:rsidR="005F6C70" w:rsidRPr="00C81F3C" w:rsidRDefault="005F6C70" w:rsidP="005F6C70">
      <w:pPr>
        <w:suppressAutoHyphens w:val="0"/>
        <w:spacing w:line="259" w:lineRule="auto"/>
        <w:rPr>
          <w:rFonts w:ascii="StobiSerif Regular" w:hAnsi="StobiSerif Regular" w:cstheme="minorHAnsi"/>
        </w:rPr>
      </w:pPr>
      <w:r w:rsidRPr="00C81F3C">
        <w:rPr>
          <w:rFonts w:ascii="StobiSerif Regular" w:hAnsi="StobiSerif Regular" w:cstheme="minorHAnsi"/>
        </w:rPr>
        <w:t>- буџетски корисници, се корисници од прва линија од областа на законодавната, извршната и судската власт (во натамошниот текст: централна власт), фондовите, корисниците на буџетите на општините и корисниците основани со закон на кои им е доверено вршење на јавни овластувања; согласно програмските определби на Владата на Република Северна Македонија. Според Член 15-а став (1) Буџетските корисници изготвуваат тригодишен стратешки план во кој се содржани програми и активности за остварување на стратешките приоритети на Владата на Република Северна Македонија, како и целите и приоритетите на буџетскиот корисник за тој период. Единките корисници бидејќи се финасираат преку соодветниот буџетски корисник не се обврзани да изготвиваат стратешки план;</w:t>
      </w:r>
    </w:p>
    <w:p w14:paraId="79D14837" w14:textId="15A2C705" w:rsidR="005F6C70" w:rsidRDefault="005F6C70" w:rsidP="00290532">
      <w:pPr>
        <w:suppressAutoHyphens w:val="0"/>
        <w:spacing w:line="259" w:lineRule="auto"/>
        <w:rPr>
          <w:rFonts w:ascii="StobiSerif Regular" w:hAnsi="StobiSerif Regular" w:cstheme="minorHAnsi"/>
        </w:rPr>
      </w:pPr>
      <w:r w:rsidRPr="00C81F3C">
        <w:rPr>
          <w:rFonts w:ascii="StobiSerif Regular" w:hAnsi="StobiSerif Regular" w:cstheme="minorHAnsi"/>
        </w:rPr>
        <w:t>- единки корисници се корисници од втора линија кои се финансираат преку соодветниот буџетски корисник (не се обврзани да изготвуваат стратешки план)</w:t>
      </w:r>
      <w:r w:rsidR="00C81F3C" w:rsidRPr="00C81F3C">
        <w:rPr>
          <w:rFonts w:ascii="StobiSerif Regular" w:hAnsi="StobiSerif Regular" w:cstheme="minorHAnsi"/>
        </w:rPr>
        <w:t>.</w:t>
      </w:r>
    </w:p>
    <w:p w14:paraId="21C91FE7" w14:textId="3A8A3913" w:rsidR="00290532" w:rsidRPr="007776DB" w:rsidRDefault="00924B4F" w:rsidP="007776DB">
      <w:pPr>
        <w:suppressAutoHyphens w:val="0"/>
        <w:spacing w:line="259" w:lineRule="auto"/>
        <w:rPr>
          <w:rFonts w:ascii="StobiSerif Regular" w:eastAsiaTheme="minorHAnsi" w:hAnsi="StobiSerif Regular" w:cstheme="minorHAnsi"/>
          <w:lang w:eastAsia="en-US"/>
        </w:rPr>
      </w:pPr>
      <w:r w:rsidRPr="007776DB">
        <w:rPr>
          <w:rFonts w:ascii="StobiSerif Regular" w:hAnsi="StobiSerif Regular" w:cstheme="minorHAnsi"/>
        </w:rPr>
        <w:t xml:space="preserve">Во областа на </w:t>
      </w:r>
      <w:r w:rsidRPr="007776DB">
        <w:rPr>
          <w:rFonts w:ascii="StobiSerif Regular" w:hAnsi="StobiSerif Regular" w:cstheme="minorHAnsi"/>
          <w:b/>
          <w:bCs/>
        </w:rPr>
        <w:t>управувањето со човечките ресурси</w:t>
      </w:r>
      <w:r w:rsidRPr="007776DB">
        <w:rPr>
          <w:rFonts w:ascii="StobiSerif Regular" w:hAnsi="StobiSerif Regular" w:cstheme="minorHAnsi"/>
        </w:rPr>
        <w:t xml:space="preserve">, Министерството за европски прашања (МЕП) се издвојува како лидер со 77 бодови од можни 100. Министерството </w:t>
      </w:r>
      <w:r w:rsidRPr="007776DB">
        <w:rPr>
          <w:rFonts w:ascii="StobiSerif Regular" w:hAnsi="StobiSerif Regular" w:cstheme="minorHAnsi"/>
        </w:rPr>
        <w:lastRenderedPageBreak/>
        <w:t>за култура и туризам (МКТ) и Агенцијата за вработување на Република Македонија (АВРМ) исто така постигнуваат значајни резултати со 75,75 и 73 бодови, соодветно. Од друга страна, најслабо рангирана е ПИОМ со 39,25 бодови, што покажува простор за значителни подобрувања</w:t>
      </w:r>
      <w:r w:rsidR="000B02B8" w:rsidRPr="007776DB">
        <w:rPr>
          <w:rFonts w:ascii="StobiSerif Regular" w:hAnsi="StobiSerif Regular" w:cstheme="minorHAnsi"/>
        </w:rPr>
        <w:t>.</w:t>
      </w:r>
    </w:p>
    <w:p w14:paraId="0B893AB3" w14:textId="692913BB" w:rsidR="00290532" w:rsidRDefault="00751159" w:rsidP="005820BF">
      <w:pPr>
        <w:suppressAutoHyphens w:val="0"/>
        <w:spacing w:line="259" w:lineRule="auto"/>
        <w:rPr>
          <w:rFonts w:eastAsia="Calibri"/>
          <w:lang w:eastAsia="en-US"/>
        </w:rPr>
      </w:pPr>
      <w:r>
        <w:rPr>
          <w:rFonts w:eastAsia="Calibri"/>
          <w:lang w:eastAsia="en-US"/>
        </w:rPr>
        <w:t xml:space="preserve"> </w:t>
      </w:r>
      <w:r w:rsidRPr="002326B8">
        <w:rPr>
          <w:b/>
          <w:noProof/>
          <w:lang w:eastAsia="mk-MK"/>
        </w:rPr>
        <w:drawing>
          <wp:inline distT="0" distB="0" distL="0" distR="0" wp14:anchorId="6238C27D" wp14:editId="19478504">
            <wp:extent cx="5760720" cy="2743200"/>
            <wp:effectExtent l="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D116F9" w14:textId="086B59D4" w:rsidR="00290532" w:rsidRDefault="00290532" w:rsidP="005820BF">
      <w:pPr>
        <w:suppressAutoHyphens w:val="0"/>
        <w:spacing w:line="259" w:lineRule="auto"/>
        <w:rPr>
          <w:rFonts w:eastAsia="Calibri"/>
          <w:lang w:eastAsia="en-US"/>
        </w:rPr>
      </w:pPr>
    </w:p>
    <w:p w14:paraId="2C8251F8"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r w:rsidRPr="00924B4F">
        <w:rPr>
          <w:rFonts w:ascii="StobiSerif Regular" w:eastAsiaTheme="minorHAnsi" w:hAnsi="StobiSerif Regular" w:cstheme="minorHAnsi"/>
          <w:i/>
          <w:color w:val="000000" w:themeColor="text1"/>
        </w:rPr>
        <w:t>Резултатите од оваа област покажуваат дека организациски единици за управување со човечките ресурси постојат во 9 институции, но само 3 од нив се целосно пополнети со предвидени работни места. Во 4 институции најголемиот дел од позициите се пополнети, што покажува умерен напредок во обезбедување на човечки капацитети.</w:t>
      </w:r>
    </w:p>
    <w:p w14:paraId="1E8F74E8"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p>
    <w:p w14:paraId="0084ABA5"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r w:rsidRPr="00924B4F">
        <w:rPr>
          <w:rFonts w:ascii="StobiSerif Regular" w:eastAsiaTheme="minorHAnsi" w:hAnsi="StobiSerif Regular" w:cstheme="minorHAnsi"/>
          <w:i/>
          <w:color w:val="000000" w:themeColor="text1"/>
        </w:rPr>
        <w:t>Флуктуацијата на вработените е релативно ниска, со разлики од 0-10% од вкупниот број на вработени во 8 институции. Годишни планови за вработување изготвуваат 9 институции, но ниту една нема развиено долгoročен план за развој на човечки ресурси, што е критичен недостиг.</w:t>
      </w:r>
    </w:p>
    <w:p w14:paraId="7CB997BA"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p>
    <w:p w14:paraId="76FEC303"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r w:rsidRPr="00924B4F">
        <w:rPr>
          <w:rFonts w:ascii="StobiSerif Regular" w:eastAsiaTheme="minorHAnsi" w:hAnsi="StobiSerif Regular" w:cstheme="minorHAnsi"/>
          <w:i/>
          <w:color w:val="000000" w:themeColor="text1"/>
        </w:rPr>
        <w:t>Индикаторите за мерење на ефикасноста во управувањето со човечките ресурси се ретки – само 2 институции ги имаат воспоставено и ги следат. Понатаму, анкетите за мерење на задоволството на вработените се ретко користени: само една институција редовно спроведува анкети и презема корективни активности.</w:t>
      </w:r>
    </w:p>
    <w:p w14:paraId="268C4CFE"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p>
    <w:p w14:paraId="6F726C56"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r w:rsidRPr="00924B4F">
        <w:rPr>
          <w:rFonts w:ascii="StobiSerif Regular" w:eastAsiaTheme="minorHAnsi" w:hAnsi="StobiSerif Regular" w:cstheme="minorHAnsi"/>
          <w:i/>
          <w:color w:val="000000" w:themeColor="text1"/>
        </w:rPr>
        <w:lastRenderedPageBreak/>
        <w:t>Во поглед на внатрешната организација, сите 9 институции имаат акти за организација и систематизација со добиени согласности, но само 3 институции имаат направено функционални анализи и планови за подобрување.</w:t>
      </w:r>
    </w:p>
    <w:p w14:paraId="13B304B3"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p>
    <w:p w14:paraId="55C7F867"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r w:rsidRPr="00924B4F">
        <w:rPr>
          <w:rFonts w:ascii="StobiSerif Regular" w:eastAsiaTheme="minorHAnsi" w:hAnsi="StobiSerif Regular" w:cstheme="minorHAnsi"/>
          <w:i/>
          <w:color w:val="000000" w:themeColor="text1"/>
        </w:rPr>
        <w:t>Информациските системи за управување со човечки ресурси се користат од сите 9 институции, со ажурни податоци. Годишни планови за обуки на вработените и извештаи за реализирани обуки имаат 4 институции, кои воедно внимаваат и на родовата рамноправност при изборот на обуки.</w:t>
      </w:r>
    </w:p>
    <w:p w14:paraId="73917C27"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p>
    <w:p w14:paraId="2F54E439"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r w:rsidRPr="00924B4F">
        <w:rPr>
          <w:rFonts w:ascii="StobiSerif Regular" w:eastAsiaTheme="minorHAnsi" w:hAnsi="StobiSerif Regular" w:cstheme="minorHAnsi"/>
          <w:i/>
          <w:color w:val="000000" w:themeColor="text1"/>
        </w:rPr>
        <w:t>Процедурите за здравје и безбедност при работа се присутни кај 7 институции, додека оценувањето на вработените и изготвувањето на извештаи за дисциплинска и материјална одговорност се спроведуваат во 7, односно 5 институции, соодветно.</w:t>
      </w:r>
    </w:p>
    <w:p w14:paraId="66C42284" w14:textId="77777777" w:rsidR="00924B4F" w:rsidRPr="00924B4F" w:rsidRDefault="00924B4F" w:rsidP="00924B4F">
      <w:pPr>
        <w:suppressAutoHyphens w:val="0"/>
        <w:spacing w:line="259" w:lineRule="auto"/>
        <w:rPr>
          <w:rFonts w:ascii="StobiSerif Regular" w:eastAsiaTheme="minorHAnsi" w:hAnsi="StobiSerif Regular" w:cstheme="minorHAnsi"/>
          <w:i/>
          <w:color w:val="000000" w:themeColor="text1"/>
        </w:rPr>
      </w:pPr>
    </w:p>
    <w:p w14:paraId="3394EAF6" w14:textId="0D6D0A8E" w:rsidR="00F233CC" w:rsidRDefault="00924B4F" w:rsidP="00924B4F">
      <w:pPr>
        <w:suppressAutoHyphens w:val="0"/>
        <w:spacing w:line="259" w:lineRule="auto"/>
        <w:rPr>
          <w:rFonts w:ascii="StobiSerif Regular" w:hAnsi="StobiSerif Regular" w:cstheme="minorHAnsi"/>
          <w:lang w:val="en-US"/>
        </w:rPr>
      </w:pPr>
      <w:r w:rsidRPr="00924B4F">
        <w:rPr>
          <w:rFonts w:ascii="StobiSerif Regular" w:eastAsiaTheme="minorHAnsi" w:hAnsi="StobiSerif Regular" w:cstheme="minorHAnsi"/>
          <w:i/>
          <w:color w:val="000000" w:themeColor="text1"/>
        </w:rPr>
        <w:t>Севкупно, резултатите укажуваат на умерен напредок во управувањето со човечките ресурси, но исто така откриваат значајни празнини кои треба да се пополнат за да се постигне повисоко ниво на професионализам и ефикасност.</w:t>
      </w:r>
    </w:p>
    <w:p w14:paraId="7D42BA23" w14:textId="77777777" w:rsidR="00F233CC" w:rsidRDefault="00F233CC" w:rsidP="00290532">
      <w:pPr>
        <w:suppressAutoHyphens w:val="0"/>
        <w:spacing w:line="259" w:lineRule="auto"/>
        <w:rPr>
          <w:rFonts w:ascii="StobiSerif Regular" w:hAnsi="StobiSerif Regular" w:cstheme="minorHAnsi"/>
          <w:lang w:val="en-US"/>
        </w:rPr>
      </w:pPr>
    </w:p>
    <w:p w14:paraId="30C412C3" w14:textId="7F8C945A" w:rsidR="0099048D" w:rsidRPr="001D4BBF" w:rsidRDefault="00924B4F" w:rsidP="007776DB">
      <w:pPr>
        <w:suppressAutoHyphens w:val="0"/>
        <w:spacing w:line="259" w:lineRule="auto"/>
        <w:rPr>
          <w:rFonts w:eastAsia="Calibri"/>
          <w:lang w:eastAsia="en-US"/>
        </w:rPr>
      </w:pPr>
      <w:r w:rsidRPr="007776DB">
        <w:rPr>
          <w:rFonts w:ascii="StobiSerif Regular" w:hAnsi="StobiSerif Regular" w:cstheme="minorHAnsi"/>
        </w:rPr>
        <w:t xml:space="preserve">Во областа на </w:t>
      </w:r>
      <w:r w:rsidRPr="007776DB">
        <w:rPr>
          <w:rFonts w:ascii="StobiSerif Regular" w:hAnsi="StobiSerif Regular" w:cstheme="minorHAnsi"/>
          <w:b/>
          <w:bCs/>
        </w:rPr>
        <w:t>Обезбедувањето услуги</w:t>
      </w:r>
      <w:r w:rsidRPr="007776DB">
        <w:rPr>
          <w:rFonts w:ascii="StobiSerif Regular" w:hAnsi="StobiSerif Regular" w:cstheme="minorHAnsi"/>
        </w:rPr>
        <w:t>, најдобри резултати постигнуваат ФинКи со 179,6 бодови, следени од Центарот за регистрација на матични податоци (ЦРМ) со 154,1 бодови. Инспекторатот за животна средина, пак, е најслабо рангиран со само 18 бодови, што укажува на значителни предизвици во овој домен.</w:t>
      </w:r>
    </w:p>
    <w:p w14:paraId="1961C7CD" w14:textId="2355E716" w:rsidR="00290532" w:rsidRPr="008403CC" w:rsidRDefault="000B02B8" w:rsidP="005820BF">
      <w:pPr>
        <w:suppressAutoHyphens w:val="0"/>
        <w:spacing w:line="259" w:lineRule="auto"/>
        <w:rPr>
          <w:rFonts w:eastAsia="Calibri"/>
          <w:lang w:val="en-US" w:eastAsia="en-US"/>
        </w:rPr>
      </w:pPr>
      <w:r w:rsidRPr="002326B8">
        <w:rPr>
          <w:b/>
          <w:noProof/>
          <w:lang w:eastAsia="mk-MK"/>
        </w:rPr>
        <w:lastRenderedPageBreak/>
        <w:drawing>
          <wp:inline distT="0" distB="0" distL="0" distR="0" wp14:anchorId="318EFF73" wp14:editId="63804223">
            <wp:extent cx="5753100" cy="294767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F9D647" w14:textId="77777777" w:rsidR="00F233CC" w:rsidRPr="00924B4F" w:rsidRDefault="00F233CC" w:rsidP="00290532">
      <w:pPr>
        <w:suppressAutoHyphens w:val="0"/>
        <w:spacing w:line="259" w:lineRule="auto"/>
        <w:rPr>
          <w:rFonts w:ascii="StobiSerif Regular" w:hAnsi="StobiSerif Regular" w:cstheme="minorHAnsi"/>
        </w:rPr>
      </w:pPr>
    </w:p>
    <w:p w14:paraId="647D2F57" w14:textId="77777777" w:rsidR="00924B4F" w:rsidRPr="00924B4F" w:rsidRDefault="00924B4F" w:rsidP="00924B4F">
      <w:pPr>
        <w:suppressAutoHyphens w:val="0"/>
        <w:spacing w:line="259" w:lineRule="auto"/>
        <w:rPr>
          <w:rFonts w:ascii="StobiSerif Regular" w:hAnsi="StobiSerif Regular" w:cstheme="minorHAnsi"/>
          <w:i/>
          <w:iCs/>
          <w:lang w:val="en-US"/>
        </w:rPr>
      </w:pP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однос</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стратешкиот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пристап</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кон</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обезбедувањето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само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пет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демонстрираат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јасна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посветеност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кон</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сервисна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ориентираност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дигитализација</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обезбедување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подобра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пристапност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услугите</w:t>
      </w:r>
      <w:proofErr w:type="spellEnd"/>
      <w:r w:rsidRPr="00924B4F">
        <w:rPr>
          <w:rFonts w:ascii="StobiSerif Regular" w:hAnsi="StobiSerif Regular" w:cstheme="minorHAnsi"/>
          <w:i/>
          <w:iCs/>
          <w:lang w:val="en-US"/>
        </w:rPr>
        <w:t>.</w:t>
      </w:r>
    </w:p>
    <w:p w14:paraId="318DF8D8" w14:textId="77777777" w:rsidR="00924B4F" w:rsidRPr="00924B4F" w:rsidRDefault="00924B4F" w:rsidP="00924B4F">
      <w:pPr>
        <w:suppressAutoHyphens w:val="0"/>
        <w:spacing w:line="259" w:lineRule="auto"/>
        <w:rPr>
          <w:rFonts w:ascii="StobiSerif Regular" w:hAnsi="StobiSerif Regular" w:cstheme="minorHAnsi"/>
          <w:i/>
          <w:iCs/>
          <w:lang w:val="en-US"/>
        </w:rPr>
      </w:pPr>
    </w:p>
    <w:p w14:paraId="6F1872E1" w14:textId="50757D95" w:rsidR="00924B4F" w:rsidRPr="00924B4F" w:rsidRDefault="00924B4F" w:rsidP="00924B4F">
      <w:pPr>
        <w:suppressAutoHyphens w:val="0"/>
        <w:spacing w:line="259" w:lineRule="auto"/>
        <w:rPr>
          <w:rFonts w:ascii="StobiSerif Regular" w:hAnsi="StobiSerif Regular" w:cstheme="minorHAnsi"/>
          <w:i/>
          <w:iCs/>
        </w:rPr>
      </w:pPr>
      <w:proofErr w:type="spellStart"/>
      <w:r w:rsidRPr="00924B4F">
        <w:rPr>
          <w:rFonts w:ascii="StobiSerif Regular" w:hAnsi="StobiSerif Regular" w:cstheme="minorHAnsi"/>
          <w:i/>
          <w:iCs/>
          <w:lang w:val="en-US"/>
        </w:rPr>
        <w:t>Информациите</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услугите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достапни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главно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преку</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физички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простории</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веб-страници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физичките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простории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осум</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објавуваат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листи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четири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обезбедуваат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информации</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процедурите</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роковите</w:t>
      </w:r>
      <w:proofErr w:type="spellEnd"/>
      <w:r w:rsidRPr="00924B4F">
        <w:rPr>
          <w:rFonts w:ascii="StobiSerif Regular" w:hAnsi="StobiSerif Regular" w:cstheme="minorHAnsi"/>
          <w:i/>
          <w:iCs/>
          <w:lang w:val="en-US"/>
        </w:rPr>
        <w:t xml:space="preserve">, а </w:t>
      </w:r>
      <w:proofErr w:type="spellStart"/>
      <w:r w:rsidRPr="00924B4F">
        <w:rPr>
          <w:rFonts w:ascii="StobiSerif Regular" w:hAnsi="StobiSerif Regular" w:cstheme="minorHAnsi"/>
          <w:i/>
          <w:iCs/>
          <w:lang w:val="en-US"/>
        </w:rPr>
        <w:t>шест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прикажуваат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стандардите</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услугите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веб-страниците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девет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објавуваат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листи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седум</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прикажуваат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процедурите</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роковите</w:t>
      </w:r>
      <w:proofErr w:type="spellEnd"/>
      <w:r w:rsidRPr="00924B4F">
        <w:rPr>
          <w:rFonts w:ascii="StobiSerif Regular" w:hAnsi="StobiSerif Regular" w:cstheme="minorHAnsi"/>
          <w:i/>
          <w:iCs/>
          <w:lang w:val="en-US"/>
        </w:rPr>
        <w:t xml:space="preserve">, а </w:t>
      </w:r>
      <w:proofErr w:type="spellStart"/>
      <w:r w:rsidRPr="00924B4F">
        <w:rPr>
          <w:rFonts w:ascii="StobiSerif Regular" w:hAnsi="StobiSerif Regular" w:cstheme="minorHAnsi"/>
          <w:i/>
          <w:iCs/>
          <w:lang w:val="en-US"/>
        </w:rPr>
        <w:t>стандардите</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услугите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имаат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достапни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исто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толку</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w:t>
      </w:r>
    </w:p>
    <w:p w14:paraId="5AA88B5A" w14:textId="77777777" w:rsidR="00924B4F" w:rsidRPr="00924B4F" w:rsidRDefault="00924B4F" w:rsidP="00924B4F">
      <w:pPr>
        <w:suppressAutoHyphens w:val="0"/>
        <w:spacing w:line="259" w:lineRule="auto"/>
        <w:rPr>
          <w:rFonts w:ascii="StobiSerif Regular" w:hAnsi="StobiSerif Regular" w:cstheme="minorHAnsi"/>
          <w:i/>
          <w:iCs/>
        </w:rPr>
      </w:pPr>
    </w:p>
    <w:p w14:paraId="17FC2251" w14:textId="77777777" w:rsidR="00924B4F" w:rsidRPr="00924B4F" w:rsidRDefault="00924B4F" w:rsidP="00924B4F">
      <w:pPr>
        <w:suppressAutoHyphens w:val="0"/>
        <w:spacing w:line="259" w:lineRule="auto"/>
        <w:rPr>
          <w:rFonts w:ascii="StobiSerif Regular" w:hAnsi="StobiSerif Regular" w:cstheme="minorHAnsi"/>
          <w:i/>
          <w:iCs/>
          <w:lang w:val="en-US"/>
        </w:rPr>
      </w:pPr>
      <w:proofErr w:type="spellStart"/>
      <w:r w:rsidRPr="00924B4F">
        <w:rPr>
          <w:rFonts w:ascii="StobiSerif Regular" w:hAnsi="StobiSerif Regular" w:cstheme="minorHAnsi"/>
          <w:i/>
          <w:iCs/>
          <w:lang w:val="en-US"/>
        </w:rPr>
        <w:t>Дигитализацијата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услугите</w:t>
      </w:r>
      <w:proofErr w:type="spellEnd"/>
      <w:r w:rsidRPr="00924B4F">
        <w:rPr>
          <w:rFonts w:ascii="StobiSerif Regular" w:hAnsi="StobiSerif Regular" w:cstheme="minorHAnsi"/>
          <w:i/>
          <w:iCs/>
          <w:lang w:val="en-US"/>
        </w:rPr>
        <w:t xml:space="preserve"> е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различно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ниво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Вкупниот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број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дигитализирани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варира</w:t>
      </w:r>
      <w:proofErr w:type="spellEnd"/>
      <w:r w:rsidRPr="00924B4F">
        <w:rPr>
          <w:rFonts w:ascii="StobiSerif Regular" w:hAnsi="StobiSerif Regular" w:cstheme="minorHAnsi"/>
          <w:i/>
          <w:iCs/>
          <w:lang w:val="en-US"/>
        </w:rPr>
        <w:t xml:space="preserve"> од 2 </w:t>
      </w:r>
      <w:proofErr w:type="spellStart"/>
      <w:r w:rsidRPr="00924B4F">
        <w:rPr>
          <w:rFonts w:ascii="StobiSerif Regular" w:hAnsi="StobiSerif Regular" w:cstheme="minorHAnsi"/>
          <w:i/>
          <w:iCs/>
          <w:lang w:val="en-US"/>
        </w:rPr>
        <w:t>до</w:t>
      </w:r>
      <w:proofErr w:type="spellEnd"/>
      <w:r w:rsidRPr="00924B4F">
        <w:rPr>
          <w:rFonts w:ascii="StobiSerif Regular" w:hAnsi="StobiSerif Regular" w:cstheme="minorHAnsi"/>
          <w:i/>
          <w:iCs/>
          <w:lang w:val="en-US"/>
        </w:rPr>
        <w:t xml:space="preserve"> 90, </w:t>
      </w:r>
      <w:proofErr w:type="spellStart"/>
      <w:r w:rsidRPr="00924B4F">
        <w:rPr>
          <w:rFonts w:ascii="StobiSerif Regular" w:hAnsi="StobiSerif Regular" w:cstheme="minorHAnsi"/>
          <w:i/>
          <w:iCs/>
          <w:lang w:val="en-US"/>
        </w:rPr>
        <w:t>додека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електронското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следење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предметите</w:t>
      </w:r>
      <w:proofErr w:type="spellEnd"/>
      <w:r w:rsidRPr="00924B4F">
        <w:rPr>
          <w:rFonts w:ascii="StobiSerif Regular" w:hAnsi="StobiSerif Regular" w:cstheme="minorHAnsi"/>
          <w:i/>
          <w:iCs/>
          <w:lang w:val="en-US"/>
        </w:rPr>
        <w:t xml:space="preserve"> е </w:t>
      </w:r>
      <w:proofErr w:type="spellStart"/>
      <w:r w:rsidRPr="00924B4F">
        <w:rPr>
          <w:rFonts w:ascii="StobiSerif Regular" w:hAnsi="StobiSerif Regular" w:cstheme="minorHAnsi"/>
          <w:i/>
          <w:iCs/>
          <w:lang w:val="en-US"/>
        </w:rPr>
        <w:t>комплетно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обезбедено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само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две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делумно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една</w:t>
      </w:r>
      <w:proofErr w:type="spellEnd"/>
      <w:r w:rsidRPr="00924B4F">
        <w:rPr>
          <w:rFonts w:ascii="StobiSerif Regular" w:hAnsi="StobiSerif Regular" w:cstheme="minorHAnsi"/>
          <w:i/>
          <w:iCs/>
          <w:lang w:val="en-US"/>
        </w:rPr>
        <w:t xml:space="preserve">, а за </w:t>
      </w:r>
      <w:proofErr w:type="spellStart"/>
      <w:r w:rsidRPr="00924B4F">
        <w:rPr>
          <w:rFonts w:ascii="StobiSerif Regular" w:hAnsi="StobiSerif Regular" w:cstheme="minorHAnsi"/>
          <w:i/>
          <w:iCs/>
          <w:lang w:val="en-US"/>
        </w:rPr>
        <w:t>некои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три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Драстичното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поедноставување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услугите</w:t>
      </w:r>
      <w:proofErr w:type="spellEnd"/>
      <w:r w:rsidRPr="00924B4F">
        <w:rPr>
          <w:rFonts w:ascii="StobiSerif Regular" w:hAnsi="StobiSerif Regular" w:cstheme="minorHAnsi"/>
          <w:i/>
          <w:iCs/>
          <w:lang w:val="en-US"/>
        </w:rPr>
        <w:t xml:space="preserve"> е </w:t>
      </w:r>
      <w:proofErr w:type="spellStart"/>
      <w:r w:rsidRPr="00924B4F">
        <w:rPr>
          <w:rFonts w:ascii="StobiSerif Regular" w:hAnsi="StobiSerif Regular" w:cstheme="minorHAnsi"/>
          <w:i/>
          <w:iCs/>
          <w:lang w:val="en-US"/>
        </w:rPr>
        <w:t>направено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четири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додека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две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нудат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парцијални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подобрувања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Можноста</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плаќање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преку</w:t>
      </w:r>
      <w:proofErr w:type="spellEnd"/>
      <w:r w:rsidRPr="00924B4F">
        <w:rPr>
          <w:rFonts w:ascii="StobiSerif Regular" w:hAnsi="StobiSerif Regular" w:cstheme="minorHAnsi"/>
          <w:i/>
          <w:iCs/>
          <w:lang w:val="en-US"/>
        </w:rPr>
        <w:t xml:space="preserve"> ПОС </w:t>
      </w:r>
      <w:proofErr w:type="spellStart"/>
      <w:r w:rsidRPr="00924B4F">
        <w:rPr>
          <w:rFonts w:ascii="StobiSerif Regular" w:hAnsi="StobiSerif Regular" w:cstheme="minorHAnsi"/>
          <w:i/>
          <w:iCs/>
          <w:lang w:val="en-US"/>
        </w:rPr>
        <w:t>терминал</w:t>
      </w:r>
      <w:proofErr w:type="spellEnd"/>
      <w:r w:rsidRPr="00924B4F">
        <w:rPr>
          <w:rFonts w:ascii="StobiSerif Regular" w:hAnsi="StobiSerif Regular" w:cstheme="minorHAnsi"/>
          <w:i/>
          <w:iCs/>
          <w:lang w:val="en-US"/>
        </w:rPr>
        <w:t xml:space="preserve"> е </w:t>
      </w:r>
      <w:proofErr w:type="spellStart"/>
      <w:r w:rsidRPr="00924B4F">
        <w:rPr>
          <w:rFonts w:ascii="StobiSerif Regular" w:hAnsi="StobiSerif Regular" w:cstheme="minorHAnsi"/>
          <w:i/>
          <w:iCs/>
          <w:lang w:val="en-US"/>
        </w:rPr>
        <w:t>достапна</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сите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три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и за </w:t>
      </w:r>
      <w:proofErr w:type="spellStart"/>
      <w:r w:rsidRPr="00924B4F">
        <w:rPr>
          <w:rFonts w:ascii="StobiSerif Regular" w:hAnsi="StobiSerif Regular" w:cstheme="minorHAnsi"/>
          <w:i/>
          <w:iCs/>
          <w:lang w:val="en-US"/>
        </w:rPr>
        <w:t>повеќето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две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w:t>
      </w:r>
    </w:p>
    <w:p w14:paraId="3EBD4B94" w14:textId="77777777" w:rsidR="00924B4F" w:rsidRPr="00924B4F" w:rsidRDefault="00924B4F" w:rsidP="00924B4F">
      <w:pPr>
        <w:suppressAutoHyphens w:val="0"/>
        <w:spacing w:line="259" w:lineRule="auto"/>
        <w:rPr>
          <w:rFonts w:ascii="StobiSerif Regular" w:hAnsi="StobiSerif Regular" w:cstheme="minorHAnsi"/>
          <w:i/>
          <w:iCs/>
          <w:lang w:val="en-US"/>
        </w:rPr>
      </w:pPr>
    </w:p>
    <w:p w14:paraId="7F09318C" w14:textId="77777777" w:rsidR="00924B4F" w:rsidRPr="00924B4F" w:rsidRDefault="00924B4F" w:rsidP="00924B4F">
      <w:pPr>
        <w:suppressAutoHyphens w:val="0"/>
        <w:spacing w:line="259" w:lineRule="auto"/>
        <w:rPr>
          <w:rFonts w:ascii="StobiSerif Regular" w:hAnsi="StobiSerif Regular" w:cstheme="minorHAnsi"/>
          <w:i/>
          <w:iCs/>
          <w:lang w:val="en-US"/>
        </w:rPr>
      </w:pPr>
      <w:proofErr w:type="spellStart"/>
      <w:r w:rsidRPr="00924B4F">
        <w:rPr>
          <w:rFonts w:ascii="StobiSerif Regular" w:hAnsi="StobiSerif Regular" w:cstheme="minorHAnsi"/>
          <w:i/>
          <w:iCs/>
          <w:lang w:val="en-US"/>
        </w:rPr>
        <w:lastRenderedPageBreak/>
        <w:t>Едношалтерските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кои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вклучуваат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размена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документи</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податоци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службена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должност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комплетно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функционални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шест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не</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сите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две</w:t>
      </w:r>
      <w:proofErr w:type="spellEnd"/>
      <w:r w:rsidRPr="00924B4F">
        <w:rPr>
          <w:rFonts w:ascii="StobiSerif Regular" w:hAnsi="StobiSerif Regular" w:cstheme="minorHAnsi"/>
          <w:i/>
          <w:iCs/>
          <w:lang w:val="en-US"/>
        </w:rPr>
        <w:t xml:space="preserve"> од </w:t>
      </w:r>
      <w:proofErr w:type="spellStart"/>
      <w:r w:rsidRPr="00924B4F">
        <w:rPr>
          <w:rFonts w:ascii="StobiSerif Regular" w:hAnsi="StobiSerif Regular" w:cstheme="minorHAnsi"/>
          <w:i/>
          <w:iCs/>
          <w:lang w:val="en-US"/>
        </w:rPr>
        <w:t>нив</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Системот</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интероперабилност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Министерството</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информатичко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општество</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администрација</w:t>
      </w:r>
      <w:proofErr w:type="spellEnd"/>
      <w:r w:rsidRPr="00924B4F">
        <w:rPr>
          <w:rFonts w:ascii="StobiSerif Regular" w:hAnsi="StobiSerif Regular" w:cstheme="minorHAnsi"/>
          <w:i/>
          <w:iCs/>
          <w:lang w:val="en-US"/>
        </w:rPr>
        <w:t xml:space="preserve"> (МИОА) </w:t>
      </w:r>
      <w:proofErr w:type="spellStart"/>
      <w:r w:rsidRPr="00924B4F">
        <w:rPr>
          <w:rFonts w:ascii="StobiSerif Regular" w:hAnsi="StobiSerif Regular" w:cstheme="minorHAnsi"/>
          <w:i/>
          <w:iCs/>
          <w:lang w:val="en-US"/>
        </w:rPr>
        <w:t>се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користи</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сите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потребни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четири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делумно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една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институција</w:t>
      </w:r>
      <w:proofErr w:type="spellEnd"/>
      <w:r w:rsidRPr="00924B4F">
        <w:rPr>
          <w:rFonts w:ascii="StobiSerif Regular" w:hAnsi="StobiSerif Regular" w:cstheme="minorHAnsi"/>
          <w:i/>
          <w:iCs/>
          <w:lang w:val="en-US"/>
        </w:rPr>
        <w:t>.</w:t>
      </w:r>
    </w:p>
    <w:p w14:paraId="1EBEBE53" w14:textId="77777777" w:rsidR="00924B4F" w:rsidRPr="00924B4F" w:rsidRDefault="00924B4F" w:rsidP="00924B4F">
      <w:pPr>
        <w:suppressAutoHyphens w:val="0"/>
        <w:spacing w:line="259" w:lineRule="auto"/>
        <w:rPr>
          <w:rFonts w:ascii="StobiSerif Regular" w:hAnsi="StobiSerif Regular" w:cstheme="minorHAnsi"/>
          <w:i/>
          <w:iCs/>
          <w:lang w:val="en-US"/>
        </w:rPr>
      </w:pPr>
    </w:p>
    <w:p w14:paraId="16983060" w14:textId="77777777" w:rsidR="00924B4F" w:rsidRPr="00924B4F" w:rsidRDefault="00924B4F" w:rsidP="00924B4F">
      <w:pPr>
        <w:suppressAutoHyphens w:val="0"/>
        <w:spacing w:line="259" w:lineRule="auto"/>
        <w:rPr>
          <w:rFonts w:ascii="StobiSerif Regular" w:hAnsi="StobiSerif Regular" w:cstheme="minorHAnsi"/>
          <w:i/>
          <w:iCs/>
          <w:lang w:val="en-US"/>
        </w:rPr>
      </w:pPr>
      <w:proofErr w:type="spellStart"/>
      <w:r w:rsidRPr="00924B4F">
        <w:rPr>
          <w:rFonts w:ascii="StobiSerif Regular" w:hAnsi="StobiSerif Regular" w:cstheme="minorHAnsi"/>
          <w:i/>
          <w:iCs/>
          <w:lang w:val="en-US"/>
        </w:rPr>
        <w:t>Пристапноста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објектите</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лица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инвалидност</w:t>
      </w:r>
      <w:proofErr w:type="spellEnd"/>
      <w:r w:rsidRPr="00924B4F">
        <w:rPr>
          <w:rFonts w:ascii="StobiSerif Regular" w:hAnsi="StobiSerif Regular" w:cstheme="minorHAnsi"/>
          <w:i/>
          <w:iCs/>
          <w:lang w:val="en-US"/>
        </w:rPr>
        <w:t xml:space="preserve"> е </w:t>
      </w:r>
      <w:proofErr w:type="spellStart"/>
      <w:r w:rsidRPr="00924B4F">
        <w:rPr>
          <w:rFonts w:ascii="StobiSerif Regular" w:hAnsi="StobiSerif Regular" w:cstheme="minorHAnsi"/>
          <w:i/>
          <w:iCs/>
          <w:lang w:val="en-US"/>
        </w:rPr>
        <w:t>обезбедена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седум</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додека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делумно</w:t>
      </w:r>
      <w:proofErr w:type="spellEnd"/>
      <w:r w:rsidRPr="00924B4F">
        <w:rPr>
          <w:rFonts w:ascii="StobiSerif Regular" w:hAnsi="StobiSerif Regular" w:cstheme="minorHAnsi"/>
          <w:i/>
          <w:iCs/>
          <w:lang w:val="en-US"/>
        </w:rPr>
        <w:t xml:space="preserve"> е </w:t>
      </w:r>
      <w:proofErr w:type="spellStart"/>
      <w:r w:rsidRPr="00924B4F">
        <w:rPr>
          <w:rFonts w:ascii="StobiSerif Regular" w:hAnsi="StobiSerif Regular" w:cstheme="minorHAnsi"/>
          <w:i/>
          <w:iCs/>
          <w:lang w:val="en-US"/>
        </w:rPr>
        <w:t>присутна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една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Само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три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имаат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обучено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лице</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помош</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лица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инвалидност</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објавиле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информации</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тоа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своите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веб-страници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Знаците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Брајова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азбука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недостасуваат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сите</w:t>
      </w:r>
      <w:proofErr w:type="spellEnd"/>
      <w:r w:rsidRPr="00924B4F">
        <w:rPr>
          <w:rFonts w:ascii="StobiSerif Regular" w:hAnsi="StobiSerif Regular" w:cstheme="minorHAnsi"/>
          <w:i/>
          <w:iCs/>
          <w:lang w:val="en-US"/>
        </w:rPr>
        <w:t xml:space="preserve"> 10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а </w:t>
      </w:r>
      <w:proofErr w:type="spellStart"/>
      <w:r w:rsidRPr="00924B4F">
        <w:rPr>
          <w:rFonts w:ascii="StobiSerif Regular" w:hAnsi="StobiSerif Regular" w:cstheme="minorHAnsi"/>
          <w:i/>
          <w:iCs/>
          <w:lang w:val="en-US"/>
        </w:rPr>
        <w:t>веб-страниците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достапни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според</w:t>
      </w:r>
      <w:proofErr w:type="spellEnd"/>
      <w:r w:rsidRPr="00924B4F">
        <w:rPr>
          <w:rFonts w:ascii="StobiSerif Regular" w:hAnsi="StobiSerif Regular" w:cstheme="minorHAnsi"/>
          <w:i/>
          <w:iCs/>
          <w:lang w:val="en-US"/>
        </w:rPr>
        <w:t xml:space="preserve"> WCAG 2.0 </w:t>
      </w:r>
      <w:proofErr w:type="spellStart"/>
      <w:r w:rsidRPr="00924B4F">
        <w:rPr>
          <w:rFonts w:ascii="StobiSerif Regular" w:hAnsi="StobiSerif Regular" w:cstheme="minorHAnsi"/>
          <w:i/>
          <w:iCs/>
          <w:lang w:val="en-US"/>
        </w:rPr>
        <w:t>се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прилагодени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две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делумно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кај</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една</w:t>
      </w:r>
      <w:proofErr w:type="spellEnd"/>
      <w:r w:rsidRPr="00924B4F">
        <w:rPr>
          <w:rFonts w:ascii="StobiSerif Regular" w:hAnsi="StobiSerif Regular" w:cstheme="minorHAnsi"/>
          <w:i/>
          <w:iCs/>
          <w:lang w:val="en-US"/>
        </w:rPr>
        <w:t>.</w:t>
      </w:r>
    </w:p>
    <w:p w14:paraId="67848B85" w14:textId="77777777" w:rsidR="00924B4F" w:rsidRPr="00924B4F" w:rsidRDefault="00924B4F" w:rsidP="00924B4F">
      <w:pPr>
        <w:suppressAutoHyphens w:val="0"/>
        <w:spacing w:line="259" w:lineRule="auto"/>
        <w:rPr>
          <w:rFonts w:ascii="StobiSerif Regular" w:hAnsi="StobiSerif Regular" w:cstheme="minorHAnsi"/>
          <w:i/>
          <w:iCs/>
          <w:lang w:val="en-US"/>
        </w:rPr>
      </w:pPr>
    </w:p>
    <w:p w14:paraId="62E95371" w14:textId="77777777" w:rsidR="00924B4F" w:rsidRPr="00924B4F" w:rsidRDefault="00924B4F" w:rsidP="00924B4F">
      <w:pPr>
        <w:suppressAutoHyphens w:val="0"/>
        <w:spacing w:line="259" w:lineRule="auto"/>
        <w:rPr>
          <w:rFonts w:ascii="StobiSerif Regular" w:hAnsi="StobiSerif Regular" w:cstheme="minorHAnsi"/>
          <w:i/>
          <w:iCs/>
          <w:lang w:val="en-US"/>
        </w:rPr>
      </w:pPr>
      <w:proofErr w:type="spellStart"/>
      <w:r w:rsidRPr="00924B4F">
        <w:rPr>
          <w:rFonts w:ascii="StobiSerif Regular" w:hAnsi="StobiSerif Regular" w:cstheme="minorHAnsi"/>
          <w:i/>
          <w:iCs/>
          <w:lang w:val="en-US"/>
        </w:rPr>
        <w:t>Евиденцијата</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трансакциите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ја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водат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шест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институции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само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две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водат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евиденција</w:t>
      </w:r>
      <w:proofErr w:type="spellEnd"/>
      <w:r w:rsidRPr="00924B4F">
        <w:rPr>
          <w:rFonts w:ascii="StobiSerif Regular" w:hAnsi="StobiSerif Regular" w:cstheme="minorHAnsi"/>
          <w:i/>
          <w:iCs/>
          <w:lang w:val="en-US"/>
        </w:rPr>
        <w:t xml:space="preserve"> за </w:t>
      </w:r>
      <w:proofErr w:type="spellStart"/>
      <w:r w:rsidRPr="00924B4F">
        <w:rPr>
          <w:rFonts w:ascii="StobiSerif Regular" w:hAnsi="StobiSerif Regular" w:cstheme="minorHAnsi"/>
          <w:i/>
          <w:iCs/>
          <w:lang w:val="en-US"/>
        </w:rPr>
        <w:t>просечните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трошоци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трансакција</w:t>
      </w:r>
      <w:proofErr w:type="spellEnd"/>
      <w:r w:rsidRPr="00924B4F">
        <w:rPr>
          <w:rFonts w:ascii="StobiSerif Regular" w:hAnsi="StobiSerif Regular" w:cstheme="minorHAnsi"/>
          <w:i/>
          <w:iCs/>
          <w:lang w:val="en-US"/>
        </w:rPr>
        <w:t>.</w:t>
      </w:r>
    </w:p>
    <w:p w14:paraId="2C3305FF" w14:textId="77777777" w:rsidR="00924B4F" w:rsidRPr="00924B4F" w:rsidRDefault="00924B4F" w:rsidP="00924B4F">
      <w:pPr>
        <w:suppressAutoHyphens w:val="0"/>
        <w:spacing w:line="259" w:lineRule="auto"/>
        <w:rPr>
          <w:rFonts w:ascii="StobiSerif Regular" w:hAnsi="StobiSerif Regular" w:cstheme="minorHAnsi"/>
          <w:i/>
          <w:iCs/>
          <w:lang w:val="en-US"/>
        </w:rPr>
      </w:pPr>
    </w:p>
    <w:p w14:paraId="0979079F" w14:textId="3C79C959" w:rsidR="002326B8" w:rsidRPr="00924B4F" w:rsidRDefault="00924B4F" w:rsidP="00924B4F">
      <w:pPr>
        <w:suppressAutoHyphens w:val="0"/>
        <w:spacing w:line="259" w:lineRule="auto"/>
        <w:rPr>
          <w:rFonts w:ascii="StobiSerif Regular" w:hAnsi="StobiSerif Regular" w:cstheme="minorHAnsi"/>
          <w:i/>
          <w:iCs/>
          <w:lang w:val="en-US"/>
        </w:rPr>
      </w:pPr>
      <w:proofErr w:type="spellStart"/>
      <w:r w:rsidRPr="00924B4F">
        <w:rPr>
          <w:rFonts w:ascii="StobiSerif Regular" w:hAnsi="StobiSerif Regular" w:cstheme="minorHAnsi"/>
          <w:i/>
          <w:iCs/>
          <w:lang w:val="en-US"/>
        </w:rPr>
        <w:t>Овие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резултати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покажуваат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дека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иако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има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примери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добри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практики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сè</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уште</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постојат</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значителни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предизвици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обезбедувањето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услуги</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особено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во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пристапноста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дигитализацијата</w:t>
      </w:r>
      <w:proofErr w:type="spellEnd"/>
      <w:r w:rsidRPr="00924B4F">
        <w:rPr>
          <w:rFonts w:ascii="StobiSerif Regular" w:hAnsi="StobiSerif Regular" w:cstheme="minorHAnsi"/>
          <w:i/>
          <w:iCs/>
          <w:lang w:val="en-US"/>
        </w:rPr>
        <w:t xml:space="preserve"> и </w:t>
      </w:r>
      <w:proofErr w:type="spellStart"/>
      <w:r w:rsidRPr="00924B4F">
        <w:rPr>
          <w:rFonts w:ascii="StobiSerif Regular" w:hAnsi="StobiSerif Regular" w:cstheme="minorHAnsi"/>
          <w:i/>
          <w:iCs/>
          <w:lang w:val="en-US"/>
        </w:rPr>
        <w:t>следењето</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на</w:t>
      </w:r>
      <w:proofErr w:type="spellEnd"/>
      <w:r w:rsidRPr="00924B4F">
        <w:rPr>
          <w:rFonts w:ascii="StobiSerif Regular" w:hAnsi="StobiSerif Regular" w:cstheme="minorHAnsi"/>
          <w:i/>
          <w:iCs/>
          <w:lang w:val="en-US"/>
        </w:rPr>
        <w:t xml:space="preserve"> </w:t>
      </w:r>
      <w:proofErr w:type="spellStart"/>
      <w:r w:rsidRPr="00924B4F">
        <w:rPr>
          <w:rFonts w:ascii="StobiSerif Regular" w:hAnsi="StobiSerif Regular" w:cstheme="minorHAnsi"/>
          <w:i/>
          <w:iCs/>
          <w:lang w:val="en-US"/>
        </w:rPr>
        <w:t>перформансите</w:t>
      </w:r>
      <w:proofErr w:type="spellEnd"/>
      <w:r w:rsidRPr="00924B4F">
        <w:rPr>
          <w:rFonts w:ascii="StobiSerif Regular" w:hAnsi="StobiSerif Regular" w:cstheme="minorHAnsi"/>
          <w:i/>
          <w:iCs/>
          <w:lang w:val="en-US"/>
        </w:rPr>
        <w:t>.</w:t>
      </w:r>
    </w:p>
    <w:p w14:paraId="075D84AE" w14:textId="77777777" w:rsidR="00F233CC" w:rsidRDefault="00F233CC" w:rsidP="00290532">
      <w:pPr>
        <w:suppressAutoHyphens w:val="0"/>
        <w:spacing w:line="259" w:lineRule="auto"/>
        <w:rPr>
          <w:rFonts w:ascii="StobiSerif Regular" w:hAnsi="StobiSerif Regular" w:cstheme="minorHAnsi"/>
        </w:rPr>
      </w:pPr>
    </w:p>
    <w:p w14:paraId="539D2B01" w14:textId="77777777" w:rsidR="00C81F3C" w:rsidRPr="00C81F3C" w:rsidRDefault="00C81F3C" w:rsidP="00290532">
      <w:pPr>
        <w:suppressAutoHyphens w:val="0"/>
        <w:spacing w:line="259" w:lineRule="auto"/>
        <w:rPr>
          <w:rFonts w:ascii="StobiSerif Regular" w:hAnsi="StobiSerif Regular" w:cstheme="minorHAnsi"/>
        </w:rPr>
      </w:pPr>
    </w:p>
    <w:p w14:paraId="060CBCF3" w14:textId="10CCA181" w:rsidR="00290532" w:rsidRPr="007776DB" w:rsidRDefault="00924B4F" w:rsidP="007776DB">
      <w:pPr>
        <w:suppressAutoHyphens w:val="0"/>
        <w:spacing w:line="259" w:lineRule="auto"/>
        <w:rPr>
          <w:rFonts w:ascii="StobiSerif Regular" w:eastAsiaTheme="minorHAnsi" w:hAnsi="StobiSerif Regular" w:cstheme="minorHAnsi"/>
          <w:lang w:eastAsia="en-US"/>
        </w:rPr>
      </w:pPr>
      <w:r w:rsidRPr="007776DB">
        <w:rPr>
          <w:rFonts w:ascii="StobiSerif Regular" w:hAnsi="StobiSerif Regular" w:cstheme="minorHAnsi"/>
        </w:rPr>
        <w:t xml:space="preserve">Во областа на </w:t>
      </w:r>
      <w:r w:rsidRPr="007776DB">
        <w:rPr>
          <w:rFonts w:ascii="StobiSerif Regular" w:hAnsi="StobiSerif Regular" w:cstheme="minorHAnsi"/>
          <w:b/>
          <w:bCs/>
        </w:rPr>
        <w:t>Транспарентноста</w:t>
      </w:r>
      <w:r w:rsidRPr="007776DB">
        <w:rPr>
          <w:rFonts w:ascii="StobiSerif Regular" w:hAnsi="StobiSerif Regular" w:cstheme="minorHAnsi"/>
        </w:rPr>
        <w:t>, која игра клучна улога во зајакнувањето на довербата на граѓаните во јавните институции, највисоко рангирана е Агенцијата за вработување на Република Македонија (АВРМ) со 97 бодови. Нејзиниот резултат е придружен од високи оценки на Општина Штип (90 бодови) и Централниот регистар на Македонија (ЦРМ) со 86 бодови. На спротивната страна од спектарот, Центарот за социјална работа во Битола (ЦСР Битола) бележи најниска оценка од 42,4 бодови.</w:t>
      </w:r>
      <w:r w:rsidR="0099048D" w:rsidRPr="007776DB">
        <w:rPr>
          <w:rFonts w:ascii="StobiSerif Regular" w:hAnsi="StobiSerif Regular" w:cstheme="minorHAnsi"/>
        </w:rPr>
        <w:t>.</w:t>
      </w:r>
    </w:p>
    <w:p w14:paraId="4105DE47" w14:textId="6E4C0A16" w:rsidR="00290532" w:rsidRDefault="00290532" w:rsidP="005820BF">
      <w:pPr>
        <w:suppressAutoHyphens w:val="0"/>
        <w:spacing w:line="259" w:lineRule="auto"/>
        <w:rPr>
          <w:rFonts w:eastAsia="Calibri"/>
          <w:lang w:eastAsia="en-US"/>
        </w:rPr>
      </w:pPr>
    </w:p>
    <w:p w14:paraId="395A9CE5" w14:textId="77777777" w:rsidR="00C81F3C" w:rsidRDefault="0099048D" w:rsidP="00C81F3C">
      <w:pPr>
        <w:suppressAutoHyphens w:val="0"/>
        <w:spacing w:line="259" w:lineRule="auto"/>
        <w:rPr>
          <w:rFonts w:eastAsia="Calibri"/>
          <w:lang w:eastAsia="en-US"/>
        </w:rPr>
      </w:pPr>
      <w:r w:rsidRPr="00F07605">
        <w:rPr>
          <w:b/>
          <w:noProof/>
          <w:lang w:eastAsia="mk-MK"/>
        </w:rPr>
        <w:lastRenderedPageBreak/>
        <w:drawing>
          <wp:inline distT="0" distB="0" distL="0" distR="0" wp14:anchorId="05ADBE71" wp14:editId="7E2652B9">
            <wp:extent cx="5943600" cy="2900045"/>
            <wp:effectExtent l="0" t="0" r="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761001" w14:textId="77777777" w:rsidR="00C81F3C" w:rsidRDefault="00C81F3C" w:rsidP="00C81F3C">
      <w:pPr>
        <w:suppressAutoHyphens w:val="0"/>
        <w:spacing w:line="259" w:lineRule="auto"/>
        <w:rPr>
          <w:rFonts w:eastAsia="Calibri"/>
          <w:lang w:eastAsia="en-US"/>
        </w:rPr>
      </w:pPr>
    </w:p>
    <w:p w14:paraId="33D78685" w14:textId="77777777" w:rsidR="00924B4F" w:rsidRPr="00924B4F" w:rsidRDefault="00924B4F" w:rsidP="00924B4F">
      <w:pPr>
        <w:suppressAutoHyphens w:val="0"/>
        <w:spacing w:line="259" w:lineRule="auto"/>
        <w:rPr>
          <w:rFonts w:ascii="StobiSerif Regular" w:hAnsi="StobiSerif Regular" w:cstheme="minorHAnsi"/>
          <w:i/>
        </w:rPr>
      </w:pPr>
      <w:r w:rsidRPr="00924B4F">
        <w:rPr>
          <w:rFonts w:ascii="StobiSerif Regular" w:hAnsi="StobiSerif Regular" w:cstheme="minorHAnsi"/>
          <w:i/>
        </w:rPr>
        <w:t>Во однос на спроведувањето на правото за слободен пристап до информации од јавен карактер, речиси сите институции покажуваат висока ефикасност, при што над 90% од барањата се одговараат во предвидениот рок. Осум институции ги објавуваат релевантните информации на своите веб-страници, вклучувајќи ги контактите и податоците за одговорните лица, што значително придонесува за подобра комуникација со јавноста.</w:t>
      </w:r>
    </w:p>
    <w:p w14:paraId="6E507614" w14:textId="77777777" w:rsidR="00924B4F" w:rsidRPr="00924B4F" w:rsidRDefault="00924B4F" w:rsidP="00924B4F">
      <w:pPr>
        <w:suppressAutoHyphens w:val="0"/>
        <w:spacing w:line="259" w:lineRule="auto"/>
        <w:rPr>
          <w:rFonts w:ascii="StobiSerif Regular" w:hAnsi="StobiSerif Regular" w:cstheme="minorHAnsi"/>
          <w:i/>
        </w:rPr>
      </w:pPr>
    </w:p>
    <w:p w14:paraId="1FCECE56" w14:textId="77777777" w:rsidR="00924B4F" w:rsidRPr="00924B4F" w:rsidRDefault="00924B4F" w:rsidP="00924B4F">
      <w:pPr>
        <w:suppressAutoHyphens w:val="0"/>
        <w:spacing w:line="259" w:lineRule="auto"/>
        <w:rPr>
          <w:rFonts w:ascii="StobiSerif Regular" w:hAnsi="StobiSerif Regular" w:cstheme="minorHAnsi"/>
          <w:i/>
        </w:rPr>
      </w:pPr>
      <w:r w:rsidRPr="00924B4F">
        <w:rPr>
          <w:rFonts w:ascii="StobiSerif Regular" w:hAnsi="StobiSerif Regular" w:cstheme="minorHAnsi"/>
          <w:i/>
        </w:rPr>
        <w:t>Кога станува збор за достапноста на документи, се забележува варијација. Пет институции ги објавуваат своите стратешки планови, додека кај осум се достапни буџетски извештаи, информации за заштитено внатрешно пријавување, како и биографии на раководните лица. Девет институции објавуваат планови за јавни набавки и обрасци за поднесоци од граѓаните, а седум институции ги обезбедуваат правилниците за внатрешна организација. Сепак, само четири институции имаат тарифници и листи на активни регистри, што укажува на потенцијална област за подобрување.</w:t>
      </w:r>
    </w:p>
    <w:p w14:paraId="5BCE7077" w14:textId="77777777" w:rsidR="00924B4F" w:rsidRPr="00924B4F" w:rsidRDefault="00924B4F" w:rsidP="00924B4F">
      <w:pPr>
        <w:suppressAutoHyphens w:val="0"/>
        <w:spacing w:line="259" w:lineRule="auto"/>
        <w:rPr>
          <w:rFonts w:ascii="StobiSerif Regular" w:hAnsi="StobiSerif Regular" w:cstheme="minorHAnsi"/>
          <w:i/>
        </w:rPr>
      </w:pPr>
    </w:p>
    <w:p w14:paraId="19BD5A0D" w14:textId="77777777" w:rsidR="00924B4F" w:rsidRPr="00924B4F" w:rsidRDefault="00924B4F" w:rsidP="00924B4F">
      <w:pPr>
        <w:suppressAutoHyphens w:val="0"/>
        <w:spacing w:line="259" w:lineRule="auto"/>
        <w:rPr>
          <w:rFonts w:ascii="StobiSerif Regular" w:hAnsi="StobiSerif Regular" w:cstheme="minorHAnsi"/>
          <w:i/>
        </w:rPr>
      </w:pPr>
      <w:r w:rsidRPr="00924B4F">
        <w:rPr>
          <w:rFonts w:ascii="StobiSerif Regular" w:hAnsi="StobiSerif Regular" w:cstheme="minorHAnsi"/>
          <w:i/>
        </w:rPr>
        <w:t>Во поглед на објавувањето на отворени податоци, иако постои свест за значењето на транспарентноста, резултатите покажуваат скромен напредок. Само три институции имаат комплетен каталог на отворени податоци, додека осум институции сè уште не објавуваат никакви податоци на порталот за отворени податоци.</w:t>
      </w:r>
    </w:p>
    <w:p w14:paraId="10346FE1" w14:textId="77777777" w:rsidR="00924B4F" w:rsidRPr="00924B4F" w:rsidRDefault="00924B4F" w:rsidP="00924B4F">
      <w:pPr>
        <w:suppressAutoHyphens w:val="0"/>
        <w:spacing w:line="259" w:lineRule="auto"/>
        <w:rPr>
          <w:rFonts w:ascii="StobiSerif Regular" w:hAnsi="StobiSerif Regular" w:cstheme="minorHAnsi"/>
          <w:i/>
        </w:rPr>
      </w:pPr>
    </w:p>
    <w:p w14:paraId="46B4C555" w14:textId="77777777" w:rsidR="00924B4F" w:rsidRPr="00924B4F" w:rsidRDefault="00924B4F" w:rsidP="00924B4F">
      <w:pPr>
        <w:suppressAutoHyphens w:val="0"/>
        <w:spacing w:line="259" w:lineRule="auto"/>
        <w:rPr>
          <w:rFonts w:ascii="StobiSerif Regular" w:hAnsi="StobiSerif Regular" w:cstheme="minorHAnsi"/>
          <w:i/>
        </w:rPr>
      </w:pPr>
      <w:r w:rsidRPr="00924B4F">
        <w:rPr>
          <w:rFonts w:ascii="StobiSerif Regular" w:hAnsi="StobiSerif Regular" w:cstheme="minorHAnsi"/>
          <w:i/>
        </w:rPr>
        <w:t>Посебно е значајно да се истакне и аспектот на информациската безбедност. Шест институции систематски применуваат мерки за заштита согласно меѓународните стандарди, што претставува пример за одговорен пристап кон чувствителните податоци.</w:t>
      </w:r>
    </w:p>
    <w:p w14:paraId="2003295E" w14:textId="77777777" w:rsidR="00924B4F" w:rsidRPr="00924B4F" w:rsidRDefault="00924B4F" w:rsidP="00924B4F">
      <w:pPr>
        <w:suppressAutoHyphens w:val="0"/>
        <w:spacing w:line="259" w:lineRule="auto"/>
        <w:rPr>
          <w:rFonts w:ascii="StobiSerif Regular" w:hAnsi="StobiSerif Regular" w:cstheme="minorHAnsi"/>
          <w:i/>
        </w:rPr>
      </w:pPr>
    </w:p>
    <w:p w14:paraId="3456CCAC" w14:textId="77777777" w:rsidR="00924B4F" w:rsidRPr="00924B4F" w:rsidRDefault="00924B4F" w:rsidP="00924B4F">
      <w:pPr>
        <w:suppressAutoHyphens w:val="0"/>
        <w:spacing w:line="259" w:lineRule="auto"/>
        <w:rPr>
          <w:rFonts w:ascii="StobiSerif Regular" w:hAnsi="StobiSerif Regular" w:cstheme="minorHAnsi"/>
          <w:i/>
        </w:rPr>
      </w:pPr>
      <w:r w:rsidRPr="00924B4F">
        <w:rPr>
          <w:rFonts w:ascii="StobiSerif Regular" w:hAnsi="StobiSerif Regular" w:cstheme="minorHAnsi"/>
          <w:i/>
        </w:rPr>
        <w:t>Овие наоди покажуваат дека, иако постојат значајни достигнувања во одредени аспекти, има простор за подобрување, особено во дигитализацијата на услугите, објавувањето отворени податоци и подобрувањето на пристапноста на информациите.</w:t>
      </w:r>
    </w:p>
    <w:p w14:paraId="33DFFF8D" w14:textId="77777777" w:rsidR="00C81F3C" w:rsidRPr="00C81F3C" w:rsidRDefault="00C81F3C" w:rsidP="00290532">
      <w:pPr>
        <w:suppressAutoHyphens w:val="0"/>
        <w:spacing w:line="259" w:lineRule="auto"/>
        <w:rPr>
          <w:rFonts w:ascii="StobiSerif Regular" w:hAnsi="StobiSerif Regular" w:cstheme="minorHAnsi"/>
        </w:rPr>
      </w:pPr>
    </w:p>
    <w:p w14:paraId="163AE36E" w14:textId="6080FADB" w:rsidR="00290532" w:rsidRPr="007776DB" w:rsidRDefault="00924B4F" w:rsidP="007776DB">
      <w:pPr>
        <w:suppressAutoHyphens w:val="0"/>
        <w:spacing w:line="259" w:lineRule="auto"/>
        <w:rPr>
          <w:rFonts w:ascii="StobiSerif Regular" w:hAnsi="StobiSerif Regular" w:cstheme="minorHAnsi"/>
        </w:rPr>
      </w:pPr>
      <w:r w:rsidRPr="007776DB">
        <w:rPr>
          <w:rFonts w:ascii="StobiSerif Regular" w:hAnsi="StobiSerif Regular" w:cstheme="minorHAnsi"/>
        </w:rPr>
        <w:t xml:space="preserve">Во областа на </w:t>
      </w:r>
      <w:r w:rsidR="001D4BBF" w:rsidRPr="007776DB">
        <w:rPr>
          <w:rFonts w:ascii="StobiSerif Regular" w:hAnsi="StobiSerif Regular" w:cstheme="minorHAnsi"/>
          <w:b/>
          <w:bCs/>
        </w:rPr>
        <w:t xml:space="preserve">Управување </w:t>
      </w:r>
      <w:r w:rsidRPr="007776DB">
        <w:rPr>
          <w:rFonts w:ascii="StobiSerif Regular" w:hAnsi="StobiSerif Regular" w:cstheme="minorHAnsi"/>
          <w:b/>
          <w:bCs/>
        </w:rPr>
        <w:t>со квалитет</w:t>
      </w:r>
      <w:r w:rsidRPr="007776DB">
        <w:rPr>
          <w:rFonts w:ascii="StobiSerif Regular" w:hAnsi="StobiSerif Regular" w:cstheme="minorHAnsi"/>
        </w:rPr>
        <w:t>, резултатите покажуваат значителни разлики меѓу јавните институции. Најдобри резултати постигнува Централниот регистар на Македонија (ЦРМ) со 93,5 бодови, додека Агенцијата за вработување (АВРМ) се наоѓа на втората позиција со 52,5 бодови. Најниски оценки забележуваат институции како Водовод и канализација Прилеп (ВКП), Министерството за европски прашања (МЕП) и ФИНКИ, кои постигнуваат 25, односно 30 бодови</w:t>
      </w:r>
      <w:r w:rsidR="00947DF0" w:rsidRPr="007776DB">
        <w:rPr>
          <w:rFonts w:ascii="StobiSerif Regular" w:hAnsi="StobiSerif Regular" w:cstheme="minorHAnsi"/>
        </w:rPr>
        <w:t>.</w:t>
      </w:r>
    </w:p>
    <w:p w14:paraId="5975E3E5" w14:textId="77777777" w:rsidR="00C81F3C" w:rsidRDefault="00C81F3C" w:rsidP="00290532">
      <w:pPr>
        <w:suppressAutoHyphens w:val="0"/>
        <w:spacing w:line="259" w:lineRule="auto"/>
        <w:rPr>
          <w:rFonts w:ascii="StobiSerif Regular" w:hAnsi="StobiSerif Regular" w:cstheme="minorHAnsi"/>
        </w:rPr>
      </w:pPr>
    </w:p>
    <w:p w14:paraId="6A2D176A" w14:textId="77777777" w:rsidR="00C81F3C" w:rsidRDefault="00F244B4" w:rsidP="00C81F3C">
      <w:pPr>
        <w:suppressAutoHyphens w:val="0"/>
        <w:spacing w:line="259" w:lineRule="auto"/>
        <w:rPr>
          <w:rFonts w:ascii="StobiSerif Regular" w:eastAsiaTheme="minorHAnsi" w:hAnsi="StobiSerif Regular" w:cstheme="minorHAnsi"/>
          <w:i/>
          <w:color w:val="000000" w:themeColor="text1"/>
        </w:rPr>
      </w:pPr>
      <w:r w:rsidRPr="00F07605">
        <w:rPr>
          <w:b/>
          <w:noProof/>
          <w:lang w:eastAsia="mk-MK"/>
        </w:rPr>
        <w:drawing>
          <wp:inline distT="0" distB="0" distL="0" distR="0" wp14:anchorId="4D03559E" wp14:editId="35778043">
            <wp:extent cx="5661660" cy="2865120"/>
            <wp:effectExtent l="0" t="0" r="15240" b="11430"/>
            <wp:docPr id="7" name="Chart 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F0EAB2" w14:textId="77777777" w:rsidR="00C81F3C" w:rsidRDefault="00C81F3C" w:rsidP="00C81F3C">
      <w:pPr>
        <w:suppressAutoHyphens w:val="0"/>
        <w:spacing w:line="259" w:lineRule="auto"/>
        <w:rPr>
          <w:rFonts w:ascii="StobiSerif Regular" w:eastAsiaTheme="minorHAnsi" w:hAnsi="StobiSerif Regular" w:cstheme="minorHAnsi"/>
          <w:i/>
          <w:color w:val="000000" w:themeColor="text1"/>
        </w:rPr>
      </w:pPr>
    </w:p>
    <w:p w14:paraId="2951F237" w14:textId="77777777" w:rsidR="001D4BBF" w:rsidRDefault="001D4BBF" w:rsidP="00C81F3C">
      <w:pPr>
        <w:suppressAutoHyphens w:val="0"/>
        <w:spacing w:line="259" w:lineRule="auto"/>
        <w:rPr>
          <w:rFonts w:ascii="StobiSerif Regular" w:eastAsiaTheme="minorHAnsi" w:hAnsi="StobiSerif Regular" w:cstheme="minorHAnsi"/>
          <w:i/>
          <w:color w:val="000000" w:themeColor="text1"/>
        </w:rPr>
      </w:pPr>
    </w:p>
    <w:p w14:paraId="11E78AF9" w14:textId="77777777" w:rsidR="001D4BBF" w:rsidRDefault="001D4BBF" w:rsidP="00C81F3C">
      <w:pPr>
        <w:suppressAutoHyphens w:val="0"/>
        <w:spacing w:line="259" w:lineRule="auto"/>
        <w:rPr>
          <w:rFonts w:ascii="StobiSerif Regular" w:eastAsiaTheme="minorHAnsi" w:hAnsi="StobiSerif Regular" w:cstheme="minorHAnsi"/>
          <w:i/>
          <w:color w:val="000000" w:themeColor="text1"/>
        </w:rPr>
      </w:pPr>
    </w:p>
    <w:p w14:paraId="604F9E6A" w14:textId="77777777" w:rsidR="001D4BBF" w:rsidRDefault="001D4BBF" w:rsidP="00C81F3C">
      <w:pPr>
        <w:suppressAutoHyphens w:val="0"/>
        <w:spacing w:line="259" w:lineRule="auto"/>
        <w:rPr>
          <w:rFonts w:ascii="StobiSerif Regular" w:eastAsiaTheme="minorHAnsi" w:hAnsi="StobiSerif Regular" w:cstheme="minorHAnsi"/>
          <w:i/>
          <w:color w:val="000000" w:themeColor="text1"/>
        </w:rPr>
      </w:pPr>
    </w:p>
    <w:p w14:paraId="6A1ABDAB" w14:textId="5EE8256F" w:rsidR="00F07605" w:rsidRDefault="00F07605" w:rsidP="00C81F3C">
      <w:pPr>
        <w:suppressAutoHyphens w:val="0"/>
        <w:spacing w:line="259" w:lineRule="auto"/>
        <w:rPr>
          <w:rFonts w:ascii="StobiSerif Regular" w:eastAsiaTheme="minorHAnsi" w:hAnsi="StobiSerif Regular" w:cstheme="minorHAnsi"/>
          <w:i/>
          <w:color w:val="000000" w:themeColor="text1"/>
        </w:rPr>
      </w:pPr>
      <w:r w:rsidRPr="00ED51B7">
        <w:rPr>
          <w:rFonts w:ascii="StobiSerif Regular" w:eastAsiaTheme="minorHAnsi" w:hAnsi="StobiSerif Regular" w:cstheme="minorHAnsi"/>
          <w:i/>
          <w:color w:val="000000" w:themeColor="text1"/>
        </w:rPr>
        <w:lastRenderedPageBreak/>
        <w:t xml:space="preserve">Во однос на  Управување со квалитет може да се заклучи следното: </w:t>
      </w:r>
    </w:p>
    <w:p w14:paraId="59591E75" w14:textId="77777777" w:rsidR="00C81F3C" w:rsidRPr="00C81F3C" w:rsidRDefault="00C81F3C" w:rsidP="00C81F3C">
      <w:pPr>
        <w:suppressAutoHyphens w:val="0"/>
        <w:spacing w:line="259" w:lineRule="auto"/>
        <w:rPr>
          <w:rFonts w:ascii="StobiSerif Regular" w:hAnsi="StobiSerif Regular" w:cstheme="minorHAnsi"/>
        </w:rPr>
      </w:pPr>
    </w:p>
    <w:p w14:paraId="4EB89708" w14:textId="77777777" w:rsidR="00924B4F" w:rsidRP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Кога станува збор за ИСО 9001:2015 стандардот за управување со квалитет, пет институции го имаат имплементирано и сертифицирано, додека четири институции сè уште не го имплементирале. Една институција го има имплементирано, но не и сертифицирано. Во однос на ЦАФ моделот (Заедничка рамка за проценка), само една институција го има имплементирано во повеќе од еден циклус, а друга имплементирала план за подобрување. Осум институции не го применуваат овој модел.</w:t>
      </w:r>
    </w:p>
    <w:p w14:paraId="1A86EB1F" w14:textId="77777777" w:rsidR="00924B4F" w:rsidRPr="00924B4F" w:rsidRDefault="00924B4F" w:rsidP="00924B4F">
      <w:pPr>
        <w:suppressAutoHyphens w:val="0"/>
        <w:spacing w:line="259" w:lineRule="auto"/>
        <w:rPr>
          <w:rFonts w:ascii="StobiSerif Regular" w:eastAsiaTheme="minorHAnsi" w:hAnsi="StobiSerif Regular" w:cstheme="minorHAnsi"/>
          <w:i/>
        </w:rPr>
      </w:pPr>
    </w:p>
    <w:p w14:paraId="55130BAE" w14:textId="47BA21EB" w:rsidR="00F07605"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Имплементацијата на други стандарди за квалитет исто така е ограничена, со само две институции кои континуирано и систематски применуваат вакви стандарди, додека останатите не покажуваат активности во оваа област</w:t>
      </w:r>
      <w:r w:rsidR="00F07605" w:rsidRPr="00ED51B7">
        <w:rPr>
          <w:rFonts w:ascii="StobiSerif Regular" w:eastAsiaTheme="minorHAnsi" w:hAnsi="StobiSerif Regular" w:cstheme="minorHAnsi"/>
          <w:i/>
        </w:rPr>
        <w:t>.</w:t>
      </w:r>
    </w:p>
    <w:p w14:paraId="795B363C" w14:textId="77777777" w:rsidR="00924B4F" w:rsidRDefault="00924B4F" w:rsidP="00924B4F">
      <w:pPr>
        <w:suppressAutoHyphens w:val="0"/>
        <w:spacing w:line="259" w:lineRule="auto"/>
        <w:rPr>
          <w:rFonts w:ascii="StobiSerif Regular" w:eastAsiaTheme="minorHAnsi" w:hAnsi="StobiSerif Regular" w:cstheme="minorHAnsi"/>
          <w:i/>
        </w:rPr>
      </w:pPr>
    </w:p>
    <w:p w14:paraId="1C2BA0ED" w14:textId="38DD31EE" w:rsid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Анкетите за мерење на задоволството на корисниците се спроведуваат континуирано само во една институција, додека три институции ги применуваат повремено и ad-hoc. Шест институции воопшто не применуваат вакви анкети, што укажува на потреба од поголема ориентација кон корисниците.</w:t>
      </w:r>
    </w:p>
    <w:p w14:paraId="32597AF0" w14:textId="77777777" w:rsidR="00924B4F" w:rsidRDefault="00924B4F" w:rsidP="00924B4F">
      <w:pPr>
        <w:suppressAutoHyphens w:val="0"/>
        <w:spacing w:line="259" w:lineRule="auto"/>
        <w:rPr>
          <w:rFonts w:ascii="StobiSerif Regular" w:eastAsiaTheme="minorHAnsi" w:hAnsi="StobiSerif Regular" w:cstheme="minorHAnsi"/>
          <w:i/>
        </w:rPr>
      </w:pPr>
    </w:p>
    <w:p w14:paraId="54F94718" w14:textId="77777777" w:rsidR="00924B4F" w:rsidRP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Само една институција има воспоставено целосен процес за прибирање, анализа и корективно дејствување врз основа на поплаки од корисниците. Четири институции прибираат поплаки, но не ги анализираат или преземаат мерки, додека останатите имаат ограничен или непостоечки пристап кон ова прашање.</w:t>
      </w:r>
    </w:p>
    <w:p w14:paraId="7A2959E1" w14:textId="77777777" w:rsidR="00924B4F" w:rsidRPr="00924B4F" w:rsidRDefault="00924B4F" w:rsidP="00924B4F">
      <w:pPr>
        <w:suppressAutoHyphens w:val="0"/>
        <w:spacing w:line="259" w:lineRule="auto"/>
        <w:rPr>
          <w:rFonts w:ascii="StobiSerif Regular" w:eastAsiaTheme="minorHAnsi" w:hAnsi="StobiSerif Regular" w:cstheme="minorHAnsi"/>
          <w:i/>
        </w:rPr>
      </w:pPr>
    </w:p>
    <w:p w14:paraId="55D82F99" w14:textId="1F69F7BD" w:rsid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Систем за евалуација на работните процеси е воспоставен само кај две институции, што значително ја ограничува можноста за подобрување и континуирано унапредување на услугите.</w:t>
      </w:r>
    </w:p>
    <w:p w14:paraId="1499E30E" w14:textId="77777777" w:rsidR="00924B4F" w:rsidRDefault="00924B4F" w:rsidP="00924B4F">
      <w:pPr>
        <w:suppressAutoHyphens w:val="0"/>
        <w:spacing w:line="259" w:lineRule="auto"/>
        <w:rPr>
          <w:rFonts w:ascii="StobiSerif Regular" w:eastAsiaTheme="minorHAnsi" w:hAnsi="StobiSerif Regular" w:cstheme="minorHAnsi"/>
          <w:i/>
        </w:rPr>
      </w:pPr>
    </w:p>
    <w:p w14:paraId="19216A42" w14:textId="77777777" w:rsidR="00924B4F" w:rsidRP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Шест институции немаат систематизирано работно место за управување со квалитет, додека кај четири институции овие позиции се систематизирани, но не и пополнети.</w:t>
      </w:r>
    </w:p>
    <w:p w14:paraId="31F63421" w14:textId="77777777" w:rsidR="00924B4F" w:rsidRPr="00924B4F" w:rsidRDefault="00924B4F" w:rsidP="00924B4F">
      <w:pPr>
        <w:suppressAutoHyphens w:val="0"/>
        <w:spacing w:line="259" w:lineRule="auto"/>
        <w:rPr>
          <w:rFonts w:ascii="StobiSerif Regular" w:eastAsiaTheme="minorHAnsi" w:hAnsi="StobiSerif Regular" w:cstheme="minorHAnsi"/>
          <w:i/>
        </w:rPr>
      </w:pPr>
    </w:p>
    <w:p w14:paraId="18AFB4AC" w14:textId="697D34C7" w:rsid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Функционалните единици за внатрешна ревизија покажуваат различни нивоа на развој. Четири институции немаат воспоставено ваква организациона единица, додека две институции ги имаат пополнето сите предвидени работни места.</w:t>
      </w:r>
    </w:p>
    <w:p w14:paraId="47EFC017" w14:textId="63A94093" w:rsidR="00924B4F"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lastRenderedPageBreak/>
        <w:t>Политики на интегритет имаат шест институции, и тие се објавени и применувани. Три институции немаат таква политика, а една ја има, но таа не е јавно достапна. Во поглед на општествената одговорност, пет институции континуирано спроведуваат активности, вклучувајќи и иницијативи за заштита на животната средина, додека останатите покажуваат ограничени или повремени активности.</w:t>
      </w:r>
    </w:p>
    <w:p w14:paraId="154D28C8" w14:textId="77777777" w:rsidR="00924B4F" w:rsidRDefault="00924B4F" w:rsidP="00924B4F">
      <w:pPr>
        <w:suppressAutoHyphens w:val="0"/>
        <w:spacing w:line="259" w:lineRule="auto"/>
        <w:rPr>
          <w:rFonts w:ascii="StobiSerif Regular" w:eastAsiaTheme="minorHAnsi" w:hAnsi="StobiSerif Regular" w:cstheme="minorHAnsi"/>
          <w:i/>
        </w:rPr>
      </w:pPr>
    </w:p>
    <w:p w14:paraId="5902B954" w14:textId="67358337" w:rsidR="00924B4F" w:rsidRPr="00ED51B7" w:rsidRDefault="00924B4F" w:rsidP="00924B4F">
      <w:pPr>
        <w:suppressAutoHyphens w:val="0"/>
        <w:spacing w:line="259" w:lineRule="auto"/>
        <w:rPr>
          <w:rFonts w:ascii="StobiSerif Regular" w:eastAsiaTheme="minorHAnsi" w:hAnsi="StobiSerif Regular" w:cstheme="minorHAnsi"/>
          <w:i/>
        </w:rPr>
      </w:pPr>
      <w:r w:rsidRPr="00924B4F">
        <w:rPr>
          <w:rFonts w:ascii="StobiSerif Regular" w:eastAsiaTheme="minorHAnsi" w:hAnsi="StobiSerif Regular" w:cstheme="minorHAnsi"/>
          <w:i/>
        </w:rPr>
        <w:t>Резултатите ја покажуваат потребата од поголема посветеност кон имплементација на стандарди за управување со квалитет, подобрување на организациските капацитети и засилување на ангажманот за задоволството на корисниците. Примената на општествено одговорни практики и политики на интегритет исто така треба да биде приоритет за да се постигне поуспешно управување со квалитетот во јавниот сектор.</w:t>
      </w:r>
    </w:p>
    <w:p w14:paraId="56B3FFFB" w14:textId="77777777" w:rsidR="00F07605" w:rsidRDefault="00F07605" w:rsidP="00F07605">
      <w:pPr>
        <w:suppressAutoHyphens w:val="0"/>
        <w:spacing w:line="259" w:lineRule="auto"/>
        <w:ind w:left="360"/>
        <w:rPr>
          <w:rFonts w:ascii="StobiSerif Regular" w:eastAsiaTheme="minorHAnsi" w:hAnsi="StobiSerif Regular" w:cstheme="minorHAnsi"/>
        </w:rPr>
      </w:pPr>
    </w:p>
    <w:p w14:paraId="52701DFE" w14:textId="77777777" w:rsidR="00F07605" w:rsidRDefault="00F07605" w:rsidP="00F07605">
      <w:pPr>
        <w:suppressAutoHyphens w:val="0"/>
        <w:spacing w:line="259" w:lineRule="auto"/>
        <w:rPr>
          <w:rFonts w:ascii="StobiSerif Regular" w:eastAsiaTheme="minorHAnsi" w:hAnsi="StobiSerif Regular" w:cstheme="minorHAnsi"/>
        </w:rPr>
      </w:pPr>
      <w:r w:rsidRPr="00D54765">
        <w:rPr>
          <w:rFonts w:ascii="StobiSerif Regular" w:eastAsiaTheme="minorHAnsi" w:hAnsi="StobiSerif Regular" w:cstheme="minorHAnsi"/>
          <w:u w:val="single"/>
        </w:rPr>
        <w:t>Напомена</w:t>
      </w:r>
      <w:r>
        <w:rPr>
          <w:rFonts w:ascii="StobiSerif Regular" w:eastAsiaTheme="minorHAnsi" w:hAnsi="StobiSerif Regular" w:cstheme="minorHAnsi"/>
        </w:rPr>
        <w:t>:</w:t>
      </w:r>
    </w:p>
    <w:p w14:paraId="323B8300" w14:textId="17F0D048" w:rsidR="00F07605" w:rsidRDefault="00F07605" w:rsidP="00F07605">
      <w:pPr>
        <w:suppressAutoHyphens w:val="0"/>
        <w:spacing w:line="259" w:lineRule="auto"/>
        <w:rPr>
          <w:rFonts w:ascii="StobiSerif Regular" w:hAnsi="StobiSerif Regular" w:cstheme="minorHAnsi"/>
        </w:rPr>
      </w:pPr>
      <w:r>
        <w:rPr>
          <w:rFonts w:ascii="StobiSerif Regular" w:hAnsi="StobiSerif Regular" w:cstheme="minorHAnsi"/>
        </w:rPr>
        <w:t>Ф</w:t>
      </w:r>
      <w:r w:rsidRPr="00D91ACA">
        <w:rPr>
          <w:rFonts w:ascii="StobiSerif Regular" w:hAnsi="StobiSerif Regular" w:cstheme="minorHAnsi"/>
        </w:rPr>
        <w:t xml:space="preserve">ункционална единица за внатрешна ревизија задолжително се воспоставува кај матичните буџетски корисници согласно член 31 од Законот за системот на внатрешна финансиска контрола во јавниот сектор </w:t>
      </w:r>
      <w:r w:rsidRPr="00D91ACA">
        <w:rPr>
          <w:rStyle w:val="FootnoteReference"/>
          <w:rFonts w:ascii="StobiSerif Regular" w:hAnsi="StobiSerif Regular" w:cstheme="minorHAnsi"/>
        </w:rPr>
        <w:footnoteReference w:id="2"/>
      </w:r>
      <w:r w:rsidRPr="00D91ACA">
        <w:rPr>
          <w:rFonts w:ascii="StobiSerif Regular" w:hAnsi="StobiSerif Regular" w:cstheme="minorHAnsi"/>
        </w:rPr>
        <w:t xml:space="preserve"> (не се обврзани единките корисници). Во досегашниот Закон за јавна внатрешна контрола</w:t>
      </w:r>
      <w:r>
        <w:rPr>
          <w:rFonts w:ascii="StobiSerif Regular" w:hAnsi="StobiSerif Regular" w:cstheme="minorHAnsi"/>
        </w:rPr>
        <w:t xml:space="preserve"> </w:t>
      </w:r>
      <w:r w:rsidRPr="00D91ACA">
        <w:rPr>
          <w:rStyle w:val="FootnoteReference"/>
          <w:rFonts w:ascii="StobiSerif Regular" w:hAnsi="StobiSerif Regular" w:cstheme="minorHAnsi"/>
        </w:rPr>
        <w:footnoteReference w:id="3"/>
      </w:r>
      <w:r w:rsidRPr="00D91ACA">
        <w:rPr>
          <w:rFonts w:ascii="StobiSerif Regular" w:hAnsi="StobiSerif Regular" w:cstheme="minorHAnsi"/>
        </w:rPr>
        <w:t>, член 30 став (1) Единица за внатрешна ревизија задолжително се основа во: - Собранието на Република Македонија, Народната банка на Република Македонија, Генералниот секретаријат на Владата на Република Македонија, Судскиот совет на Република Македонија, министерствата, Фондот за пензиско и инвалидско осигурување на Македонија, Фондот за здравствено осигурување на Македонија, Агенцијата за државни патишта на Република Македонија, Агенцијата за вработување на Република Македонија и Агенцијата за државни сл</w:t>
      </w:r>
      <w:r>
        <w:rPr>
          <w:rFonts w:ascii="StobiSerif Regular" w:hAnsi="StobiSerif Regular" w:cstheme="minorHAnsi"/>
        </w:rPr>
        <w:t xml:space="preserve">ужбеници; став </w:t>
      </w:r>
      <w:r w:rsidRPr="00D91ACA">
        <w:rPr>
          <w:rFonts w:ascii="StobiSerif Regular" w:hAnsi="StobiSerif Regular" w:cstheme="minorHAnsi"/>
        </w:rPr>
        <w:t>(2) Единица за внатрешна ревизија задолжително се основа и во сите субјекти од јавниот сектор чиј просечен годишен буџет/финансиски план во последните три години го надминува износот од 50 милиони денари</w:t>
      </w:r>
      <w:r w:rsidR="0011401F">
        <w:rPr>
          <w:rFonts w:ascii="StobiSerif Regular" w:hAnsi="StobiSerif Regular" w:cstheme="minorHAnsi"/>
        </w:rPr>
        <w:t>.</w:t>
      </w:r>
    </w:p>
    <w:p w14:paraId="5C8A0DFC" w14:textId="77777777" w:rsidR="00924B4F" w:rsidRDefault="00924B4F" w:rsidP="00F07605">
      <w:pPr>
        <w:suppressAutoHyphens w:val="0"/>
        <w:spacing w:line="259" w:lineRule="auto"/>
        <w:rPr>
          <w:rFonts w:ascii="StobiSerif Regular" w:hAnsi="StobiSerif Regular" w:cstheme="minorHAnsi"/>
        </w:rPr>
      </w:pPr>
    </w:p>
    <w:p w14:paraId="4F1DE08E" w14:textId="77777777" w:rsidR="003C1985" w:rsidRDefault="003C1985" w:rsidP="00162F39">
      <w:pPr>
        <w:suppressAutoHyphens w:val="0"/>
        <w:spacing w:line="259" w:lineRule="auto"/>
        <w:rPr>
          <w:rFonts w:ascii="StobiSerif Regular" w:eastAsiaTheme="minorHAnsi" w:hAnsi="StobiSerif Regular" w:cstheme="minorHAnsi"/>
          <w:lang w:eastAsia="en-US"/>
        </w:rPr>
      </w:pPr>
    </w:p>
    <w:p w14:paraId="6D5CC1F0" w14:textId="62E83580" w:rsidR="00162F39" w:rsidRPr="00162F39" w:rsidRDefault="00162F39" w:rsidP="0011401F">
      <w:pPr>
        <w:pStyle w:val="ListParagraph"/>
        <w:numPr>
          <w:ilvl w:val="1"/>
          <w:numId w:val="29"/>
        </w:numPr>
        <w:suppressAutoHyphens w:val="0"/>
        <w:spacing w:line="259" w:lineRule="auto"/>
        <w:rPr>
          <w:rFonts w:ascii="StobiSerif Regular" w:hAnsi="StobiSerif Regular" w:cstheme="minorHAnsi"/>
          <w:b/>
          <w:bCs/>
        </w:rPr>
      </w:pPr>
      <w:r w:rsidRPr="0011401F">
        <w:rPr>
          <w:rFonts w:ascii="StobiSerif Regular" w:hAnsi="StobiSerif Regular" w:cstheme="minorHAnsi"/>
          <w:b/>
          <w:bCs/>
        </w:rPr>
        <w:lastRenderedPageBreak/>
        <w:t>Резултати</w:t>
      </w:r>
      <w:r w:rsidRPr="00162F39">
        <w:rPr>
          <w:rFonts w:ascii="StobiSerif Regular" w:hAnsi="StobiSerif Regular" w:cstheme="minorHAnsi"/>
          <w:b/>
          <w:bCs/>
        </w:rPr>
        <w:t xml:space="preserve"> од </w:t>
      </w:r>
      <w:r w:rsidR="0011401F">
        <w:rPr>
          <w:rFonts w:ascii="StobiSerif Regular" w:hAnsi="StobiSerif Regular" w:cstheme="minorHAnsi"/>
          <w:b/>
          <w:bCs/>
        </w:rPr>
        <w:t xml:space="preserve">спроведена анкета </w:t>
      </w:r>
    </w:p>
    <w:p w14:paraId="317F74D8" w14:textId="375A8D73" w:rsid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Спроведеното истражување опфати 503 корисници кои посетиле различни институции за добивање услуги. Во две институции, Инспекторатот за животна средина и Министерството за европски прашања, не беа спроведени анкети, бидејќи овие институции нудат услуги исклучиво преку онлајн или телефонска комуникација.</w:t>
      </w:r>
    </w:p>
    <w:p w14:paraId="6B798213" w14:textId="77777777" w:rsidR="00162F39" w:rsidRPr="00162F39" w:rsidRDefault="00162F39" w:rsidP="00162F39">
      <w:pPr>
        <w:suppressAutoHyphens w:val="0"/>
        <w:spacing w:line="259" w:lineRule="auto"/>
        <w:rPr>
          <w:rFonts w:ascii="StobiSerif Regular" w:hAnsi="StobiSerif Regular" w:cstheme="minorHAnsi"/>
        </w:rPr>
      </w:pPr>
    </w:p>
    <w:p w14:paraId="1438C8ED" w14:textId="0FFC5E0B" w:rsid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Корисниците сподел</w:t>
      </w:r>
      <w:r w:rsidR="00920A59" w:rsidRPr="00162F39">
        <w:rPr>
          <w:rFonts w:ascii="StobiSerif Regular" w:hAnsi="StobiSerif Regular" w:cstheme="minorHAnsi"/>
        </w:rPr>
        <w:t>и</w:t>
      </w:r>
      <w:r w:rsidR="00920A59">
        <w:rPr>
          <w:rFonts w:ascii="StobiSerif Regular" w:hAnsi="StobiSerif Regular" w:cstheme="minorHAnsi"/>
        </w:rPr>
        <w:t>ле</w:t>
      </w:r>
      <w:r w:rsidRPr="00162F39">
        <w:rPr>
          <w:rFonts w:ascii="StobiSerif Regular" w:hAnsi="StobiSerif Regular" w:cstheme="minorHAnsi"/>
        </w:rPr>
        <w:t xml:space="preserve"> различни искуства за видовите услуги што ги барале, што варираше во зависност од институцијата. На пример, во Центарот за социјални работи (ЦСР) во Битола, најчестата услуга беше барање за социјална помош. Во ПИОМ, граѓаните најчесто ваделе документи за стаж, додека во Општина Штип најголем број</w:t>
      </w:r>
      <w:r w:rsidRPr="00B32951">
        <w:rPr>
          <w:rFonts w:ascii="StobiSerif Regular" w:hAnsi="StobiSerif Regular" w:cstheme="minorHAnsi"/>
        </w:rPr>
        <w:t xml:space="preserve"> </w:t>
      </w:r>
      <w:r w:rsidRPr="00162F39">
        <w:rPr>
          <w:rFonts w:ascii="StobiSerif Regular" w:hAnsi="StobiSerif Regular" w:cstheme="minorHAnsi"/>
        </w:rPr>
        <w:t>посетители доаѓале за плаќање даноци. Слично, во Водовод и канализација Прилеп, половина од испитаниците ја посетиле институцијата за плаќање сметки.</w:t>
      </w:r>
    </w:p>
    <w:p w14:paraId="57E0244F" w14:textId="77777777" w:rsidR="00C81F3C" w:rsidRPr="00162F39" w:rsidRDefault="00C81F3C" w:rsidP="00162F39">
      <w:pPr>
        <w:suppressAutoHyphens w:val="0"/>
        <w:spacing w:line="259" w:lineRule="auto"/>
        <w:rPr>
          <w:rFonts w:ascii="StobiSerif Regular" w:hAnsi="StobiSerif Regular" w:cstheme="minorHAnsi"/>
        </w:rPr>
      </w:pPr>
    </w:p>
    <w:p w14:paraId="4334941E" w14:textId="77777777" w:rsidR="00162F39" w:rsidRP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Резултатите од анкетата покажуваат дека граѓаните генерално лесно пристапуваат до информации за услугите пред да ја посетат институцијата. Просечната оцена за достапноста на информациите е висока – 4,44 од можни 5. Сепак, ЦСР Битола се издвојува со нешто пониска просечна оцена од 3,69, што укажува на потреба за подобрување во овој аспект.</w:t>
      </w:r>
    </w:p>
    <w:p w14:paraId="53231DC9" w14:textId="77777777" w:rsidR="00162F39" w:rsidRPr="00162F39" w:rsidRDefault="00162F39" w:rsidP="00162F39">
      <w:pPr>
        <w:suppressAutoHyphens w:val="0"/>
        <w:spacing w:line="259" w:lineRule="auto"/>
        <w:rPr>
          <w:rFonts w:ascii="StobiSerif Regular" w:hAnsi="StobiSerif Regular" w:cstheme="minorHAnsi"/>
        </w:rPr>
      </w:pPr>
    </w:p>
    <w:p w14:paraId="053A8E86" w14:textId="77777777" w:rsidR="00162F39" w:rsidRP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Достапноста на информации внатре во институциите исто така доби позитивна оценка, со просечна вредност од 4,08. Општина Штип е најдобро оценета со 4,51, додека Водовод и канализација Прилеп има најниска оценка – 3,63.</w:t>
      </w:r>
    </w:p>
    <w:p w14:paraId="327A70BD" w14:textId="77777777" w:rsidR="00162F39" w:rsidRPr="00162F39" w:rsidRDefault="00162F39" w:rsidP="00162F39">
      <w:pPr>
        <w:suppressAutoHyphens w:val="0"/>
        <w:spacing w:line="259" w:lineRule="auto"/>
        <w:rPr>
          <w:rFonts w:ascii="StobiSerif Regular" w:hAnsi="StobiSerif Regular" w:cstheme="minorHAnsi"/>
        </w:rPr>
      </w:pPr>
    </w:p>
    <w:p w14:paraId="1E43D622" w14:textId="77777777" w:rsidR="00162F39" w:rsidRP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Времето на чекање за услуга се покажува како ефикасно во повеќето институции. Повеќето испитаници изјавиле дека чекале помалку од 15 минути за да бидат услужени. Односот на службениците кон корисниците, пак, доби многу висока просечна оцена – 4,5, што укажува на задоволство од љубезноста и професионалноста на вработените.</w:t>
      </w:r>
    </w:p>
    <w:p w14:paraId="2B7A972B" w14:textId="77777777" w:rsidR="00162F39" w:rsidRPr="00162F39" w:rsidRDefault="00162F39" w:rsidP="00162F39">
      <w:pPr>
        <w:suppressAutoHyphens w:val="0"/>
        <w:spacing w:line="259" w:lineRule="auto"/>
        <w:rPr>
          <w:rFonts w:ascii="StobiSerif Regular" w:hAnsi="StobiSerif Regular" w:cstheme="minorHAnsi"/>
        </w:rPr>
      </w:pPr>
    </w:p>
    <w:p w14:paraId="190604AC" w14:textId="77777777" w:rsidR="00162F39" w:rsidRP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Интересен е податокот дека 80% од испитаниците не биле упатувани на други шалтери, а само 4% искусиле повеќекратно пренасочување. Дополнително, 76% од корисниците не биле упатени да обезбедуваат документи од други институции, што сугерира ефикасност во процесите.</w:t>
      </w:r>
    </w:p>
    <w:p w14:paraId="16EDE8DE" w14:textId="77777777" w:rsidR="00162F39" w:rsidRPr="00162F39" w:rsidRDefault="00162F39" w:rsidP="00162F39">
      <w:pPr>
        <w:suppressAutoHyphens w:val="0"/>
        <w:spacing w:line="259" w:lineRule="auto"/>
        <w:rPr>
          <w:rFonts w:ascii="StobiSerif Regular" w:hAnsi="StobiSerif Regular" w:cstheme="minorHAnsi"/>
        </w:rPr>
      </w:pPr>
    </w:p>
    <w:p w14:paraId="400B50D5" w14:textId="7D3CD64A" w:rsidR="00162F39" w:rsidRP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Што се однесува на времетраењето за решавање на предметите, повеќето граѓани ја оцен</w:t>
      </w:r>
      <w:r w:rsidR="00920A59" w:rsidRPr="00162F39">
        <w:rPr>
          <w:rFonts w:ascii="StobiSerif Regular" w:hAnsi="StobiSerif Regular" w:cstheme="minorHAnsi"/>
        </w:rPr>
        <w:t>и</w:t>
      </w:r>
      <w:r w:rsidR="00920A59">
        <w:rPr>
          <w:rFonts w:ascii="StobiSerif Regular" w:hAnsi="StobiSerif Regular" w:cstheme="minorHAnsi"/>
        </w:rPr>
        <w:t>ле</w:t>
      </w:r>
      <w:r w:rsidRPr="00162F39">
        <w:rPr>
          <w:rFonts w:ascii="StobiSerif Regular" w:hAnsi="StobiSerif Regular" w:cstheme="minorHAnsi"/>
        </w:rPr>
        <w:t xml:space="preserve"> брзината со највисока оценка (5), при што Општина Штип и Министерството за </w:t>
      </w:r>
      <w:r w:rsidRPr="00162F39">
        <w:rPr>
          <w:rFonts w:ascii="StobiSerif Regular" w:hAnsi="StobiSerif Regular" w:cstheme="minorHAnsi"/>
        </w:rPr>
        <w:lastRenderedPageBreak/>
        <w:t>култура и туризам имаа највисоки просечни оценки. Најслабо оценета институција по овој параметар е ЦСР Битола.</w:t>
      </w:r>
    </w:p>
    <w:p w14:paraId="0D28E076" w14:textId="77777777" w:rsidR="00162F39" w:rsidRPr="00162F39" w:rsidRDefault="00162F39" w:rsidP="00162F39">
      <w:pPr>
        <w:suppressAutoHyphens w:val="0"/>
        <w:spacing w:line="259" w:lineRule="auto"/>
        <w:rPr>
          <w:rFonts w:ascii="StobiSerif Regular" w:hAnsi="StobiSerif Regular" w:cstheme="minorHAnsi"/>
        </w:rPr>
      </w:pPr>
    </w:p>
    <w:p w14:paraId="1A585972" w14:textId="566939F0" w:rsidR="00162F39" w:rsidRDefault="00162F39" w:rsidP="00162F39">
      <w:pPr>
        <w:suppressAutoHyphens w:val="0"/>
        <w:spacing w:line="259" w:lineRule="auto"/>
        <w:rPr>
          <w:rFonts w:ascii="StobiSerif Regular" w:hAnsi="StobiSerif Regular" w:cstheme="minorHAnsi"/>
        </w:rPr>
      </w:pPr>
      <w:r w:rsidRPr="00162F39">
        <w:rPr>
          <w:rFonts w:ascii="StobiSerif Regular" w:hAnsi="StobiSerif Regular" w:cstheme="minorHAnsi"/>
        </w:rPr>
        <w:t>Граѓаните генерално изрази</w:t>
      </w:r>
      <w:r w:rsidR="00920A59">
        <w:rPr>
          <w:rFonts w:ascii="StobiSerif Regular" w:hAnsi="StobiSerif Regular" w:cstheme="minorHAnsi"/>
        </w:rPr>
        <w:t>ле</w:t>
      </w:r>
      <w:r w:rsidRPr="00162F39">
        <w:rPr>
          <w:rFonts w:ascii="StobiSerif Regular" w:hAnsi="StobiSerif Regular" w:cstheme="minorHAnsi"/>
        </w:rPr>
        <w:t xml:space="preserve"> високо севкупно задоволство од услугите, при што 82% од нив ја оценија посетата со највисоките оцени (4 или 5). Највисоко оценети институции се Министерството за култура и туризам, Општина Штип и Агенцијата за вработување, додека Универзитетот „Св. Кирил и Методиј“ на ФИНКИ беше единствената институција со просечна оценка под 4.</w:t>
      </w:r>
    </w:p>
    <w:p w14:paraId="4C626B1B" w14:textId="77777777" w:rsidR="00920A59" w:rsidRPr="00162F39" w:rsidRDefault="00920A59" w:rsidP="00162F39">
      <w:pPr>
        <w:suppressAutoHyphens w:val="0"/>
        <w:spacing w:line="259" w:lineRule="auto"/>
        <w:rPr>
          <w:rFonts w:ascii="StobiSerif Regular" w:hAnsi="StobiSerif Regular" w:cstheme="minorHAnsi"/>
        </w:rPr>
      </w:pPr>
    </w:p>
    <w:p w14:paraId="31B4FAA3" w14:textId="7BCF2FC9" w:rsidR="00162F39" w:rsidRDefault="00162F39" w:rsidP="00920A59">
      <w:pPr>
        <w:suppressAutoHyphens w:val="0"/>
        <w:spacing w:line="259" w:lineRule="auto"/>
        <w:rPr>
          <w:rFonts w:ascii="StobiSerif Regular" w:hAnsi="StobiSerif Regular" w:cstheme="minorHAnsi"/>
        </w:rPr>
      </w:pPr>
      <w:r w:rsidRPr="00162F39">
        <w:rPr>
          <w:rFonts w:ascii="StobiSerif Regular" w:hAnsi="StobiSerif Regular" w:cstheme="minorHAnsi"/>
        </w:rPr>
        <w:t>Споредено со претходни искуства, 45% од испитаниците сметаат дека услугите се подобрени, 49% дека се непроменети, а само 5% оцениле дека се влошени.</w:t>
      </w:r>
    </w:p>
    <w:p w14:paraId="6C5A85A5" w14:textId="29D90DEC" w:rsidR="00920A59" w:rsidRDefault="00920A59" w:rsidP="00920A59">
      <w:pPr>
        <w:suppressAutoHyphens w:val="0"/>
        <w:spacing w:line="259" w:lineRule="auto"/>
        <w:rPr>
          <w:rFonts w:ascii="StobiSerif Regular" w:hAnsi="StobiSerif Regular" w:cstheme="minorHAnsi"/>
        </w:rPr>
      </w:pPr>
      <w:r w:rsidRPr="00920A59">
        <w:rPr>
          <w:rFonts w:ascii="StobiSerif Regular" w:hAnsi="StobiSerif Regular" w:cstheme="minorHAnsi"/>
        </w:rPr>
        <w:t>Согласно спроведената Анкета за мерење на задоволството на корисниците, од вкупно можни 150 бодови, Општина Штип има најдобри резултати 136,65 бодови, додека пак  ЈУ Меѓуопштински Центар за социјална работа Битола  има најниски бодови 115,95</w:t>
      </w:r>
      <w:r>
        <w:rPr>
          <w:rFonts w:ascii="StobiSerif Regular" w:hAnsi="StobiSerif Regular" w:cstheme="minorHAnsi"/>
        </w:rPr>
        <w:t>.</w:t>
      </w:r>
    </w:p>
    <w:p w14:paraId="6FCC94F8" w14:textId="77777777" w:rsidR="00920A59" w:rsidRPr="00920A59" w:rsidRDefault="00920A59" w:rsidP="00920A59">
      <w:pPr>
        <w:suppressAutoHyphens w:val="0"/>
        <w:spacing w:line="259" w:lineRule="auto"/>
        <w:rPr>
          <w:rFonts w:ascii="StobiSerif Regular" w:hAnsi="StobiSerif Regular" w:cstheme="minorHAnsi"/>
        </w:rPr>
      </w:pPr>
    </w:p>
    <w:p w14:paraId="4E55A770" w14:textId="3085ABB2" w:rsidR="00B5419C" w:rsidRDefault="00162F39" w:rsidP="00920A59">
      <w:pPr>
        <w:suppressAutoHyphens w:val="0"/>
        <w:spacing w:line="259" w:lineRule="auto"/>
        <w:rPr>
          <w:rFonts w:ascii="StobiSerif Regular" w:hAnsi="StobiSerif Regular" w:cstheme="minorHAnsi"/>
        </w:rPr>
      </w:pPr>
      <w:r w:rsidRPr="00162F39">
        <w:rPr>
          <w:rFonts w:ascii="StobiSerif Regular" w:hAnsi="StobiSerif Regular" w:cstheme="minorHAnsi"/>
        </w:rPr>
        <w:t>Овие резултати покажуваат дека, иако постојат области за подобрување, генерално јавните институции обезбедуваат квалитетни и ефикасни услуги за граѓаните</w:t>
      </w:r>
      <w:r w:rsidR="0011401F">
        <w:rPr>
          <w:rFonts w:ascii="StobiSerif Regular" w:hAnsi="StobiSerif Regular" w:cstheme="minorHAnsi"/>
        </w:rPr>
        <w:t>.</w:t>
      </w:r>
    </w:p>
    <w:p w14:paraId="13189B51" w14:textId="77777777" w:rsidR="0011401F" w:rsidRDefault="0011401F" w:rsidP="00920A59">
      <w:pPr>
        <w:suppressAutoHyphens w:val="0"/>
        <w:spacing w:line="259" w:lineRule="auto"/>
        <w:rPr>
          <w:rFonts w:ascii="StobiSerif Regular" w:hAnsi="StobiSerif Regular" w:cstheme="minorHAnsi"/>
        </w:rPr>
      </w:pPr>
    </w:p>
    <w:p w14:paraId="16AF4D2A" w14:textId="77777777" w:rsidR="003C1985" w:rsidRDefault="003C1985" w:rsidP="00920A59">
      <w:pPr>
        <w:suppressAutoHyphens w:val="0"/>
        <w:spacing w:line="259" w:lineRule="auto"/>
        <w:rPr>
          <w:rFonts w:ascii="StobiSerif Regular" w:hAnsi="StobiSerif Regular" w:cstheme="minorHAnsi"/>
        </w:rPr>
      </w:pPr>
    </w:p>
    <w:p w14:paraId="2E3C7B75" w14:textId="6685816A" w:rsidR="00920A59" w:rsidRPr="00B32951" w:rsidRDefault="00920A59" w:rsidP="0011401F">
      <w:pPr>
        <w:pStyle w:val="ListParagraph"/>
        <w:numPr>
          <w:ilvl w:val="1"/>
          <w:numId w:val="29"/>
        </w:numPr>
        <w:suppressAutoHyphens w:val="0"/>
        <w:spacing w:line="259" w:lineRule="auto"/>
        <w:rPr>
          <w:rFonts w:ascii="StobiSerif Regular" w:hAnsi="StobiSerif Regular" w:cstheme="minorHAnsi"/>
          <w:b/>
          <w:bCs/>
        </w:rPr>
      </w:pPr>
      <w:r w:rsidRPr="00B32951">
        <w:rPr>
          <w:rFonts w:ascii="StobiSerif Regular" w:hAnsi="StobiSerif Regular" w:cstheme="minorHAnsi"/>
          <w:b/>
          <w:bCs/>
        </w:rPr>
        <w:t>Резултати од истражувањето „таен клиент“</w:t>
      </w:r>
    </w:p>
    <w:p w14:paraId="6158FBFD"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Истражувањето со методата „таен клиент“ имаше за цел да добие сеопфатни и непристрасни информации за тоа како јавните институции ги обезбедуваат своите услуги. Во текот на истражувањето, обучени лица се претставуваа како клиенти и ги следеа однапред утврдените сценарија, бележејќи ги своите искуства во стандаризиран прашалник. Со посетување на десет јавни институции по шест пати, добиени се податоци кои овозможуваат да се проценат нивните перформанси според повеќе аспекти.</w:t>
      </w:r>
    </w:p>
    <w:p w14:paraId="2980A40A" w14:textId="77777777" w:rsidR="00CA0CCB" w:rsidRPr="00B32951" w:rsidRDefault="00CA0CCB" w:rsidP="00920A59">
      <w:pPr>
        <w:spacing w:line="259" w:lineRule="auto"/>
        <w:ind w:left="45"/>
        <w:rPr>
          <w:rFonts w:ascii="StobiSerif Regular" w:hAnsi="StobiSerif Regular" w:cstheme="minorHAnsi"/>
        </w:rPr>
      </w:pPr>
    </w:p>
    <w:p w14:paraId="2DC7F380"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Еден од првите аспекти кои беа оценети беше изгледот на институциите. Резултатите покажаа дека Инспекторатот за животна средина (ИЖС), Фондот за пензиско и инвалидско осигурување (ПИОМ) и Водовод и канализација Прилеп (ВКП) се издвојуваат со својот добро одржуван изглед, што создава позитивен прв впечаток кај посетителите. Наспроти нив, Министерството за култура и туризам (МКТ) и ФИНКИ добија пониски оценки во оваа категорија, што укажува на потреба за унапредување на надворешниот и внатрешниот изглед.</w:t>
      </w:r>
    </w:p>
    <w:p w14:paraId="7910AA1D" w14:textId="77777777" w:rsidR="00CA0CCB" w:rsidRPr="00B32951" w:rsidRDefault="00CA0CCB" w:rsidP="00920A59">
      <w:pPr>
        <w:spacing w:line="259" w:lineRule="auto"/>
        <w:ind w:left="45"/>
        <w:rPr>
          <w:rFonts w:ascii="StobiSerif Regular" w:hAnsi="StobiSerif Regular" w:cstheme="minorHAnsi"/>
        </w:rPr>
      </w:pPr>
    </w:p>
    <w:p w14:paraId="6AD54020"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lastRenderedPageBreak/>
        <w:t>Пристапноста за лица со попреченост беше уште еден важен параметар. Повеќето институции покажаа дека имаат обезбедено пристап за овие лица, иако кај ИЖС и ФИНКИ беше забележана потреба за подобрување. Во однос на хигиената, речиси сите институции демонстрираа задоволителни стандарди, при што највисоки оценки добија ИЖС, Министерството за европски прашања (МЕП) и МКТ.</w:t>
      </w:r>
    </w:p>
    <w:p w14:paraId="3220F8CF" w14:textId="77777777" w:rsidR="00CA0CCB" w:rsidRPr="00B32951" w:rsidRDefault="00CA0CCB" w:rsidP="00920A59">
      <w:pPr>
        <w:spacing w:line="259" w:lineRule="auto"/>
        <w:ind w:left="45"/>
        <w:rPr>
          <w:rFonts w:ascii="StobiSerif Regular" w:hAnsi="StobiSerif Regular" w:cstheme="minorHAnsi"/>
        </w:rPr>
      </w:pPr>
    </w:p>
    <w:p w14:paraId="120A0889"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Покрај овие аспекти, истражувањето откри дека температурата во просториите на сите институции е соодветна за обезбедување удобност на корисниците. Сепак, проветрувањето на просториите беше нееднакво, со ИЖС и МЕП кои предничаат во оваа категорија, додека во просториите на Општина Штип оваа функционалност е забележливо послаба.</w:t>
      </w:r>
    </w:p>
    <w:p w14:paraId="369A7D3F" w14:textId="77777777" w:rsidR="00CA0CCB" w:rsidRPr="00B32951" w:rsidRDefault="00CA0CCB" w:rsidP="00920A59">
      <w:pPr>
        <w:spacing w:line="259" w:lineRule="auto"/>
        <w:ind w:left="45"/>
        <w:rPr>
          <w:rFonts w:ascii="StobiSerif Regular" w:hAnsi="StobiSerif Regular" w:cstheme="minorHAnsi"/>
        </w:rPr>
      </w:pPr>
    </w:p>
    <w:p w14:paraId="25F61B74"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Уредноста на институциите, како и означувањето на шалтерите и просториите за услуги, добија високи оценки во речиси сите институции. Ова покажува дека повеќето јавни установи се трудат да обезбедат јасни насоки за своите корисници. Во исто време, беше забележано дека пушењето во простории речиси и да не се случува, со само четири изолирани случаи од вкупно 60 посети.</w:t>
      </w:r>
    </w:p>
    <w:p w14:paraId="722BD43B" w14:textId="77777777" w:rsidR="00CA0CCB" w:rsidRPr="00B32951" w:rsidRDefault="00CA0CCB" w:rsidP="00920A59">
      <w:pPr>
        <w:spacing w:line="259" w:lineRule="auto"/>
        <w:ind w:left="45"/>
        <w:rPr>
          <w:rFonts w:ascii="StobiSerif Regular" w:hAnsi="StobiSerif Regular" w:cstheme="minorHAnsi"/>
        </w:rPr>
      </w:pPr>
    </w:p>
    <w:p w14:paraId="6D880702"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Првичниот контакт со вработените во најголемиот дел од институциите беше оценет позитивно. Вработените се покажаа љубезни и професионални, што е значаен индикатор за нивниот однос кон корисниците. Министерството за европски прашања (МЕП) се издвојува со највисоки оценки, додека Министерството за култура и туризам (МКТ) и ФИНКИ добија нешто пониски резултати.</w:t>
      </w:r>
    </w:p>
    <w:p w14:paraId="5B6C0DEA" w14:textId="77777777" w:rsidR="00920A59" w:rsidRPr="00B32951" w:rsidRDefault="00920A59" w:rsidP="00920A59">
      <w:pPr>
        <w:spacing w:line="259" w:lineRule="auto"/>
        <w:ind w:left="45"/>
        <w:rPr>
          <w:rFonts w:ascii="StobiSerif Regular" w:hAnsi="StobiSerif Regular" w:cstheme="minorHAnsi"/>
        </w:rPr>
      </w:pPr>
    </w:p>
    <w:p w14:paraId="1681B7B6"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Во некои институции, како ЦСР-Битола, ПИОМ и Агенцијата за вработување (АВРМ), истакнати беа детални инструкции за постапките за добивање услуги, што ја олеснува интеракцијата на корисниците со институцијата. Сепак, кај други, како ФИНКИ, МЕП и Општина Штип, беше забележана потреба за подобрување на достапноста на ваквите информации.</w:t>
      </w:r>
    </w:p>
    <w:p w14:paraId="5D60D838" w14:textId="77777777" w:rsidR="00920A59" w:rsidRPr="00B32951" w:rsidRDefault="00920A59" w:rsidP="00920A59">
      <w:pPr>
        <w:spacing w:line="259" w:lineRule="auto"/>
        <w:ind w:left="45"/>
        <w:rPr>
          <w:rFonts w:ascii="StobiSerif Regular" w:hAnsi="StobiSerif Regular" w:cstheme="minorHAnsi"/>
        </w:rPr>
      </w:pPr>
    </w:p>
    <w:p w14:paraId="09718ED2"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Одредени недостатоци беа идентификувани кај достапноста на формулари и упатства за нивно пополнување, иако вработените најчесто помагаа на корисниците во оваа насока. Истражувањето исто така покажа дека повеќето институции немаат систем за броеви за чекање или ленти за означување редици, освен во ПИОМ и Централниот регистар на Македонија (ЦРМ), каде што ваквите системи функционираат.</w:t>
      </w:r>
    </w:p>
    <w:p w14:paraId="7721CA7A" w14:textId="77777777" w:rsidR="00920A59" w:rsidRPr="00B32951" w:rsidRDefault="00920A59" w:rsidP="00920A59">
      <w:pPr>
        <w:spacing w:line="259" w:lineRule="auto"/>
        <w:ind w:left="45"/>
        <w:rPr>
          <w:rFonts w:ascii="StobiSerif Regular" w:hAnsi="StobiSerif Regular" w:cstheme="minorHAnsi"/>
        </w:rPr>
      </w:pPr>
    </w:p>
    <w:p w14:paraId="6480CFA0"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lastRenderedPageBreak/>
        <w:t>Што се однесува до времето на чекање, резултатите покажуваат дека во најголемиот дел од случаите чекањето е кратко – до пет минути, со неколку исклучоци каде што времето беше подолго од 15 минути.</w:t>
      </w:r>
    </w:p>
    <w:p w14:paraId="4C6D21B3" w14:textId="77777777" w:rsidR="00920A59" w:rsidRPr="00B32951" w:rsidRDefault="00920A59" w:rsidP="00920A59">
      <w:pPr>
        <w:spacing w:line="259" w:lineRule="auto"/>
        <w:ind w:left="45"/>
        <w:rPr>
          <w:rFonts w:ascii="StobiSerif Regular" w:hAnsi="StobiSerif Regular" w:cstheme="minorHAnsi"/>
        </w:rPr>
      </w:pPr>
    </w:p>
    <w:p w14:paraId="3CAA15F3"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Севкупното задоволство од услугите беше највисоко во ИЖС, но и другите институции добија просечни оценки над четири, со исклучок на ФИНКИ и МКТ, каде што задоволството беше нешто пониско.</w:t>
      </w:r>
    </w:p>
    <w:p w14:paraId="6418E989"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Резултатите покажаа дека Фондот за пензиско и инвалидско осигурување (ПИОМ) е најдобро рангиран со 136,81 бод од можни 250, додека ФИНКИ доби најниска оценка од 115,47 бода.</w:t>
      </w:r>
    </w:p>
    <w:p w14:paraId="1186F4A8" w14:textId="77777777" w:rsidR="00920A59" w:rsidRPr="00B32951" w:rsidRDefault="00920A59" w:rsidP="00920A59">
      <w:pPr>
        <w:spacing w:line="259" w:lineRule="auto"/>
        <w:ind w:left="45"/>
        <w:rPr>
          <w:rFonts w:ascii="StobiSerif Regular" w:hAnsi="StobiSerif Regular" w:cstheme="minorHAnsi"/>
        </w:rPr>
      </w:pPr>
    </w:p>
    <w:p w14:paraId="2AC419F1" w14:textId="77777777" w:rsidR="00920A59" w:rsidRPr="00B32951" w:rsidRDefault="00920A59" w:rsidP="00920A59">
      <w:pPr>
        <w:spacing w:line="259" w:lineRule="auto"/>
        <w:ind w:left="45"/>
        <w:rPr>
          <w:rFonts w:ascii="StobiSerif Regular" w:hAnsi="StobiSerif Regular" w:cstheme="minorHAnsi"/>
        </w:rPr>
      </w:pPr>
      <w:r w:rsidRPr="00B32951">
        <w:rPr>
          <w:rFonts w:ascii="StobiSerif Regular" w:hAnsi="StobiSerif Regular" w:cstheme="minorHAnsi"/>
        </w:rPr>
        <w:t>Заклучно, истражувањето укажува на тоа дека повеќето институции обезбедуваат задоволителни услуги, но постојат јасни можности за унапредување, особено во делот на пристапност, достапност на информации и организациски структури.</w:t>
      </w:r>
    </w:p>
    <w:p w14:paraId="368FF1C0" w14:textId="6FBE4409" w:rsidR="0011401F" w:rsidRDefault="0011401F" w:rsidP="003C1985">
      <w:pPr>
        <w:spacing w:line="259" w:lineRule="auto"/>
        <w:rPr>
          <w:rFonts w:ascii="StobiSerif Regular" w:hAnsi="StobiSerif Regular" w:cstheme="minorHAnsi"/>
        </w:rPr>
      </w:pPr>
    </w:p>
    <w:p w14:paraId="35ACCBD7" w14:textId="77777777" w:rsidR="007710DD" w:rsidRDefault="007710DD" w:rsidP="003C1985">
      <w:pPr>
        <w:spacing w:line="259" w:lineRule="auto"/>
        <w:rPr>
          <w:rFonts w:ascii="StobiSerif Regular" w:hAnsi="StobiSerif Regular" w:cstheme="minorHAnsi"/>
        </w:rPr>
      </w:pPr>
    </w:p>
    <w:p w14:paraId="54F738BA" w14:textId="77777777" w:rsidR="007710DD" w:rsidRDefault="007710DD" w:rsidP="003C1985">
      <w:pPr>
        <w:spacing w:line="259" w:lineRule="auto"/>
        <w:rPr>
          <w:rFonts w:ascii="StobiSerif Regular" w:hAnsi="StobiSerif Regular" w:cstheme="minorHAnsi"/>
        </w:rPr>
      </w:pPr>
    </w:p>
    <w:p w14:paraId="062A0252" w14:textId="77777777" w:rsidR="007710DD" w:rsidRDefault="007710DD" w:rsidP="003C1985">
      <w:pPr>
        <w:spacing w:line="259" w:lineRule="auto"/>
        <w:rPr>
          <w:rFonts w:ascii="StobiSerif Regular" w:hAnsi="StobiSerif Regular" w:cstheme="minorHAnsi"/>
        </w:rPr>
      </w:pPr>
    </w:p>
    <w:p w14:paraId="02706EE5" w14:textId="77777777" w:rsidR="007710DD" w:rsidRDefault="007710DD" w:rsidP="003C1985">
      <w:pPr>
        <w:spacing w:line="259" w:lineRule="auto"/>
        <w:rPr>
          <w:rFonts w:ascii="StobiSerif Regular" w:hAnsi="StobiSerif Regular" w:cstheme="minorHAnsi"/>
        </w:rPr>
      </w:pPr>
    </w:p>
    <w:p w14:paraId="731006A3" w14:textId="77777777" w:rsidR="007710DD" w:rsidRDefault="007710DD" w:rsidP="003C1985">
      <w:pPr>
        <w:spacing w:line="259" w:lineRule="auto"/>
        <w:rPr>
          <w:rFonts w:ascii="StobiSerif Regular" w:hAnsi="StobiSerif Regular" w:cstheme="minorHAnsi"/>
        </w:rPr>
      </w:pPr>
    </w:p>
    <w:p w14:paraId="2B9E4CED" w14:textId="77777777" w:rsidR="007710DD" w:rsidRDefault="007710DD" w:rsidP="003C1985">
      <w:pPr>
        <w:spacing w:line="259" w:lineRule="auto"/>
        <w:rPr>
          <w:rFonts w:ascii="StobiSerif Regular" w:hAnsi="StobiSerif Regular" w:cstheme="minorHAnsi"/>
        </w:rPr>
      </w:pPr>
    </w:p>
    <w:p w14:paraId="7B2CDB66" w14:textId="77777777" w:rsidR="007710DD" w:rsidRDefault="007710DD" w:rsidP="003C1985">
      <w:pPr>
        <w:spacing w:line="259" w:lineRule="auto"/>
        <w:rPr>
          <w:rFonts w:ascii="StobiSerif Regular" w:hAnsi="StobiSerif Regular" w:cstheme="minorHAnsi"/>
        </w:rPr>
      </w:pPr>
    </w:p>
    <w:p w14:paraId="5FCF7116" w14:textId="77777777" w:rsidR="007710DD" w:rsidRDefault="007710DD" w:rsidP="003C1985">
      <w:pPr>
        <w:spacing w:line="259" w:lineRule="auto"/>
        <w:rPr>
          <w:rFonts w:ascii="StobiSerif Regular" w:hAnsi="StobiSerif Regular" w:cstheme="minorHAnsi"/>
        </w:rPr>
      </w:pPr>
    </w:p>
    <w:p w14:paraId="049E6084" w14:textId="77777777" w:rsidR="007710DD" w:rsidRDefault="007710DD" w:rsidP="003C1985">
      <w:pPr>
        <w:spacing w:line="259" w:lineRule="auto"/>
        <w:rPr>
          <w:rFonts w:ascii="StobiSerif Regular" w:hAnsi="StobiSerif Regular" w:cstheme="minorHAnsi"/>
        </w:rPr>
      </w:pPr>
    </w:p>
    <w:p w14:paraId="7434AA57" w14:textId="77777777" w:rsidR="007710DD" w:rsidRDefault="007710DD" w:rsidP="003C1985">
      <w:pPr>
        <w:spacing w:line="259" w:lineRule="auto"/>
        <w:rPr>
          <w:rFonts w:ascii="StobiSerif Regular" w:hAnsi="StobiSerif Regular" w:cstheme="minorHAnsi"/>
        </w:rPr>
      </w:pPr>
    </w:p>
    <w:p w14:paraId="423ABF55" w14:textId="77777777" w:rsidR="007710DD" w:rsidRDefault="007710DD" w:rsidP="003C1985">
      <w:pPr>
        <w:spacing w:line="259" w:lineRule="auto"/>
        <w:rPr>
          <w:rFonts w:ascii="StobiSerif Regular" w:hAnsi="StobiSerif Regular" w:cstheme="minorHAnsi"/>
        </w:rPr>
      </w:pPr>
    </w:p>
    <w:p w14:paraId="1D3D17A7" w14:textId="77777777" w:rsidR="007710DD" w:rsidRDefault="007710DD" w:rsidP="003C1985">
      <w:pPr>
        <w:spacing w:line="259" w:lineRule="auto"/>
        <w:rPr>
          <w:rFonts w:ascii="StobiSerif Regular" w:hAnsi="StobiSerif Regular" w:cstheme="minorHAnsi"/>
        </w:rPr>
      </w:pPr>
    </w:p>
    <w:p w14:paraId="496EDCF3" w14:textId="77777777" w:rsidR="007710DD" w:rsidRDefault="007710DD" w:rsidP="003C1985">
      <w:pPr>
        <w:spacing w:line="259" w:lineRule="auto"/>
        <w:rPr>
          <w:rFonts w:ascii="StobiSerif Regular" w:hAnsi="StobiSerif Regular" w:cstheme="minorHAnsi"/>
        </w:rPr>
      </w:pPr>
    </w:p>
    <w:p w14:paraId="70A55F25" w14:textId="77777777" w:rsidR="007710DD" w:rsidRDefault="007710DD" w:rsidP="003C1985">
      <w:pPr>
        <w:spacing w:line="259" w:lineRule="auto"/>
        <w:rPr>
          <w:rFonts w:ascii="StobiSerif Regular" w:hAnsi="StobiSerif Regular" w:cstheme="minorHAnsi"/>
        </w:rPr>
      </w:pPr>
    </w:p>
    <w:p w14:paraId="1A620E6B" w14:textId="77777777" w:rsidR="007710DD" w:rsidRDefault="007710DD" w:rsidP="003C1985">
      <w:pPr>
        <w:spacing w:line="259" w:lineRule="auto"/>
        <w:rPr>
          <w:rFonts w:ascii="StobiSerif Regular" w:hAnsi="StobiSerif Regular" w:cstheme="minorHAnsi"/>
        </w:rPr>
      </w:pPr>
    </w:p>
    <w:p w14:paraId="495A68C0" w14:textId="77777777" w:rsidR="007710DD" w:rsidRDefault="007710DD" w:rsidP="003C1985">
      <w:pPr>
        <w:spacing w:line="259" w:lineRule="auto"/>
        <w:rPr>
          <w:rFonts w:ascii="StobiSerif Regular" w:hAnsi="StobiSerif Regular" w:cstheme="minorHAnsi"/>
        </w:rPr>
      </w:pPr>
    </w:p>
    <w:p w14:paraId="1404D006" w14:textId="77777777" w:rsidR="007710DD" w:rsidRDefault="007710DD" w:rsidP="003C1985">
      <w:pPr>
        <w:spacing w:line="259" w:lineRule="auto"/>
        <w:rPr>
          <w:rFonts w:ascii="StobiSerif Regular" w:hAnsi="StobiSerif Regular" w:cstheme="minorHAnsi"/>
        </w:rPr>
      </w:pPr>
    </w:p>
    <w:p w14:paraId="6B266C8D" w14:textId="77777777" w:rsidR="007710DD" w:rsidRDefault="007710DD" w:rsidP="003C1985">
      <w:pPr>
        <w:spacing w:line="259" w:lineRule="auto"/>
        <w:rPr>
          <w:rFonts w:ascii="StobiSerif Regular" w:hAnsi="StobiSerif Regular" w:cstheme="minorHAnsi"/>
        </w:rPr>
      </w:pPr>
    </w:p>
    <w:p w14:paraId="18EE602E" w14:textId="77777777" w:rsidR="007710DD" w:rsidRDefault="007710DD" w:rsidP="003C1985">
      <w:pPr>
        <w:spacing w:line="259" w:lineRule="auto"/>
        <w:rPr>
          <w:rFonts w:ascii="StobiSerif Regular" w:hAnsi="StobiSerif Regular" w:cstheme="minorHAnsi"/>
        </w:rPr>
      </w:pPr>
    </w:p>
    <w:p w14:paraId="0AF3ADCB" w14:textId="77777777" w:rsidR="007710DD" w:rsidRDefault="007710DD" w:rsidP="003C1985">
      <w:pPr>
        <w:spacing w:line="259" w:lineRule="auto"/>
        <w:rPr>
          <w:rFonts w:ascii="StobiSerif Regular" w:hAnsi="StobiSerif Regular" w:cstheme="minorHAnsi"/>
        </w:rPr>
      </w:pPr>
    </w:p>
    <w:p w14:paraId="72F5596B" w14:textId="77777777" w:rsidR="007710DD" w:rsidRDefault="007710DD" w:rsidP="003C1985">
      <w:pPr>
        <w:spacing w:line="259" w:lineRule="auto"/>
        <w:rPr>
          <w:rFonts w:ascii="StobiSerif Regular" w:hAnsi="StobiSerif Regular" w:cstheme="minorHAnsi"/>
        </w:rPr>
      </w:pPr>
    </w:p>
    <w:p w14:paraId="714503F4" w14:textId="77777777" w:rsidR="0011401F" w:rsidRPr="00B32951" w:rsidRDefault="0011401F" w:rsidP="003C1985">
      <w:pPr>
        <w:spacing w:line="259" w:lineRule="auto"/>
        <w:rPr>
          <w:rFonts w:ascii="StobiSerif Regular" w:hAnsi="StobiSerif Regular" w:cstheme="minorHAnsi"/>
        </w:rPr>
      </w:pPr>
    </w:p>
    <w:p w14:paraId="1FE4DBDA" w14:textId="77BA209B" w:rsidR="008F7382" w:rsidRPr="00B32951" w:rsidRDefault="003C1985" w:rsidP="00DA009A">
      <w:pPr>
        <w:spacing w:after="120"/>
        <w:rPr>
          <w:rFonts w:ascii="StobiSerif Regular" w:hAnsi="StobiSerif Regular" w:cstheme="minorHAnsi"/>
          <w:b/>
          <w:bCs/>
        </w:rPr>
      </w:pPr>
      <w:r w:rsidRPr="00B32951">
        <w:rPr>
          <w:rFonts w:ascii="StobiSerif Regular" w:hAnsi="StobiSerif Regular" w:cstheme="minorHAnsi"/>
          <w:b/>
          <w:bCs/>
        </w:rPr>
        <w:t xml:space="preserve">5. </w:t>
      </w:r>
      <w:r w:rsidR="008F7382" w:rsidRPr="00B32951">
        <w:rPr>
          <w:rFonts w:ascii="StobiSerif Regular" w:hAnsi="StobiSerif Regular" w:cstheme="minorHAnsi"/>
          <w:b/>
          <w:bCs/>
        </w:rPr>
        <w:t>Евалуација на квалитет на институциите</w:t>
      </w:r>
    </w:p>
    <w:p w14:paraId="53F255DF" w14:textId="248B13B4" w:rsidR="00920A59" w:rsidRPr="003C1985" w:rsidRDefault="001E69CD" w:rsidP="00B32951">
      <w:pPr>
        <w:suppressAutoHyphens w:val="0"/>
        <w:spacing w:line="259" w:lineRule="auto"/>
        <w:rPr>
          <w:rFonts w:ascii="StobiSerif Regular" w:hAnsi="StobiSerif Regular" w:cstheme="minorHAnsi"/>
        </w:rPr>
      </w:pPr>
      <w:r w:rsidRPr="00B32951">
        <w:rPr>
          <w:rFonts w:ascii="StobiSerif Regular" w:hAnsi="StobiSerif Regular" w:cstheme="minorHAnsi"/>
        </w:rPr>
        <w:t>Согласно евалуација на институциите</w:t>
      </w:r>
      <w:r w:rsidR="00DA009A" w:rsidRPr="00B32951">
        <w:rPr>
          <w:rFonts w:ascii="StobiSerif Regular" w:hAnsi="StobiSerif Regular" w:cstheme="minorHAnsi"/>
        </w:rPr>
        <w:t xml:space="preserve"> </w:t>
      </w:r>
      <w:r w:rsidR="00DA009A" w:rsidRPr="003C1985">
        <w:rPr>
          <w:rFonts w:ascii="StobiSerif Regular" w:hAnsi="StobiSerif Regular" w:cstheme="minorHAnsi"/>
        </w:rPr>
        <w:t xml:space="preserve">преку оценка на: пополнетиот прашалник од институцијата (интерна евалуација), резултатите од спроведената анкета и резултатите од спроведеното истражување „таен клиент“, </w:t>
      </w:r>
      <w:r w:rsidR="000D1C8B" w:rsidRPr="003C1985">
        <w:rPr>
          <w:rFonts w:ascii="StobiSerif Regular" w:hAnsi="StobiSerif Regular" w:cstheme="minorHAnsi"/>
        </w:rPr>
        <w:t xml:space="preserve">од можни 1000 бода </w:t>
      </w:r>
      <w:r w:rsidR="008F7382" w:rsidRPr="003C1985">
        <w:rPr>
          <w:rFonts w:ascii="StobiSerif Regular" w:hAnsi="StobiSerif Regular" w:cstheme="minorHAnsi"/>
        </w:rPr>
        <w:t>рангирањето е следно:</w:t>
      </w:r>
    </w:p>
    <w:p w14:paraId="2E8EB206" w14:textId="77777777" w:rsidR="00DA009A" w:rsidRDefault="00DA009A" w:rsidP="001E69CD">
      <w:pPr>
        <w:spacing w:after="120"/>
        <w:rPr>
          <w:rFonts w:ascii="StobiSerif Regular" w:eastAsiaTheme="minorHAnsi" w:hAnsi="StobiSerif Regular" w:cstheme="minorHAnsi"/>
          <w:sz w:val="22"/>
          <w:szCs w:val="22"/>
          <w:lang w:eastAsia="en-US"/>
        </w:rPr>
      </w:pPr>
    </w:p>
    <w:p w14:paraId="151ED444" w14:textId="77777777" w:rsidR="007710DD" w:rsidRDefault="007710DD" w:rsidP="001E69CD">
      <w:pPr>
        <w:spacing w:after="120"/>
        <w:rPr>
          <w:rFonts w:ascii="StobiSerif Regular" w:eastAsiaTheme="minorHAnsi" w:hAnsi="StobiSerif Regular" w:cstheme="minorHAnsi"/>
          <w:sz w:val="22"/>
          <w:szCs w:val="22"/>
          <w:lang w:eastAsia="en-US"/>
        </w:rPr>
      </w:pPr>
    </w:p>
    <w:p w14:paraId="5F871541" w14:textId="77777777" w:rsidR="007710DD" w:rsidRDefault="007710DD" w:rsidP="001E69CD">
      <w:pPr>
        <w:spacing w:after="120"/>
        <w:rPr>
          <w:rFonts w:ascii="StobiSerif Regular" w:eastAsiaTheme="minorHAnsi" w:hAnsi="StobiSerif Regular" w:cstheme="minorHAnsi"/>
          <w:sz w:val="22"/>
          <w:szCs w:val="22"/>
          <w:lang w:eastAsia="en-US"/>
        </w:rPr>
      </w:pPr>
    </w:p>
    <w:p w14:paraId="381054FB" w14:textId="77777777" w:rsidR="007710DD" w:rsidRPr="001E69CD" w:rsidRDefault="007710DD" w:rsidP="001E69CD">
      <w:pPr>
        <w:spacing w:after="120"/>
        <w:rPr>
          <w:rFonts w:ascii="StobiSerif Regular" w:eastAsiaTheme="minorHAnsi" w:hAnsi="StobiSerif Regular" w:cstheme="minorHAnsi"/>
          <w:sz w:val="22"/>
          <w:szCs w:val="22"/>
          <w:lang w:eastAsia="en-US"/>
        </w:rPr>
      </w:pPr>
    </w:p>
    <w:tbl>
      <w:tblPr>
        <w:tblW w:w="10060" w:type="dxa"/>
        <w:jc w:val="center"/>
        <w:tblLook w:val="04A0" w:firstRow="1" w:lastRow="0" w:firstColumn="1" w:lastColumn="0" w:noHBand="0" w:noVBand="1"/>
      </w:tblPr>
      <w:tblGrid>
        <w:gridCol w:w="4359"/>
        <w:gridCol w:w="1286"/>
        <w:gridCol w:w="1296"/>
        <w:gridCol w:w="992"/>
        <w:gridCol w:w="1276"/>
        <w:gridCol w:w="851"/>
      </w:tblGrid>
      <w:tr w:rsidR="00730ABC" w:rsidRPr="00DA009A" w14:paraId="2C3ABEB1" w14:textId="77777777" w:rsidTr="00920A59">
        <w:trPr>
          <w:trHeight w:val="960"/>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BDCA" w14:textId="77777777" w:rsidR="00DA009A" w:rsidRPr="00DA009A" w:rsidRDefault="00DA009A" w:rsidP="00DA009A">
            <w:pPr>
              <w:suppressAutoHyphens w:val="0"/>
              <w:rPr>
                <w:rFonts w:ascii="StobiSerif Regular" w:hAnsi="StobiSerif Regular" w:cs="Calibri"/>
                <w:b/>
                <w:bCs/>
                <w:color w:val="000000"/>
                <w:sz w:val="22"/>
                <w:szCs w:val="22"/>
                <w:lang w:eastAsia="mk-MK"/>
              </w:rPr>
            </w:pPr>
            <w:r w:rsidRPr="00DA009A">
              <w:rPr>
                <w:rFonts w:ascii="StobiSerif Regular" w:hAnsi="StobiSerif Regular" w:cs="Calibri"/>
                <w:b/>
                <w:bCs/>
                <w:color w:val="000000"/>
                <w:sz w:val="22"/>
                <w:szCs w:val="22"/>
                <w:lang w:eastAsia="mk-MK"/>
              </w:rPr>
              <w:t>Назив на институција</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14:paraId="1A96DA35" w14:textId="77777777" w:rsidR="00DA009A" w:rsidRPr="00DA009A" w:rsidRDefault="00DA009A" w:rsidP="00DA009A">
            <w:pPr>
              <w:suppressAutoHyphens w:val="0"/>
              <w:jc w:val="center"/>
              <w:rPr>
                <w:rFonts w:ascii="Calibri" w:hAnsi="Calibri" w:cs="Calibri"/>
                <w:b/>
                <w:bCs/>
                <w:color w:val="000000"/>
                <w:sz w:val="22"/>
                <w:szCs w:val="22"/>
                <w:lang w:eastAsia="mk-MK"/>
              </w:rPr>
            </w:pPr>
            <w:r w:rsidRPr="00DA009A">
              <w:rPr>
                <w:rFonts w:ascii="Calibri" w:hAnsi="Calibri" w:cs="Calibri"/>
                <w:b/>
                <w:bCs/>
                <w:color w:val="000000"/>
                <w:sz w:val="22"/>
                <w:szCs w:val="22"/>
                <w:lang w:eastAsia="mk-MK"/>
              </w:rPr>
              <w:t>интерна евалуација</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14:paraId="283DE56B" w14:textId="77777777" w:rsidR="00DA009A" w:rsidRPr="00DA009A" w:rsidRDefault="00DA009A" w:rsidP="00DA009A">
            <w:pPr>
              <w:suppressAutoHyphens w:val="0"/>
              <w:jc w:val="center"/>
              <w:rPr>
                <w:rFonts w:ascii="Calibri" w:hAnsi="Calibri" w:cs="Calibri"/>
                <w:b/>
                <w:bCs/>
                <w:color w:val="000000"/>
                <w:sz w:val="22"/>
                <w:szCs w:val="22"/>
                <w:lang w:eastAsia="mk-MK"/>
              </w:rPr>
            </w:pPr>
            <w:r w:rsidRPr="00DA009A">
              <w:rPr>
                <w:rFonts w:ascii="Calibri" w:hAnsi="Calibri" w:cs="Calibri"/>
                <w:b/>
                <w:bCs/>
                <w:color w:val="000000"/>
                <w:sz w:val="22"/>
                <w:szCs w:val="22"/>
                <w:lang w:eastAsia="mk-MK"/>
              </w:rPr>
              <w:t>таен клиент</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996FC41" w14:textId="77777777" w:rsidR="00DA009A" w:rsidRPr="00DA009A" w:rsidRDefault="00DA009A" w:rsidP="00DA009A">
            <w:pPr>
              <w:suppressAutoHyphens w:val="0"/>
              <w:jc w:val="center"/>
              <w:rPr>
                <w:rFonts w:ascii="Calibri" w:hAnsi="Calibri" w:cs="Calibri"/>
                <w:b/>
                <w:bCs/>
                <w:color w:val="000000"/>
                <w:sz w:val="22"/>
                <w:szCs w:val="22"/>
                <w:lang w:eastAsia="mk-MK"/>
              </w:rPr>
            </w:pPr>
            <w:r w:rsidRPr="00DA009A">
              <w:rPr>
                <w:rFonts w:ascii="Calibri" w:hAnsi="Calibri" w:cs="Calibri"/>
                <w:b/>
                <w:bCs/>
                <w:color w:val="000000"/>
                <w:sz w:val="22"/>
                <w:szCs w:val="22"/>
                <w:lang w:eastAsia="mk-MK"/>
              </w:rPr>
              <w:t>анкета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0584744" w14:textId="09EA2B48" w:rsidR="00DA009A" w:rsidRPr="00DA009A" w:rsidRDefault="004C0037" w:rsidP="00DA009A">
            <w:pPr>
              <w:suppressAutoHyphens w:val="0"/>
              <w:jc w:val="center"/>
              <w:rPr>
                <w:rFonts w:ascii="Calibri" w:hAnsi="Calibri" w:cs="Calibri"/>
                <w:b/>
                <w:bCs/>
                <w:color w:val="000000"/>
                <w:sz w:val="22"/>
                <w:szCs w:val="22"/>
                <w:lang w:eastAsia="mk-MK"/>
              </w:rPr>
            </w:pPr>
            <w:r>
              <w:rPr>
                <w:rFonts w:ascii="Calibri" w:hAnsi="Calibri" w:cs="Calibri"/>
                <w:b/>
                <w:bCs/>
                <w:color w:val="000000"/>
                <w:sz w:val="22"/>
                <w:szCs w:val="22"/>
                <w:lang w:eastAsia="mk-MK"/>
              </w:rPr>
              <w:t>в</w:t>
            </w:r>
            <w:r w:rsidR="00DA009A" w:rsidRPr="00DA009A">
              <w:rPr>
                <w:rFonts w:ascii="Calibri" w:hAnsi="Calibri" w:cs="Calibri"/>
                <w:b/>
                <w:bCs/>
                <w:color w:val="000000"/>
                <w:sz w:val="22"/>
                <w:szCs w:val="22"/>
                <w:lang w:eastAsia="mk-MK"/>
              </w:rPr>
              <w:t>купно бодови</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5B2ECFF" w14:textId="77777777" w:rsidR="00DA009A" w:rsidRPr="00DA009A" w:rsidRDefault="00DA009A" w:rsidP="00DA009A">
            <w:pPr>
              <w:suppressAutoHyphens w:val="0"/>
              <w:jc w:val="center"/>
              <w:rPr>
                <w:rFonts w:ascii="Calibri" w:hAnsi="Calibri" w:cs="Calibri"/>
                <w:b/>
                <w:bCs/>
                <w:color w:val="000000"/>
                <w:sz w:val="22"/>
                <w:szCs w:val="22"/>
                <w:lang w:eastAsia="mk-MK"/>
              </w:rPr>
            </w:pPr>
            <w:r w:rsidRPr="00DA009A">
              <w:rPr>
                <w:rFonts w:ascii="Calibri" w:hAnsi="Calibri" w:cs="Calibri"/>
                <w:b/>
                <w:bCs/>
                <w:color w:val="000000"/>
                <w:sz w:val="22"/>
                <w:szCs w:val="22"/>
                <w:lang w:eastAsia="mk-MK"/>
              </w:rPr>
              <w:t>ранг листа</w:t>
            </w:r>
          </w:p>
        </w:tc>
      </w:tr>
      <w:tr w:rsidR="007710DD" w:rsidRPr="00DA009A" w14:paraId="729FCCA2" w14:textId="77777777" w:rsidTr="007710DD">
        <w:trPr>
          <w:trHeight w:val="333"/>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1B788" w14:textId="14E7F85F" w:rsidR="007710DD" w:rsidRPr="00DA009A" w:rsidRDefault="007710DD" w:rsidP="005211EE">
            <w:pPr>
              <w:suppressAutoHyphens w:val="0"/>
              <w:jc w:val="left"/>
              <w:rPr>
                <w:rFonts w:ascii="StobiSerif Regular" w:hAnsi="StobiSerif Regular" w:cs="Calibri"/>
                <w:b/>
                <w:bCs/>
                <w:color w:val="000000"/>
                <w:sz w:val="22"/>
                <w:szCs w:val="22"/>
                <w:lang w:eastAsia="mk-MK"/>
              </w:rPr>
            </w:pPr>
            <w:r w:rsidRPr="00DA009A">
              <w:rPr>
                <w:rFonts w:ascii="StobiSerif Regular" w:hAnsi="StobiSerif Regular" w:cs="Calibri"/>
                <w:color w:val="000000"/>
                <w:sz w:val="22"/>
                <w:szCs w:val="22"/>
                <w:lang w:eastAsia="mk-MK"/>
              </w:rPr>
              <w:t>ЦРМ</w:t>
            </w:r>
          </w:p>
        </w:tc>
        <w:tc>
          <w:tcPr>
            <w:tcW w:w="1286" w:type="dxa"/>
            <w:tcBorders>
              <w:top w:val="single" w:sz="4" w:space="0" w:color="auto"/>
              <w:left w:val="nil"/>
              <w:bottom w:val="single" w:sz="4" w:space="0" w:color="auto"/>
              <w:right w:val="single" w:sz="4" w:space="0" w:color="auto"/>
            </w:tcBorders>
            <w:shd w:val="clear" w:color="auto" w:fill="auto"/>
            <w:vAlign w:val="bottom"/>
          </w:tcPr>
          <w:p w14:paraId="729A9D11" w14:textId="13706D02"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491,6</w:t>
            </w:r>
          </w:p>
        </w:tc>
        <w:tc>
          <w:tcPr>
            <w:tcW w:w="1296" w:type="dxa"/>
            <w:tcBorders>
              <w:top w:val="single" w:sz="4" w:space="0" w:color="auto"/>
              <w:left w:val="nil"/>
              <w:bottom w:val="single" w:sz="4" w:space="0" w:color="auto"/>
              <w:right w:val="single" w:sz="4" w:space="0" w:color="auto"/>
            </w:tcBorders>
            <w:shd w:val="clear" w:color="auto" w:fill="auto"/>
            <w:vAlign w:val="bottom"/>
          </w:tcPr>
          <w:p w14:paraId="30888C03" w14:textId="5B12B214"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132,42</w:t>
            </w:r>
          </w:p>
        </w:tc>
        <w:tc>
          <w:tcPr>
            <w:tcW w:w="992" w:type="dxa"/>
            <w:tcBorders>
              <w:top w:val="single" w:sz="4" w:space="0" w:color="auto"/>
              <w:left w:val="nil"/>
              <w:bottom w:val="single" w:sz="4" w:space="0" w:color="auto"/>
              <w:right w:val="single" w:sz="4" w:space="0" w:color="auto"/>
            </w:tcBorders>
            <w:shd w:val="clear" w:color="auto" w:fill="auto"/>
            <w:vAlign w:val="bottom"/>
          </w:tcPr>
          <w:p w14:paraId="01702C3B" w14:textId="774686A0"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125,85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D7E71" w14:textId="67A78E66" w:rsidR="007710DD"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b/>
                <w:color w:val="000000"/>
                <w:sz w:val="22"/>
                <w:szCs w:val="22"/>
                <w:lang w:eastAsia="mk-MK"/>
              </w:rPr>
              <w:t>749,87</w:t>
            </w:r>
          </w:p>
        </w:tc>
        <w:tc>
          <w:tcPr>
            <w:tcW w:w="851" w:type="dxa"/>
            <w:tcBorders>
              <w:top w:val="single" w:sz="4" w:space="0" w:color="auto"/>
              <w:left w:val="nil"/>
              <w:bottom w:val="single" w:sz="4" w:space="0" w:color="auto"/>
              <w:right w:val="single" w:sz="4" w:space="0" w:color="auto"/>
            </w:tcBorders>
            <w:shd w:val="clear" w:color="auto" w:fill="auto"/>
            <w:vAlign w:val="bottom"/>
          </w:tcPr>
          <w:p w14:paraId="68C898EE" w14:textId="52C07219" w:rsidR="007710DD" w:rsidRPr="00DA009A" w:rsidRDefault="007710DD" w:rsidP="005211EE">
            <w:pPr>
              <w:suppressAutoHyphens w:val="0"/>
              <w:jc w:val="center"/>
              <w:rPr>
                <w:rFonts w:ascii="Calibri" w:hAnsi="Calibri" w:cs="Calibri"/>
                <w:b/>
                <w:bCs/>
                <w:color w:val="000000"/>
                <w:sz w:val="22"/>
                <w:szCs w:val="22"/>
                <w:lang w:eastAsia="mk-MK"/>
              </w:rPr>
            </w:pPr>
            <w:r>
              <w:rPr>
                <w:rFonts w:ascii="Calibri" w:hAnsi="Calibri" w:cs="Calibri"/>
                <w:b/>
                <w:bCs/>
                <w:color w:val="000000"/>
                <w:sz w:val="22"/>
                <w:szCs w:val="22"/>
                <w:lang w:eastAsia="mk-MK"/>
              </w:rPr>
              <w:t>1</w:t>
            </w:r>
          </w:p>
        </w:tc>
      </w:tr>
      <w:tr w:rsidR="007710DD" w:rsidRPr="00DA009A" w14:paraId="7DCC962F" w14:textId="77777777" w:rsidTr="007710DD">
        <w:trPr>
          <w:trHeight w:val="423"/>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97D6" w14:textId="22301780" w:rsidR="007710DD" w:rsidRPr="00DA009A" w:rsidRDefault="007710DD" w:rsidP="005211EE">
            <w:pPr>
              <w:suppressAutoHyphens w:val="0"/>
              <w:jc w:val="left"/>
              <w:rPr>
                <w:rFonts w:ascii="StobiSerif Regular" w:hAnsi="StobiSerif Regular" w:cs="Calibri"/>
                <w:b/>
                <w:bCs/>
                <w:color w:val="000000"/>
                <w:sz w:val="22"/>
                <w:szCs w:val="22"/>
                <w:lang w:eastAsia="mk-MK"/>
              </w:rPr>
            </w:pPr>
            <w:r w:rsidRPr="00DA009A">
              <w:rPr>
                <w:rFonts w:ascii="StobiSerif Regular" w:hAnsi="StobiSerif Regular" w:cs="Calibri"/>
                <w:color w:val="000000"/>
                <w:sz w:val="22"/>
                <w:szCs w:val="22"/>
                <w:lang w:eastAsia="mk-MK"/>
              </w:rPr>
              <w:t>АВРМ</w:t>
            </w:r>
          </w:p>
        </w:tc>
        <w:tc>
          <w:tcPr>
            <w:tcW w:w="1286" w:type="dxa"/>
            <w:tcBorders>
              <w:top w:val="single" w:sz="4" w:space="0" w:color="auto"/>
              <w:left w:val="nil"/>
              <w:bottom w:val="single" w:sz="4" w:space="0" w:color="auto"/>
              <w:right w:val="single" w:sz="4" w:space="0" w:color="auto"/>
            </w:tcBorders>
            <w:shd w:val="clear" w:color="auto" w:fill="auto"/>
            <w:vAlign w:val="bottom"/>
          </w:tcPr>
          <w:p w14:paraId="2A6CC263" w14:textId="1F7756BB"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415,1</w:t>
            </w:r>
          </w:p>
        </w:tc>
        <w:tc>
          <w:tcPr>
            <w:tcW w:w="1296" w:type="dxa"/>
            <w:tcBorders>
              <w:top w:val="single" w:sz="4" w:space="0" w:color="auto"/>
              <w:left w:val="nil"/>
              <w:bottom w:val="single" w:sz="4" w:space="0" w:color="auto"/>
              <w:right w:val="single" w:sz="4" w:space="0" w:color="auto"/>
            </w:tcBorders>
            <w:shd w:val="clear" w:color="auto" w:fill="auto"/>
            <w:vAlign w:val="bottom"/>
          </w:tcPr>
          <w:p w14:paraId="296A1B0B" w14:textId="404713CF"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128,07</w:t>
            </w:r>
          </w:p>
        </w:tc>
        <w:tc>
          <w:tcPr>
            <w:tcW w:w="992" w:type="dxa"/>
            <w:tcBorders>
              <w:top w:val="single" w:sz="4" w:space="0" w:color="auto"/>
              <w:left w:val="nil"/>
              <w:bottom w:val="single" w:sz="4" w:space="0" w:color="auto"/>
              <w:right w:val="single" w:sz="4" w:space="0" w:color="auto"/>
            </w:tcBorders>
            <w:shd w:val="clear" w:color="auto" w:fill="auto"/>
            <w:vAlign w:val="bottom"/>
          </w:tcPr>
          <w:p w14:paraId="669C4EFC" w14:textId="01CFB7CE"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130,58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EF929" w14:textId="18CB17E1" w:rsidR="007710DD"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673,75</w:t>
            </w:r>
          </w:p>
        </w:tc>
        <w:tc>
          <w:tcPr>
            <w:tcW w:w="851" w:type="dxa"/>
            <w:tcBorders>
              <w:top w:val="single" w:sz="4" w:space="0" w:color="auto"/>
              <w:left w:val="nil"/>
              <w:bottom w:val="single" w:sz="4" w:space="0" w:color="auto"/>
              <w:right w:val="single" w:sz="4" w:space="0" w:color="auto"/>
            </w:tcBorders>
            <w:shd w:val="clear" w:color="auto" w:fill="auto"/>
            <w:vAlign w:val="bottom"/>
          </w:tcPr>
          <w:p w14:paraId="28F944AE" w14:textId="425FD580"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2</w:t>
            </w:r>
          </w:p>
        </w:tc>
      </w:tr>
      <w:tr w:rsidR="007710DD" w:rsidRPr="00DA009A" w14:paraId="5584A1B5" w14:textId="77777777" w:rsidTr="007710DD">
        <w:trPr>
          <w:trHeight w:val="273"/>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E3A91" w14:textId="2A024BD0" w:rsidR="007710DD" w:rsidRPr="00DA009A" w:rsidRDefault="007710DD" w:rsidP="005211EE">
            <w:pPr>
              <w:suppressAutoHyphens w:val="0"/>
              <w:jc w:val="left"/>
              <w:rPr>
                <w:rFonts w:ascii="StobiSerif Regular" w:hAnsi="StobiSerif Regular" w:cs="Calibri"/>
                <w:b/>
                <w:bCs/>
                <w:color w:val="000000"/>
                <w:sz w:val="22"/>
                <w:szCs w:val="22"/>
                <w:lang w:eastAsia="mk-MK"/>
              </w:rPr>
            </w:pPr>
            <w:r w:rsidRPr="00DA009A">
              <w:rPr>
                <w:rFonts w:ascii="StobiSerif Regular" w:hAnsi="StobiSerif Regular" w:cs="Calibri"/>
                <w:color w:val="000000"/>
                <w:sz w:val="22"/>
                <w:szCs w:val="22"/>
                <w:lang w:eastAsia="mk-MK"/>
              </w:rPr>
              <w:t>ФИНКИ</w:t>
            </w:r>
          </w:p>
        </w:tc>
        <w:tc>
          <w:tcPr>
            <w:tcW w:w="1286" w:type="dxa"/>
            <w:tcBorders>
              <w:top w:val="single" w:sz="4" w:space="0" w:color="auto"/>
              <w:left w:val="nil"/>
              <w:bottom w:val="single" w:sz="4" w:space="0" w:color="auto"/>
              <w:right w:val="single" w:sz="4" w:space="0" w:color="auto"/>
            </w:tcBorders>
            <w:shd w:val="clear" w:color="auto" w:fill="auto"/>
            <w:vAlign w:val="bottom"/>
          </w:tcPr>
          <w:p w14:paraId="6C29D438" w14:textId="706BBBC8"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424,8</w:t>
            </w:r>
          </w:p>
        </w:tc>
        <w:tc>
          <w:tcPr>
            <w:tcW w:w="1296" w:type="dxa"/>
            <w:tcBorders>
              <w:top w:val="single" w:sz="4" w:space="0" w:color="auto"/>
              <w:left w:val="nil"/>
              <w:bottom w:val="single" w:sz="4" w:space="0" w:color="auto"/>
              <w:right w:val="single" w:sz="4" w:space="0" w:color="auto"/>
            </w:tcBorders>
            <w:shd w:val="clear" w:color="auto" w:fill="auto"/>
            <w:vAlign w:val="bottom"/>
          </w:tcPr>
          <w:p w14:paraId="1BBF58D0" w14:textId="700FDA98"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115,47</w:t>
            </w:r>
          </w:p>
        </w:tc>
        <w:tc>
          <w:tcPr>
            <w:tcW w:w="992" w:type="dxa"/>
            <w:tcBorders>
              <w:top w:val="single" w:sz="4" w:space="0" w:color="auto"/>
              <w:left w:val="nil"/>
              <w:bottom w:val="single" w:sz="4" w:space="0" w:color="auto"/>
              <w:right w:val="single" w:sz="4" w:space="0" w:color="auto"/>
            </w:tcBorders>
            <w:shd w:val="clear" w:color="auto" w:fill="auto"/>
            <w:vAlign w:val="bottom"/>
          </w:tcPr>
          <w:p w14:paraId="16BEEFC4" w14:textId="2B41EBA3"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121,73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101A1" w14:textId="1AF98DC8" w:rsidR="007710DD"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662</w:t>
            </w:r>
          </w:p>
        </w:tc>
        <w:tc>
          <w:tcPr>
            <w:tcW w:w="851" w:type="dxa"/>
            <w:tcBorders>
              <w:top w:val="single" w:sz="4" w:space="0" w:color="auto"/>
              <w:left w:val="nil"/>
              <w:bottom w:val="single" w:sz="4" w:space="0" w:color="auto"/>
              <w:right w:val="single" w:sz="4" w:space="0" w:color="auto"/>
            </w:tcBorders>
            <w:shd w:val="clear" w:color="auto" w:fill="auto"/>
            <w:vAlign w:val="bottom"/>
          </w:tcPr>
          <w:p w14:paraId="5FA845A5" w14:textId="72C0E2A8"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3</w:t>
            </w:r>
          </w:p>
        </w:tc>
      </w:tr>
      <w:tr w:rsidR="007710DD" w:rsidRPr="00DA009A" w14:paraId="50C51446" w14:textId="77777777" w:rsidTr="007710DD">
        <w:trPr>
          <w:trHeight w:val="560"/>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43C2" w14:textId="35233AE3" w:rsidR="007710DD" w:rsidRPr="00DA009A" w:rsidRDefault="007710DD" w:rsidP="005211EE">
            <w:pPr>
              <w:suppressAutoHyphens w:val="0"/>
              <w:jc w:val="left"/>
              <w:rPr>
                <w:rFonts w:ascii="StobiSerif Regular" w:hAnsi="StobiSerif Regular" w:cs="Calibri"/>
                <w:b/>
                <w:bCs/>
                <w:color w:val="000000"/>
                <w:sz w:val="22"/>
                <w:szCs w:val="22"/>
                <w:lang w:eastAsia="mk-MK"/>
              </w:rPr>
            </w:pPr>
            <w:r w:rsidRPr="00DA009A">
              <w:rPr>
                <w:rFonts w:ascii="StobiSerif Regular" w:hAnsi="StobiSerif Regular" w:cs="Calibri"/>
                <w:color w:val="000000"/>
                <w:sz w:val="22"/>
                <w:szCs w:val="22"/>
                <w:lang w:eastAsia="mk-MK"/>
              </w:rPr>
              <w:t>Министерство за култура и туризам (МКТ)</w:t>
            </w:r>
          </w:p>
        </w:tc>
        <w:tc>
          <w:tcPr>
            <w:tcW w:w="1286" w:type="dxa"/>
            <w:tcBorders>
              <w:top w:val="single" w:sz="4" w:space="0" w:color="auto"/>
              <w:left w:val="nil"/>
              <w:bottom w:val="single" w:sz="4" w:space="0" w:color="auto"/>
              <w:right w:val="single" w:sz="4" w:space="0" w:color="auto"/>
            </w:tcBorders>
            <w:shd w:val="clear" w:color="auto" w:fill="auto"/>
            <w:vAlign w:val="bottom"/>
          </w:tcPr>
          <w:p w14:paraId="68604496" w14:textId="3DD23999"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368,85</w:t>
            </w:r>
          </w:p>
        </w:tc>
        <w:tc>
          <w:tcPr>
            <w:tcW w:w="1296" w:type="dxa"/>
            <w:tcBorders>
              <w:top w:val="single" w:sz="4" w:space="0" w:color="auto"/>
              <w:left w:val="nil"/>
              <w:bottom w:val="single" w:sz="4" w:space="0" w:color="auto"/>
              <w:right w:val="single" w:sz="4" w:space="0" w:color="auto"/>
            </w:tcBorders>
            <w:shd w:val="clear" w:color="auto" w:fill="auto"/>
            <w:vAlign w:val="bottom"/>
          </w:tcPr>
          <w:p w14:paraId="503429E6" w14:textId="44F86EDC"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119,9</w:t>
            </w:r>
          </w:p>
        </w:tc>
        <w:tc>
          <w:tcPr>
            <w:tcW w:w="992" w:type="dxa"/>
            <w:tcBorders>
              <w:top w:val="single" w:sz="4" w:space="0" w:color="auto"/>
              <w:left w:val="nil"/>
              <w:bottom w:val="single" w:sz="4" w:space="0" w:color="auto"/>
              <w:right w:val="single" w:sz="4" w:space="0" w:color="auto"/>
            </w:tcBorders>
            <w:shd w:val="clear" w:color="auto" w:fill="auto"/>
            <w:vAlign w:val="bottom"/>
          </w:tcPr>
          <w:p w14:paraId="7C383C9C" w14:textId="09C1C451"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129,15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A27A2" w14:textId="69951B75" w:rsidR="007710DD"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617,9</w:t>
            </w:r>
          </w:p>
        </w:tc>
        <w:tc>
          <w:tcPr>
            <w:tcW w:w="851" w:type="dxa"/>
            <w:tcBorders>
              <w:top w:val="single" w:sz="4" w:space="0" w:color="auto"/>
              <w:left w:val="nil"/>
              <w:bottom w:val="single" w:sz="4" w:space="0" w:color="auto"/>
              <w:right w:val="single" w:sz="4" w:space="0" w:color="auto"/>
            </w:tcBorders>
            <w:shd w:val="clear" w:color="auto" w:fill="auto"/>
            <w:vAlign w:val="bottom"/>
          </w:tcPr>
          <w:p w14:paraId="2D4F282D" w14:textId="184B5503"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4</w:t>
            </w:r>
          </w:p>
        </w:tc>
      </w:tr>
      <w:tr w:rsidR="007710DD" w:rsidRPr="00DA009A" w14:paraId="5F709268" w14:textId="77777777" w:rsidTr="007710DD">
        <w:trPr>
          <w:trHeight w:val="291"/>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5F195" w14:textId="2396E584" w:rsidR="007710DD" w:rsidRPr="00DA009A" w:rsidRDefault="007710DD" w:rsidP="005211EE">
            <w:pPr>
              <w:suppressAutoHyphens w:val="0"/>
              <w:jc w:val="left"/>
              <w:rPr>
                <w:rFonts w:ascii="StobiSerif Regular" w:hAnsi="StobiSerif Regular" w:cs="Calibri"/>
                <w:b/>
                <w:bCs/>
                <w:color w:val="000000"/>
                <w:sz w:val="22"/>
                <w:szCs w:val="22"/>
                <w:lang w:eastAsia="mk-MK"/>
              </w:rPr>
            </w:pPr>
            <w:r w:rsidRPr="00DA009A">
              <w:rPr>
                <w:rFonts w:ascii="StobiSerif Regular" w:hAnsi="StobiSerif Regular" w:cs="Calibri"/>
                <w:color w:val="000000"/>
                <w:sz w:val="22"/>
                <w:szCs w:val="22"/>
                <w:lang w:eastAsia="mk-MK"/>
              </w:rPr>
              <w:t>ПИОМ</w:t>
            </w:r>
          </w:p>
        </w:tc>
        <w:tc>
          <w:tcPr>
            <w:tcW w:w="1286" w:type="dxa"/>
            <w:tcBorders>
              <w:top w:val="single" w:sz="4" w:space="0" w:color="auto"/>
              <w:left w:val="nil"/>
              <w:bottom w:val="single" w:sz="4" w:space="0" w:color="auto"/>
              <w:right w:val="single" w:sz="4" w:space="0" w:color="auto"/>
            </w:tcBorders>
            <w:shd w:val="clear" w:color="auto" w:fill="auto"/>
            <w:vAlign w:val="bottom"/>
          </w:tcPr>
          <w:p w14:paraId="50E1D830" w14:textId="526293CF"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324,2</w:t>
            </w:r>
          </w:p>
        </w:tc>
        <w:tc>
          <w:tcPr>
            <w:tcW w:w="1296" w:type="dxa"/>
            <w:tcBorders>
              <w:top w:val="single" w:sz="4" w:space="0" w:color="auto"/>
              <w:left w:val="nil"/>
              <w:bottom w:val="single" w:sz="4" w:space="0" w:color="auto"/>
              <w:right w:val="single" w:sz="4" w:space="0" w:color="auto"/>
            </w:tcBorders>
            <w:shd w:val="clear" w:color="auto" w:fill="auto"/>
            <w:vAlign w:val="bottom"/>
          </w:tcPr>
          <w:p w14:paraId="032F9B55" w14:textId="2ACD4C09"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136,81</w:t>
            </w:r>
          </w:p>
        </w:tc>
        <w:tc>
          <w:tcPr>
            <w:tcW w:w="992" w:type="dxa"/>
            <w:tcBorders>
              <w:top w:val="single" w:sz="4" w:space="0" w:color="auto"/>
              <w:left w:val="nil"/>
              <w:bottom w:val="single" w:sz="4" w:space="0" w:color="auto"/>
              <w:right w:val="single" w:sz="4" w:space="0" w:color="auto"/>
            </w:tcBorders>
            <w:shd w:val="clear" w:color="auto" w:fill="auto"/>
            <w:vAlign w:val="bottom"/>
          </w:tcPr>
          <w:p w14:paraId="5466C2F3" w14:textId="20EAB4F6"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1D187" w14:textId="672D03FA" w:rsidR="007710DD"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584,61</w:t>
            </w:r>
          </w:p>
        </w:tc>
        <w:tc>
          <w:tcPr>
            <w:tcW w:w="851" w:type="dxa"/>
            <w:tcBorders>
              <w:top w:val="single" w:sz="4" w:space="0" w:color="auto"/>
              <w:left w:val="nil"/>
              <w:bottom w:val="single" w:sz="4" w:space="0" w:color="auto"/>
              <w:right w:val="single" w:sz="4" w:space="0" w:color="auto"/>
            </w:tcBorders>
            <w:shd w:val="clear" w:color="auto" w:fill="auto"/>
            <w:vAlign w:val="bottom"/>
          </w:tcPr>
          <w:p w14:paraId="2EDFEC14" w14:textId="44FE7A04"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5</w:t>
            </w:r>
          </w:p>
        </w:tc>
      </w:tr>
      <w:tr w:rsidR="007710DD" w:rsidRPr="00DA009A" w14:paraId="7344B987" w14:textId="77777777" w:rsidTr="00920A59">
        <w:trPr>
          <w:trHeight w:val="960"/>
          <w:jc w:val="center"/>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7BF8" w14:textId="6EEFC4A1" w:rsidR="007710DD" w:rsidRPr="00DA009A" w:rsidRDefault="007710DD" w:rsidP="005211EE">
            <w:pPr>
              <w:suppressAutoHyphens w:val="0"/>
              <w:jc w:val="left"/>
              <w:rPr>
                <w:rFonts w:ascii="StobiSerif Regular" w:hAnsi="StobiSerif Regular" w:cs="Calibri"/>
                <w:b/>
                <w:bCs/>
                <w:color w:val="000000"/>
                <w:sz w:val="22"/>
                <w:szCs w:val="22"/>
                <w:lang w:eastAsia="mk-MK"/>
              </w:rPr>
            </w:pPr>
            <w:r w:rsidRPr="00DA009A">
              <w:rPr>
                <w:rFonts w:ascii="StobiSerif Regular" w:hAnsi="StobiSerif Regular" w:cs="Calibri"/>
                <w:color w:val="000000"/>
                <w:sz w:val="22"/>
                <w:szCs w:val="22"/>
                <w:lang w:eastAsia="mk-MK"/>
              </w:rPr>
              <w:t>Водовод и канализација-Прилеп (ВКП)</w:t>
            </w:r>
          </w:p>
        </w:tc>
        <w:tc>
          <w:tcPr>
            <w:tcW w:w="1286" w:type="dxa"/>
            <w:tcBorders>
              <w:top w:val="single" w:sz="4" w:space="0" w:color="auto"/>
              <w:left w:val="nil"/>
              <w:bottom w:val="single" w:sz="4" w:space="0" w:color="auto"/>
              <w:right w:val="single" w:sz="4" w:space="0" w:color="auto"/>
            </w:tcBorders>
            <w:shd w:val="clear" w:color="auto" w:fill="auto"/>
            <w:vAlign w:val="bottom"/>
          </w:tcPr>
          <w:p w14:paraId="02BFBA48" w14:textId="28DC9A27"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318,05</w:t>
            </w:r>
          </w:p>
        </w:tc>
        <w:tc>
          <w:tcPr>
            <w:tcW w:w="1296" w:type="dxa"/>
            <w:tcBorders>
              <w:top w:val="single" w:sz="4" w:space="0" w:color="auto"/>
              <w:left w:val="nil"/>
              <w:bottom w:val="single" w:sz="4" w:space="0" w:color="auto"/>
              <w:right w:val="single" w:sz="4" w:space="0" w:color="auto"/>
            </w:tcBorders>
            <w:shd w:val="clear" w:color="auto" w:fill="auto"/>
            <w:vAlign w:val="bottom"/>
          </w:tcPr>
          <w:p w14:paraId="1059FFD3" w14:textId="3212910D"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120,25</w:t>
            </w:r>
          </w:p>
        </w:tc>
        <w:tc>
          <w:tcPr>
            <w:tcW w:w="992" w:type="dxa"/>
            <w:tcBorders>
              <w:top w:val="single" w:sz="4" w:space="0" w:color="auto"/>
              <w:left w:val="nil"/>
              <w:bottom w:val="single" w:sz="4" w:space="0" w:color="auto"/>
              <w:right w:val="single" w:sz="4" w:space="0" w:color="auto"/>
            </w:tcBorders>
            <w:shd w:val="clear" w:color="auto" w:fill="auto"/>
            <w:vAlign w:val="bottom"/>
          </w:tcPr>
          <w:p w14:paraId="67B806D0" w14:textId="0D53731F"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116,1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A3D25" w14:textId="5574261B" w:rsidR="007710DD"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554,4</w:t>
            </w:r>
          </w:p>
        </w:tc>
        <w:tc>
          <w:tcPr>
            <w:tcW w:w="851" w:type="dxa"/>
            <w:tcBorders>
              <w:top w:val="single" w:sz="4" w:space="0" w:color="auto"/>
              <w:left w:val="nil"/>
              <w:bottom w:val="single" w:sz="4" w:space="0" w:color="auto"/>
              <w:right w:val="single" w:sz="4" w:space="0" w:color="auto"/>
            </w:tcBorders>
            <w:shd w:val="clear" w:color="auto" w:fill="auto"/>
            <w:vAlign w:val="bottom"/>
          </w:tcPr>
          <w:p w14:paraId="4A387747" w14:textId="63E6BC56" w:rsidR="007710DD" w:rsidRPr="00DA009A" w:rsidRDefault="007710DD" w:rsidP="005211EE">
            <w:pPr>
              <w:suppressAutoHyphens w:val="0"/>
              <w:jc w:val="center"/>
              <w:rPr>
                <w:rFonts w:ascii="Calibri" w:hAnsi="Calibri" w:cs="Calibri"/>
                <w:b/>
                <w:bCs/>
                <w:color w:val="000000"/>
                <w:sz w:val="22"/>
                <w:szCs w:val="22"/>
                <w:lang w:eastAsia="mk-MK"/>
              </w:rPr>
            </w:pPr>
            <w:r w:rsidRPr="00DA009A">
              <w:rPr>
                <w:rFonts w:ascii="Calibri" w:hAnsi="Calibri" w:cs="Calibri"/>
                <w:color w:val="000000"/>
                <w:sz w:val="22"/>
                <w:szCs w:val="22"/>
                <w:lang w:eastAsia="mk-MK"/>
              </w:rPr>
              <w:t>6</w:t>
            </w:r>
          </w:p>
        </w:tc>
      </w:tr>
      <w:tr w:rsidR="007710DD" w:rsidRPr="00DA009A" w14:paraId="73984F8F" w14:textId="77777777" w:rsidTr="007710DD">
        <w:trPr>
          <w:trHeight w:val="300"/>
          <w:jc w:val="center"/>
        </w:trPr>
        <w:tc>
          <w:tcPr>
            <w:tcW w:w="4359" w:type="dxa"/>
            <w:tcBorders>
              <w:top w:val="nil"/>
              <w:left w:val="single" w:sz="4" w:space="0" w:color="auto"/>
              <w:bottom w:val="single" w:sz="4" w:space="0" w:color="auto"/>
              <w:right w:val="single" w:sz="4" w:space="0" w:color="auto"/>
            </w:tcBorders>
            <w:shd w:val="clear" w:color="auto" w:fill="auto"/>
            <w:noWrap/>
            <w:vAlign w:val="center"/>
          </w:tcPr>
          <w:p w14:paraId="64B24DC9" w14:textId="7F573FDB" w:rsidR="007710DD" w:rsidRPr="00DA009A" w:rsidRDefault="007710DD" w:rsidP="005211EE">
            <w:pPr>
              <w:suppressAutoHyphens w:val="0"/>
              <w:jc w:val="left"/>
              <w:rPr>
                <w:rFonts w:ascii="StobiSerif Regular" w:hAnsi="StobiSerif Regular" w:cs="Calibri"/>
                <w:color w:val="000000"/>
                <w:sz w:val="22"/>
                <w:szCs w:val="22"/>
                <w:lang w:eastAsia="mk-MK"/>
              </w:rPr>
            </w:pPr>
            <w:r w:rsidRPr="00DA009A">
              <w:rPr>
                <w:rFonts w:ascii="StobiSerif Regular" w:hAnsi="StobiSerif Regular" w:cs="Calibri"/>
                <w:color w:val="000000"/>
                <w:sz w:val="22"/>
                <w:szCs w:val="22"/>
                <w:lang w:eastAsia="mk-MK"/>
              </w:rPr>
              <w:t>Општина Штип</w:t>
            </w:r>
          </w:p>
        </w:tc>
        <w:tc>
          <w:tcPr>
            <w:tcW w:w="1286" w:type="dxa"/>
            <w:tcBorders>
              <w:top w:val="nil"/>
              <w:left w:val="nil"/>
              <w:bottom w:val="single" w:sz="4" w:space="0" w:color="auto"/>
              <w:right w:val="single" w:sz="4" w:space="0" w:color="auto"/>
            </w:tcBorders>
            <w:shd w:val="clear" w:color="auto" w:fill="auto"/>
            <w:noWrap/>
            <w:vAlign w:val="bottom"/>
          </w:tcPr>
          <w:p w14:paraId="275F0EC8" w14:textId="491007AA"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282,6</w:t>
            </w:r>
          </w:p>
        </w:tc>
        <w:tc>
          <w:tcPr>
            <w:tcW w:w="1296" w:type="dxa"/>
            <w:tcBorders>
              <w:top w:val="nil"/>
              <w:left w:val="nil"/>
              <w:bottom w:val="single" w:sz="4" w:space="0" w:color="auto"/>
              <w:right w:val="single" w:sz="4" w:space="0" w:color="auto"/>
            </w:tcBorders>
            <w:shd w:val="clear" w:color="auto" w:fill="auto"/>
            <w:noWrap/>
            <w:vAlign w:val="bottom"/>
          </w:tcPr>
          <w:p w14:paraId="04C6E4AE" w14:textId="0702DDB4"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130,51</w:t>
            </w:r>
          </w:p>
        </w:tc>
        <w:tc>
          <w:tcPr>
            <w:tcW w:w="992" w:type="dxa"/>
            <w:tcBorders>
              <w:top w:val="nil"/>
              <w:left w:val="nil"/>
              <w:bottom w:val="single" w:sz="4" w:space="0" w:color="auto"/>
              <w:right w:val="single" w:sz="4" w:space="0" w:color="auto"/>
            </w:tcBorders>
            <w:shd w:val="clear" w:color="auto" w:fill="auto"/>
            <w:noWrap/>
            <w:vAlign w:val="bottom"/>
          </w:tcPr>
          <w:p w14:paraId="5D3F8867" w14:textId="13FFE6CF"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136,65</w:t>
            </w:r>
          </w:p>
        </w:tc>
        <w:tc>
          <w:tcPr>
            <w:tcW w:w="1276" w:type="dxa"/>
            <w:tcBorders>
              <w:top w:val="nil"/>
              <w:left w:val="nil"/>
              <w:bottom w:val="single" w:sz="4" w:space="0" w:color="auto"/>
              <w:right w:val="single" w:sz="4" w:space="0" w:color="auto"/>
            </w:tcBorders>
            <w:shd w:val="clear" w:color="auto" w:fill="auto"/>
            <w:noWrap/>
            <w:vAlign w:val="bottom"/>
          </w:tcPr>
          <w:p w14:paraId="6960C32A" w14:textId="5B465150"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549,76</w:t>
            </w:r>
          </w:p>
        </w:tc>
        <w:tc>
          <w:tcPr>
            <w:tcW w:w="851" w:type="dxa"/>
            <w:tcBorders>
              <w:top w:val="nil"/>
              <w:left w:val="nil"/>
              <w:bottom w:val="single" w:sz="4" w:space="0" w:color="auto"/>
              <w:right w:val="single" w:sz="4" w:space="0" w:color="auto"/>
            </w:tcBorders>
            <w:shd w:val="clear" w:color="auto" w:fill="auto"/>
            <w:noWrap/>
            <w:vAlign w:val="bottom"/>
          </w:tcPr>
          <w:p w14:paraId="402C03BD" w14:textId="33AA5A28"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7</w:t>
            </w:r>
          </w:p>
        </w:tc>
      </w:tr>
      <w:tr w:rsidR="007710DD" w:rsidRPr="00DA009A" w14:paraId="0F843A6F" w14:textId="77777777" w:rsidTr="007710DD">
        <w:trPr>
          <w:trHeight w:val="300"/>
          <w:jc w:val="center"/>
        </w:trPr>
        <w:tc>
          <w:tcPr>
            <w:tcW w:w="4359" w:type="dxa"/>
            <w:tcBorders>
              <w:top w:val="nil"/>
              <w:left w:val="single" w:sz="4" w:space="0" w:color="auto"/>
              <w:bottom w:val="single" w:sz="4" w:space="0" w:color="auto"/>
              <w:right w:val="single" w:sz="4" w:space="0" w:color="auto"/>
            </w:tcBorders>
            <w:shd w:val="clear" w:color="auto" w:fill="auto"/>
            <w:noWrap/>
            <w:vAlign w:val="center"/>
          </w:tcPr>
          <w:p w14:paraId="3531225A" w14:textId="5139C000" w:rsidR="007710DD" w:rsidRPr="00DA009A" w:rsidRDefault="007710DD" w:rsidP="005211EE">
            <w:pPr>
              <w:suppressAutoHyphens w:val="0"/>
              <w:jc w:val="left"/>
              <w:rPr>
                <w:rFonts w:ascii="StobiSerif Regular" w:hAnsi="StobiSerif Regular" w:cs="Calibri"/>
                <w:color w:val="000000"/>
                <w:sz w:val="22"/>
                <w:szCs w:val="22"/>
                <w:lang w:eastAsia="mk-MK"/>
              </w:rPr>
            </w:pPr>
            <w:r w:rsidRPr="00DA009A">
              <w:rPr>
                <w:rFonts w:ascii="StobiSerif Regular" w:hAnsi="StobiSerif Regular" w:cs="Calibri"/>
                <w:color w:val="000000"/>
                <w:sz w:val="22"/>
                <w:szCs w:val="22"/>
                <w:lang w:eastAsia="mk-MK"/>
              </w:rPr>
              <w:t>ЦСР-Битола</w:t>
            </w:r>
          </w:p>
        </w:tc>
        <w:tc>
          <w:tcPr>
            <w:tcW w:w="1286" w:type="dxa"/>
            <w:tcBorders>
              <w:top w:val="nil"/>
              <w:left w:val="nil"/>
              <w:bottom w:val="single" w:sz="4" w:space="0" w:color="auto"/>
              <w:right w:val="single" w:sz="4" w:space="0" w:color="auto"/>
            </w:tcBorders>
            <w:shd w:val="clear" w:color="auto" w:fill="auto"/>
            <w:noWrap/>
            <w:vAlign w:val="bottom"/>
          </w:tcPr>
          <w:p w14:paraId="38FFA4D9" w14:textId="44A37044"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2</w:t>
            </w:r>
            <w:r>
              <w:rPr>
                <w:rFonts w:ascii="Calibri" w:hAnsi="Calibri" w:cs="Calibri"/>
                <w:color w:val="000000"/>
                <w:sz w:val="22"/>
                <w:szCs w:val="22"/>
                <w:lang w:val="en-US" w:eastAsia="mk-MK"/>
              </w:rPr>
              <w:t>0</w:t>
            </w:r>
            <w:r w:rsidRPr="00DA009A">
              <w:rPr>
                <w:rFonts w:ascii="Calibri" w:hAnsi="Calibri" w:cs="Calibri"/>
                <w:color w:val="000000"/>
                <w:sz w:val="22"/>
                <w:szCs w:val="22"/>
                <w:lang w:eastAsia="mk-MK"/>
              </w:rPr>
              <w:t>2,4</w:t>
            </w:r>
          </w:p>
        </w:tc>
        <w:tc>
          <w:tcPr>
            <w:tcW w:w="1296" w:type="dxa"/>
            <w:tcBorders>
              <w:top w:val="nil"/>
              <w:left w:val="nil"/>
              <w:bottom w:val="single" w:sz="4" w:space="0" w:color="auto"/>
              <w:right w:val="single" w:sz="4" w:space="0" w:color="auto"/>
            </w:tcBorders>
            <w:shd w:val="clear" w:color="auto" w:fill="auto"/>
            <w:noWrap/>
            <w:vAlign w:val="bottom"/>
          </w:tcPr>
          <w:p w14:paraId="4263DD9E" w14:textId="4D16AD0E"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133,37</w:t>
            </w:r>
          </w:p>
        </w:tc>
        <w:tc>
          <w:tcPr>
            <w:tcW w:w="992" w:type="dxa"/>
            <w:tcBorders>
              <w:top w:val="nil"/>
              <w:left w:val="nil"/>
              <w:bottom w:val="single" w:sz="4" w:space="0" w:color="auto"/>
              <w:right w:val="single" w:sz="4" w:space="0" w:color="auto"/>
            </w:tcBorders>
            <w:shd w:val="clear" w:color="auto" w:fill="auto"/>
            <w:noWrap/>
            <w:vAlign w:val="bottom"/>
          </w:tcPr>
          <w:p w14:paraId="0C39C680" w14:textId="79F9CF72"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115,95</w:t>
            </w:r>
          </w:p>
        </w:tc>
        <w:tc>
          <w:tcPr>
            <w:tcW w:w="1276" w:type="dxa"/>
            <w:tcBorders>
              <w:top w:val="nil"/>
              <w:left w:val="nil"/>
              <w:bottom w:val="single" w:sz="4" w:space="0" w:color="auto"/>
              <w:right w:val="single" w:sz="4" w:space="0" w:color="auto"/>
            </w:tcBorders>
            <w:shd w:val="clear" w:color="auto" w:fill="auto"/>
            <w:noWrap/>
            <w:vAlign w:val="bottom"/>
          </w:tcPr>
          <w:p w14:paraId="1F80D6A6" w14:textId="7F982EB0"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4</w:t>
            </w:r>
            <w:r>
              <w:rPr>
                <w:rFonts w:ascii="Calibri" w:hAnsi="Calibri" w:cs="Calibri"/>
                <w:color w:val="000000"/>
                <w:sz w:val="22"/>
                <w:szCs w:val="22"/>
                <w:lang w:val="en-US" w:eastAsia="mk-MK"/>
              </w:rPr>
              <w:t>51</w:t>
            </w:r>
            <w:r w:rsidRPr="00DA009A">
              <w:rPr>
                <w:rFonts w:ascii="Calibri" w:hAnsi="Calibri" w:cs="Calibri"/>
                <w:color w:val="000000"/>
                <w:sz w:val="22"/>
                <w:szCs w:val="22"/>
                <w:lang w:eastAsia="mk-MK"/>
              </w:rPr>
              <w:t>,72</w:t>
            </w:r>
          </w:p>
        </w:tc>
        <w:tc>
          <w:tcPr>
            <w:tcW w:w="851" w:type="dxa"/>
            <w:tcBorders>
              <w:top w:val="nil"/>
              <w:left w:val="nil"/>
              <w:bottom w:val="single" w:sz="4" w:space="0" w:color="auto"/>
              <w:right w:val="single" w:sz="4" w:space="0" w:color="auto"/>
            </w:tcBorders>
            <w:shd w:val="clear" w:color="auto" w:fill="auto"/>
            <w:noWrap/>
            <w:vAlign w:val="bottom"/>
          </w:tcPr>
          <w:p w14:paraId="2CB74FFC" w14:textId="0C4413E5"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8</w:t>
            </w:r>
          </w:p>
        </w:tc>
      </w:tr>
      <w:tr w:rsidR="007710DD" w:rsidRPr="00DA009A" w14:paraId="182B47EE" w14:textId="77777777" w:rsidTr="007710DD">
        <w:trPr>
          <w:trHeight w:val="300"/>
          <w:jc w:val="center"/>
        </w:trPr>
        <w:tc>
          <w:tcPr>
            <w:tcW w:w="4359" w:type="dxa"/>
            <w:tcBorders>
              <w:top w:val="nil"/>
              <w:left w:val="single" w:sz="4" w:space="0" w:color="auto"/>
              <w:bottom w:val="single" w:sz="4" w:space="0" w:color="auto"/>
              <w:right w:val="single" w:sz="4" w:space="0" w:color="auto"/>
            </w:tcBorders>
            <w:shd w:val="clear" w:color="auto" w:fill="auto"/>
            <w:noWrap/>
            <w:vAlign w:val="center"/>
          </w:tcPr>
          <w:p w14:paraId="5EC27D87" w14:textId="2F879B30" w:rsidR="007710DD" w:rsidRPr="00DA009A" w:rsidRDefault="007710DD" w:rsidP="005211EE">
            <w:pPr>
              <w:suppressAutoHyphens w:val="0"/>
              <w:jc w:val="left"/>
              <w:rPr>
                <w:rFonts w:ascii="StobiSerif Regular" w:hAnsi="StobiSerif Regular" w:cs="Calibri"/>
                <w:color w:val="000000"/>
                <w:sz w:val="22"/>
                <w:szCs w:val="22"/>
                <w:lang w:eastAsia="mk-MK"/>
              </w:rPr>
            </w:pPr>
            <w:r w:rsidRPr="00DA009A">
              <w:rPr>
                <w:rFonts w:ascii="StobiSerif Regular" w:hAnsi="StobiSerif Regular" w:cs="Calibri"/>
                <w:color w:val="000000"/>
                <w:sz w:val="22"/>
                <w:szCs w:val="22"/>
                <w:lang w:eastAsia="mk-MK"/>
              </w:rPr>
              <w:t>Министерство за европски прашања (МЕП)</w:t>
            </w:r>
          </w:p>
        </w:tc>
        <w:tc>
          <w:tcPr>
            <w:tcW w:w="1286" w:type="dxa"/>
            <w:tcBorders>
              <w:top w:val="nil"/>
              <w:left w:val="nil"/>
              <w:bottom w:val="single" w:sz="4" w:space="0" w:color="auto"/>
              <w:right w:val="single" w:sz="4" w:space="0" w:color="auto"/>
            </w:tcBorders>
            <w:shd w:val="clear" w:color="auto" w:fill="auto"/>
            <w:noWrap/>
            <w:vAlign w:val="bottom"/>
          </w:tcPr>
          <w:p w14:paraId="66568FA3" w14:textId="6F537C76"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299,1</w:t>
            </w:r>
          </w:p>
        </w:tc>
        <w:tc>
          <w:tcPr>
            <w:tcW w:w="1296" w:type="dxa"/>
            <w:tcBorders>
              <w:top w:val="nil"/>
              <w:left w:val="nil"/>
              <w:bottom w:val="single" w:sz="4" w:space="0" w:color="auto"/>
              <w:right w:val="single" w:sz="4" w:space="0" w:color="auto"/>
            </w:tcBorders>
            <w:shd w:val="clear" w:color="auto" w:fill="auto"/>
            <w:noWrap/>
            <w:vAlign w:val="bottom"/>
          </w:tcPr>
          <w:p w14:paraId="21D15A20" w14:textId="70DAAD48"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130,91</w:t>
            </w:r>
          </w:p>
        </w:tc>
        <w:tc>
          <w:tcPr>
            <w:tcW w:w="992" w:type="dxa"/>
            <w:tcBorders>
              <w:top w:val="nil"/>
              <w:left w:val="nil"/>
              <w:bottom w:val="single" w:sz="4" w:space="0" w:color="auto"/>
              <w:right w:val="single" w:sz="4" w:space="0" w:color="auto"/>
            </w:tcBorders>
            <w:shd w:val="clear" w:color="auto" w:fill="auto"/>
            <w:noWrap/>
            <w:vAlign w:val="bottom"/>
          </w:tcPr>
          <w:p w14:paraId="777B4567" w14:textId="10368B16"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0</w:t>
            </w:r>
          </w:p>
        </w:tc>
        <w:tc>
          <w:tcPr>
            <w:tcW w:w="1276" w:type="dxa"/>
            <w:tcBorders>
              <w:top w:val="nil"/>
              <w:left w:val="nil"/>
              <w:bottom w:val="single" w:sz="4" w:space="0" w:color="auto"/>
              <w:right w:val="single" w:sz="4" w:space="0" w:color="auto"/>
            </w:tcBorders>
            <w:shd w:val="clear" w:color="auto" w:fill="auto"/>
            <w:noWrap/>
            <w:vAlign w:val="bottom"/>
          </w:tcPr>
          <w:p w14:paraId="4F228112" w14:textId="17827C13" w:rsidR="007710DD" w:rsidRPr="00DA009A" w:rsidRDefault="007710DD" w:rsidP="005211EE">
            <w:pPr>
              <w:suppressAutoHyphens w:val="0"/>
              <w:jc w:val="center"/>
              <w:rPr>
                <w:rFonts w:ascii="Calibri" w:hAnsi="Calibri" w:cs="Calibri"/>
                <w:b/>
                <w:color w:val="000000"/>
                <w:sz w:val="22"/>
                <w:szCs w:val="22"/>
                <w:lang w:eastAsia="mk-MK"/>
              </w:rPr>
            </w:pPr>
            <w:r w:rsidRPr="00DA009A">
              <w:rPr>
                <w:rFonts w:ascii="Calibri" w:hAnsi="Calibri" w:cs="Calibri"/>
                <w:color w:val="000000"/>
                <w:sz w:val="22"/>
                <w:szCs w:val="22"/>
                <w:lang w:eastAsia="mk-MK"/>
              </w:rPr>
              <w:t>430,01</w:t>
            </w:r>
          </w:p>
        </w:tc>
        <w:tc>
          <w:tcPr>
            <w:tcW w:w="851" w:type="dxa"/>
            <w:tcBorders>
              <w:top w:val="nil"/>
              <w:left w:val="nil"/>
              <w:bottom w:val="single" w:sz="4" w:space="0" w:color="auto"/>
              <w:right w:val="single" w:sz="4" w:space="0" w:color="auto"/>
            </w:tcBorders>
            <w:shd w:val="clear" w:color="auto" w:fill="auto"/>
            <w:noWrap/>
            <w:vAlign w:val="bottom"/>
          </w:tcPr>
          <w:p w14:paraId="79BE64BB" w14:textId="03DE9768" w:rsidR="007710DD" w:rsidRPr="00DA009A" w:rsidRDefault="007710DD" w:rsidP="005211EE">
            <w:pPr>
              <w:suppressAutoHyphens w:val="0"/>
              <w:jc w:val="center"/>
              <w:rPr>
                <w:rFonts w:ascii="Calibri" w:hAnsi="Calibri" w:cs="Calibri"/>
                <w:b/>
                <w:color w:val="000000"/>
                <w:sz w:val="22"/>
                <w:szCs w:val="22"/>
                <w:lang w:eastAsia="mk-MK"/>
              </w:rPr>
            </w:pPr>
            <w:r w:rsidRPr="00DA009A">
              <w:rPr>
                <w:rFonts w:ascii="Calibri" w:hAnsi="Calibri" w:cs="Calibri"/>
                <w:color w:val="000000"/>
                <w:sz w:val="22"/>
                <w:szCs w:val="22"/>
                <w:lang w:eastAsia="mk-MK"/>
              </w:rPr>
              <w:t>9</w:t>
            </w:r>
          </w:p>
        </w:tc>
      </w:tr>
      <w:tr w:rsidR="007710DD" w:rsidRPr="00DA009A" w14:paraId="22EE3AF7" w14:textId="77777777" w:rsidTr="007710DD">
        <w:trPr>
          <w:trHeight w:val="585"/>
          <w:jc w:val="center"/>
        </w:trPr>
        <w:tc>
          <w:tcPr>
            <w:tcW w:w="4359" w:type="dxa"/>
            <w:tcBorders>
              <w:top w:val="nil"/>
              <w:left w:val="single" w:sz="4" w:space="0" w:color="auto"/>
              <w:bottom w:val="single" w:sz="4" w:space="0" w:color="auto"/>
              <w:right w:val="single" w:sz="4" w:space="0" w:color="auto"/>
            </w:tcBorders>
            <w:shd w:val="clear" w:color="auto" w:fill="auto"/>
            <w:noWrap/>
            <w:vAlign w:val="center"/>
          </w:tcPr>
          <w:p w14:paraId="4F7341D0" w14:textId="00595C74" w:rsidR="007710DD" w:rsidRPr="00DA009A" w:rsidRDefault="007710DD" w:rsidP="005211EE">
            <w:pPr>
              <w:suppressAutoHyphens w:val="0"/>
              <w:jc w:val="left"/>
              <w:rPr>
                <w:rFonts w:ascii="StobiSerif Regular" w:hAnsi="StobiSerif Regular" w:cs="Calibri"/>
                <w:color w:val="000000"/>
                <w:sz w:val="22"/>
                <w:szCs w:val="22"/>
                <w:lang w:eastAsia="mk-MK"/>
              </w:rPr>
            </w:pPr>
            <w:r w:rsidRPr="00DA009A">
              <w:rPr>
                <w:rFonts w:ascii="StobiSerif Regular" w:hAnsi="StobiSerif Regular" w:cs="Calibri"/>
                <w:color w:val="000000"/>
                <w:sz w:val="22"/>
                <w:szCs w:val="22"/>
                <w:lang w:eastAsia="mk-MK"/>
              </w:rPr>
              <w:t>Инспекторат за животна средина (ИЖС)</w:t>
            </w:r>
          </w:p>
        </w:tc>
        <w:tc>
          <w:tcPr>
            <w:tcW w:w="1286" w:type="dxa"/>
            <w:tcBorders>
              <w:top w:val="nil"/>
              <w:left w:val="nil"/>
              <w:bottom w:val="single" w:sz="4" w:space="0" w:color="auto"/>
              <w:right w:val="single" w:sz="4" w:space="0" w:color="auto"/>
            </w:tcBorders>
            <w:shd w:val="clear" w:color="auto" w:fill="auto"/>
            <w:noWrap/>
            <w:vAlign w:val="bottom"/>
          </w:tcPr>
          <w:p w14:paraId="13B0A5ED" w14:textId="0CD263F8"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238,8</w:t>
            </w:r>
          </w:p>
        </w:tc>
        <w:tc>
          <w:tcPr>
            <w:tcW w:w="1296" w:type="dxa"/>
            <w:tcBorders>
              <w:top w:val="nil"/>
              <w:left w:val="nil"/>
              <w:bottom w:val="single" w:sz="4" w:space="0" w:color="auto"/>
              <w:right w:val="single" w:sz="4" w:space="0" w:color="auto"/>
            </w:tcBorders>
            <w:shd w:val="clear" w:color="auto" w:fill="auto"/>
            <w:noWrap/>
            <w:vAlign w:val="bottom"/>
          </w:tcPr>
          <w:p w14:paraId="7ADA3502" w14:textId="7E51D59D"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132,87</w:t>
            </w:r>
          </w:p>
        </w:tc>
        <w:tc>
          <w:tcPr>
            <w:tcW w:w="992" w:type="dxa"/>
            <w:tcBorders>
              <w:top w:val="nil"/>
              <w:left w:val="nil"/>
              <w:bottom w:val="single" w:sz="4" w:space="0" w:color="auto"/>
              <w:right w:val="single" w:sz="4" w:space="0" w:color="auto"/>
            </w:tcBorders>
            <w:shd w:val="clear" w:color="auto" w:fill="auto"/>
            <w:noWrap/>
            <w:vAlign w:val="bottom"/>
          </w:tcPr>
          <w:p w14:paraId="20308B9C" w14:textId="247CF4E7"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color w:val="000000"/>
                <w:sz w:val="22"/>
                <w:szCs w:val="22"/>
                <w:lang w:eastAsia="mk-MK"/>
              </w:rPr>
              <w:t>0</w:t>
            </w:r>
          </w:p>
        </w:tc>
        <w:tc>
          <w:tcPr>
            <w:tcW w:w="1276" w:type="dxa"/>
            <w:tcBorders>
              <w:top w:val="nil"/>
              <w:left w:val="nil"/>
              <w:bottom w:val="single" w:sz="4" w:space="0" w:color="auto"/>
              <w:right w:val="single" w:sz="4" w:space="0" w:color="auto"/>
            </w:tcBorders>
            <w:shd w:val="clear" w:color="auto" w:fill="auto"/>
            <w:noWrap/>
            <w:vAlign w:val="bottom"/>
          </w:tcPr>
          <w:p w14:paraId="01689925" w14:textId="68CC07F9"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b/>
                <w:color w:val="000000"/>
                <w:sz w:val="22"/>
                <w:szCs w:val="22"/>
                <w:lang w:eastAsia="mk-MK"/>
              </w:rPr>
              <w:t>371,67</w:t>
            </w:r>
          </w:p>
        </w:tc>
        <w:tc>
          <w:tcPr>
            <w:tcW w:w="851" w:type="dxa"/>
            <w:tcBorders>
              <w:top w:val="nil"/>
              <w:left w:val="nil"/>
              <w:bottom w:val="single" w:sz="4" w:space="0" w:color="auto"/>
              <w:right w:val="single" w:sz="4" w:space="0" w:color="auto"/>
            </w:tcBorders>
            <w:shd w:val="clear" w:color="auto" w:fill="auto"/>
            <w:noWrap/>
            <w:vAlign w:val="bottom"/>
          </w:tcPr>
          <w:p w14:paraId="24C7E022" w14:textId="765AD54A" w:rsidR="007710DD" w:rsidRPr="00DA009A" w:rsidRDefault="007710DD" w:rsidP="005211EE">
            <w:pPr>
              <w:suppressAutoHyphens w:val="0"/>
              <w:jc w:val="center"/>
              <w:rPr>
                <w:rFonts w:ascii="Calibri" w:hAnsi="Calibri" w:cs="Calibri"/>
                <w:color w:val="000000"/>
                <w:sz w:val="22"/>
                <w:szCs w:val="22"/>
                <w:lang w:eastAsia="mk-MK"/>
              </w:rPr>
            </w:pPr>
            <w:r w:rsidRPr="00DA009A">
              <w:rPr>
                <w:rFonts w:ascii="Calibri" w:hAnsi="Calibri" w:cs="Calibri"/>
                <w:b/>
                <w:color w:val="000000"/>
                <w:sz w:val="22"/>
                <w:szCs w:val="22"/>
                <w:lang w:eastAsia="mk-MK"/>
              </w:rPr>
              <w:t>10</w:t>
            </w:r>
          </w:p>
        </w:tc>
      </w:tr>
    </w:tbl>
    <w:p w14:paraId="613DF8EE" w14:textId="2183B999" w:rsidR="00DA009A" w:rsidRDefault="00DA009A" w:rsidP="005211EE">
      <w:pPr>
        <w:pStyle w:val="NoSpacing"/>
        <w:spacing w:line="360" w:lineRule="auto"/>
        <w:ind w:left="720"/>
        <w:jc w:val="center"/>
        <w:rPr>
          <w:rFonts w:ascii="StobiSerif Regular" w:hAnsi="StobiSerif Regular" w:cstheme="minorHAnsi"/>
          <w:sz w:val="24"/>
        </w:rPr>
      </w:pPr>
    </w:p>
    <w:p w14:paraId="08604B3C" w14:textId="53E0D27D" w:rsidR="001E2229" w:rsidRDefault="00331A42" w:rsidP="007710DD">
      <w:pPr>
        <w:pStyle w:val="NoSpacing"/>
        <w:spacing w:line="360" w:lineRule="auto"/>
        <w:ind w:left="720"/>
        <w:rPr>
          <w:rFonts w:ascii="StobiSerif Regular" w:hAnsi="StobiSerif Regular" w:cstheme="minorHAnsi"/>
          <w:sz w:val="24"/>
        </w:rPr>
      </w:pPr>
      <w:r w:rsidRPr="0011401F">
        <w:rPr>
          <w:b/>
          <w:noProof/>
          <w:lang w:eastAsia="mk-MK"/>
        </w:rPr>
        <w:lastRenderedPageBreak/>
        <w:drawing>
          <wp:inline distT="0" distB="0" distL="0" distR="0" wp14:anchorId="2BCD7F03" wp14:editId="38C1091E">
            <wp:extent cx="5372100" cy="3040380"/>
            <wp:effectExtent l="0" t="0" r="0" b="7620"/>
            <wp:docPr id="9" name="Chart 9">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3E6A5A" w14:textId="77777777" w:rsidR="001E2229" w:rsidRPr="001E2229" w:rsidRDefault="001E2229" w:rsidP="00BF044A">
      <w:pPr>
        <w:pStyle w:val="NoSpacing"/>
        <w:spacing w:line="360" w:lineRule="auto"/>
        <w:jc w:val="both"/>
        <w:rPr>
          <w:rFonts w:ascii="StobiSerif Regular" w:hAnsi="StobiSerif Regular" w:cstheme="minorHAnsi"/>
          <w:sz w:val="24"/>
        </w:rPr>
      </w:pPr>
    </w:p>
    <w:p w14:paraId="7F0ADD56" w14:textId="024333E9" w:rsidR="00A22D28" w:rsidRPr="00B32951" w:rsidRDefault="0011401F" w:rsidP="00B32951">
      <w:pPr>
        <w:suppressAutoHyphens w:val="0"/>
        <w:spacing w:line="259" w:lineRule="auto"/>
        <w:rPr>
          <w:rFonts w:ascii="StobiSerif Regular" w:hAnsi="StobiSerif Regular" w:cstheme="minorHAnsi"/>
        </w:rPr>
      </w:pPr>
      <w:r>
        <w:rPr>
          <w:rFonts w:ascii="StobiSerif Regular" w:hAnsi="StobiSerif Regular" w:cstheme="minorHAnsi"/>
          <w:b/>
          <w:bCs/>
        </w:rPr>
        <w:t>6.</w:t>
      </w:r>
      <w:r w:rsidR="003C1985" w:rsidRPr="00B32951">
        <w:rPr>
          <w:rFonts w:ascii="StobiSerif Regular" w:hAnsi="StobiSerif Regular" w:cstheme="minorHAnsi"/>
          <w:b/>
          <w:bCs/>
        </w:rPr>
        <w:t>ПРЕПОРАКИ</w:t>
      </w:r>
      <w:r w:rsidR="00A22D28" w:rsidRPr="003C1985">
        <w:br/>
      </w:r>
    </w:p>
    <w:p w14:paraId="7F36E8BB" w14:textId="7396E638" w:rsidR="00FF6DC1" w:rsidRDefault="00766307" w:rsidP="00B32951">
      <w:pPr>
        <w:suppressAutoHyphens w:val="0"/>
        <w:spacing w:line="259" w:lineRule="auto"/>
        <w:rPr>
          <w:rFonts w:ascii="StobiSerif Regular" w:hAnsi="StobiSerif Regular" w:cstheme="minorHAnsi"/>
        </w:rPr>
      </w:pPr>
      <w:r w:rsidRPr="00CC2230">
        <w:rPr>
          <w:rFonts w:ascii="StobiSerif Regular" w:hAnsi="StobiSerif Regular" w:cstheme="minorHAnsi"/>
        </w:rPr>
        <w:t>Врз основа на добиените резултати од одговорите /</w:t>
      </w:r>
      <w:r w:rsidRPr="00061EC9">
        <w:rPr>
          <w:rFonts w:ascii="StobiSerif Regular" w:hAnsi="StobiSerif Regular" w:cstheme="minorHAnsi"/>
        </w:rPr>
        <w:t>пополнетиот прашалник од институци</w:t>
      </w:r>
      <w:r>
        <w:rPr>
          <w:rFonts w:ascii="StobiSerif Regular" w:hAnsi="StobiSerif Regular" w:cstheme="minorHAnsi"/>
        </w:rPr>
        <w:t xml:space="preserve">ите (интерна евалуација), како и резултатите </w:t>
      </w:r>
      <w:r w:rsidRPr="00061EC9">
        <w:rPr>
          <w:rFonts w:ascii="StobiSerif Regular" w:hAnsi="StobiSerif Regular" w:cstheme="minorHAnsi"/>
        </w:rPr>
        <w:t>од спроведената анкет</w:t>
      </w:r>
      <w:r>
        <w:rPr>
          <w:rFonts w:ascii="StobiSerif Regular" w:hAnsi="StobiSerif Regular" w:cstheme="minorHAnsi"/>
        </w:rPr>
        <w:t>а</w:t>
      </w:r>
      <w:r w:rsidRPr="00061EC9">
        <w:rPr>
          <w:rFonts w:ascii="StobiSerif Regular" w:hAnsi="StobiSerif Regular" w:cstheme="minorHAnsi"/>
        </w:rPr>
        <w:t xml:space="preserve"> и</w:t>
      </w:r>
      <w:r>
        <w:rPr>
          <w:rFonts w:ascii="StobiSerif Regular" w:hAnsi="StobiSerif Regular" w:cstheme="minorHAnsi"/>
        </w:rPr>
        <w:t xml:space="preserve"> р</w:t>
      </w:r>
      <w:r w:rsidRPr="00061EC9">
        <w:rPr>
          <w:rFonts w:ascii="StobiSerif Regular" w:hAnsi="StobiSerif Regular" w:cstheme="minorHAnsi"/>
        </w:rPr>
        <w:t>езултатите од спровед</w:t>
      </w:r>
      <w:r>
        <w:rPr>
          <w:rFonts w:ascii="StobiSerif Regular" w:hAnsi="StobiSerif Regular" w:cstheme="minorHAnsi"/>
        </w:rPr>
        <w:t>еното истражување „таен клиент“</w:t>
      </w:r>
      <w:r w:rsidR="00CC2230">
        <w:rPr>
          <w:rFonts w:ascii="StobiSerif Regular" w:hAnsi="StobiSerif Regular" w:cstheme="minorHAnsi"/>
        </w:rPr>
        <w:t xml:space="preserve"> </w:t>
      </w:r>
      <w:r w:rsidRPr="00CC2230">
        <w:rPr>
          <w:rFonts w:ascii="StobiSerif Regular" w:hAnsi="StobiSerif Regular" w:cstheme="minorHAnsi"/>
        </w:rPr>
        <w:t xml:space="preserve">можеме да ги констатираме </w:t>
      </w:r>
      <w:r w:rsidR="00FF6DC1">
        <w:rPr>
          <w:rFonts w:ascii="StobiSerif Regular" w:hAnsi="StobiSerif Regular" w:cstheme="minorHAnsi"/>
        </w:rPr>
        <w:t xml:space="preserve">дека </w:t>
      </w:r>
      <w:r w:rsidR="00FF6DC1" w:rsidRPr="00E83B96">
        <w:rPr>
          <w:rFonts w:ascii="StobiSerif Regular" w:hAnsi="StobiSerif Regular" w:cstheme="minorHAnsi"/>
        </w:rPr>
        <w:t>унапредување на процесот на управување со квалитет на работа на институциите мора да продолжи, да биде составен дел од работењето на институциите</w:t>
      </w:r>
      <w:r w:rsidR="00FF6DC1">
        <w:rPr>
          <w:rFonts w:ascii="StobiSerif Regular" w:hAnsi="StobiSerif Regular" w:cstheme="minorHAnsi"/>
        </w:rPr>
        <w:t>.</w:t>
      </w:r>
    </w:p>
    <w:p w14:paraId="4AE2FC77" w14:textId="77777777" w:rsidR="00BB07D7" w:rsidRDefault="00BB07D7" w:rsidP="00B32951">
      <w:pPr>
        <w:suppressAutoHyphens w:val="0"/>
        <w:spacing w:line="259" w:lineRule="auto"/>
        <w:rPr>
          <w:rFonts w:ascii="StobiSerif Regular" w:hAnsi="StobiSerif Regular" w:cstheme="minorHAnsi"/>
        </w:rPr>
      </w:pPr>
    </w:p>
    <w:p w14:paraId="443805F2" w14:textId="50EA5512" w:rsidR="00390F04" w:rsidRPr="000B5C4E" w:rsidRDefault="00FF6DC1" w:rsidP="00B32951">
      <w:pPr>
        <w:pStyle w:val="NoSpacing"/>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 xml:space="preserve">Во врска со </w:t>
      </w:r>
      <w:r w:rsidR="00BF044A" w:rsidRPr="000B5C4E">
        <w:rPr>
          <w:rFonts w:ascii="StobiSerif Regular" w:hAnsi="StobiSerif Regular" w:cstheme="minorHAnsi"/>
          <w:sz w:val="24"/>
          <w:szCs w:val="24"/>
        </w:rPr>
        <w:t>горенаведеното</w:t>
      </w:r>
      <w:r w:rsidRPr="000B5C4E">
        <w:rPr>
          <w:rFonts w:ascii="StobiSerif Regular" w:hAnsi="StobiSerif Regular" w:cstheme="minorHAnsi"/>
          <w:sz w:val="24"/>
          <w:szCs w:val="24"/>
        </w:rPr>
        <w:t xml:space="preserve"> ги донесуваме с</w:t>
      </w:r>
      <w:r w:rsidR="0011401F">
        <w:rPr>
          <w:rFonts w:ascii="StobiSerif Regular" w:hAnsi="StobiSerif Regular" w:cstheme="minorHAnsi"/>
          <w:sz w:val="24"/>
          <w:szCs w:val="24"/>
        </w:rPr>
        <w:t xml:space="preserve">ледните </w:t>
      </w:r>
      <w:r w:rsidR="00FA0A33" w:rsidRPr="000B5C4E">
        <w:rPr>
          <w:rFonts w:ascii="StobiSerif Regular" w:hAnsi="StobiSerif Regular" w:cstheme="minorHAnsi"/>
          <w:sz w:val="24"/>
          <w:szCs w:val="24"/>
        </w:rPr>
        <w:t>препораки</w:t>
      </w:r>
      <w:r w:rsidR="00A22D28" w:rsidRPr="000B5C4E">
        <w:rPr>
          <w:rFonts w:ascii="StobiSerif Regular" w:hAnsi="StobiSerif Regular" w:cstheme="minorHAnsi"/>
          <w:sz w:val="24"/>
          <w:szCs w:val="24"/>
        </w:rPr>
        <w:t>:</w:t>
      </w:r>
    </w:p>
    <w:p w14:paraId="4D2B56DA"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t>Унапредување на Методологијата и Процесот на Оценка на Квалитетот</w:t>
      </w:r>
      <w:r w:rsidRPr="000B5C4E">
        <w:rPr>
          <w:rFonts w:ascii="StobiSerif Regular" w:hAnsi="StobiSerif Regular" w:cstheme="minorHAnsi"/>
          <w:sz w:val="24"/>
          <w:szCs w:val="24"/>
        </w:rPr>
        <w:t>:</w:t>
      </w:r>
    </w:p>
    <w:p w14:paraId="40D35602" w14:textId="77777777" w:rsidR="00792F26" w:rsidRDefault="00792F26" w:rsidP="00FA0A33">
      <w:pPr>
        <w:pStyle w:val="NoSpacing"/>
        <w:numPr>
          <w:ilvl w:val="1"/>
          <w:numId w:val="24"/>
        </w:numPr>
        <w:spacing w:line="360" w:lineRule="auto"/>
        <w:jc w:val="both"/>
        <w:rPr>
          <w:rFonts w:ascii="StobiSerif Regular" w:hAnsi="StobiSerif Regular" w:cstheme="minorHAnsi"/>
          <w:sz w:val="24"/>
          <w:szCs w:val="24"/>
        </w:rPr>
      </w:pPr>
      <w:r>
        <w:rPr>
          <w:rFonts w:ascii="StobiSerif Regular" w:hAnsi="StobiSerif Regular" w:cstheme="minorHAnsi"/>
          <w:b/>
          <w:bCs/>
          <w:sz w:val="24"/>
          <w:szCs w:val="24"/>
        </w:rPr>
        <w:t xml:space="preserve">Измена на </w:t>
      </w:r>
      <w:r w:rsidR="00FA0A33" w:rsidRPr="000B5C4E">
        <w:rPr>
          <w:rFonts w:ascii="StobiSerif Regular" w:hAnsi="StobiSerif Regular" w:cstheme="minorHAnsi"/>
          <w:b/>
          <w:bCs/>
          <w:sz w:val="24"/>
          <w:szCs w:val="24"/>
        </w:rPr>
        <w:t>матрицата за оценка</w:t>
      </w:r>
      <w:r>
        <w:rPr>
          <w:rFonts w:ascii="StobiSerif Regular" w:hAnsi="StobiSerif Regular" w:cstheme="minorHAnsi"/>
          <w:b/>
          <w:bCs/>
          <w:sz w:val="24"/>
          <w:szCs w:val="24"/>
        </w:rPr>
        <w:t xml:space="preserve"> и </w:t>
      </w:r>
      <w:r w:rsidRPr="00792F26">
        <w:rPr>
          <w:rFonts w:ascii="StobiSerif Regular" w:hAnsi="StobiSerif Regular" w:cstheme="minorHAnsi"/>
          <w:b/>
          <w:sz w:val="24"/>
          <w:szCs w:val="24"/>
        </w:rPr>
        <w:t>Прашалникот за институцијата</w:t>
      </w:r>
      <w:r w:rsidRPr="00D91ACA">
        <w:rPr>
          <w:rFonts w:ascii="StobiSerif Regular" w:hAnsi="StobiSerif Regular" w:cstheme="minorHAnsi"/>
          <w:sz w:val="24"/>
          <w:szCs w:val="24"/>
        </w:rPr>
        <w:t xml:space="preserve"> (посебно за буџетски корисници, посебно за единки корисници)</w:t>
      </w:r>
      <w:r>
        <w:rPr>
          <w:rFonts w:ascii="StobiSerif Regular" w:hAnsi="StobiSerif Regular" w:cstheme="minorHAnsi"/>
          <w:sz w:val="24"/>
          <w:szCs w:val="24"/>
        </w:rPr>
        <w:t>.</w:t>
      </w:r>
    </w:p>
    <w:p w14:paraId="12AFD4B8" w14:textId="5D848AF2" w:rsidR="00FA0A33" w:rsidRPr="000B5C4E" w:rsidRDefault="00FA0A33" w:rsidP="00792F26">
      <w:pPr>
        <w:pStyle w:val="NoSpacing"/>
        <w:spacing w:line="360" w:lineRule="auto"/>
        <w:ind w:left="1440"/>
        <w:jc w:val="both"/>
        <w:rPr>
          <w:rFonts w:ascii="StobiSerif Regular" w:hAnsi="StobiSerif Regular" w:cstheme="minorHAnsi"/>
          <w:sz w:val="24"/>
          <w:szCs w:val="24"/>
        </w:rPr>
      </w:pPr>
      <w:r w:rsidRPr="000B5C4E">
        <w:rPr>
          <w:rFonts w:ascii="StobiSerif Regular" w:hAnsi="StobiSerif Regular" w:cstheme="minorHAnsi"/>
          <w:sz w:val="24"/>
          <w:szCs w:val="24"/>
        </w:rPr>
        <w:t xml:space="preserve"> Да се ревидира методологијата за оценување за да ги земе предвид специфичните разлики помеѓу буџетските и единките корисници, со фокус на нивните обврски и ресурси.</w:t>
      </w:r>
    </w:p>
    <w:p w14:paraId="7E80636B"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lastRenderedPageBreak/>
        <w:t>Воведување на построги критериуми за транспарентност</w:t>
      </w:r>
      <w:r w:rsidRPr="000B5C4E">
        <w:rPr>
          <w:rFonts w:ascii="StobiSerif Regular" w:hAnsi="StobiSerif Regular" w:cstheme="minorHAnsi"/>
          <w:sz w:val="24"/>
          <w:szCs w:val="24"/>
        </w:rPr>
        <w:t>: Да се обезбедат стандарди кои ќе ги поттикнат институциите да објавуваат повеќе информации, особено во однос на достапноста на услуги.</w:t>
      </w:r>
    </w:p>
    <w:p w14:paraId="1E72F224"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t>Подобрување на Управувањето со Човечките Ресурси</w:t>
      </w:r>
      <w:r w:rsidRPr="000B5C4E">
        <w:rPr>
          <w:rFonts w:ascii="StobiSerif Regular" w:hAnsi="StobiSerif Regular" w:cstheme="minorHAnsi"/>
          <w:sz w:val="24"/>
          <w:szCs w:val="24"/>
        </w:rPr>
        <w:t>:</w:t>
      </w:r>
    </w:p>
    <w:p w14:paraId="3AC002B4"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Воведување редовна обука за вработените во институциите за подобрување на односот со клиентите и разбирање на нивните потреби.</w:t>
      </w:r>
    </w:p>
    <w:p w14:paraId="733492FF"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Примена на механизми за следење и наградување на перформансите на вработените за мотивирање на висококвалитетно извршување на работните обврски.</w:t>
      </w:r>
    </w:p>
    <w:p w14:paraId="42F83826"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t>Зголемување на Ефикасноста во Обезбедување Услуги</w:t>
      </w:r>
      <w:r w:rsidRPr="000B5C4E">
        <w:rPr>
          <w:rFonts w:ascii="StobiSerif Regular" w:hAnsi="StobiSerif Regular" w:cstheme="minorHAnsi"/>
          <w:sz w:val="24"/>
          <w:szCs w:val="24"/>
        </w:rPr>
        <w:t>:</w:t>
      </w:r>
    </w:p>
    <w:p w14:paraId="478ED8DB"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Да се имплементира дигитализација на услугите каде што е можно, за да се намали времето на чекање и да се зголеми достапноста на услугите за граѓаните.</w:t>
      </w:r>
    </w:p>
    <w:p w14:paraId="4E22153C"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Воведување на единствен систем за редици со ливчиња за чекање, кој ќе биде применет во сите институции.</w:t>
      </w:r>
    </w:p>
    <w:p w14:paraId="0C958A2C"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t>Подобрување на Транспарентноста и Комуникацијата</w:t>
      </w:r>
      <w:r w:rsidRPr="000B5C4E">
        <w:rPr>
          <w:rFonts w:ascii="StobiSerif Regular" w:hAnsi="StobiSerif Regular" w:cstheme="minorHAnsi"/>
          <w:sz w:val="24"/>
          <w:szCs w:val="24"/>
        </w:rPr>
        <w:t>:</w:t>
      </w:r>
    </w:p>
    <w:p w14:paraId="5FE2789F"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Институциите да обезбедат јасни и лесно достапни упатства за процесите и процедурите за добивање на услуги, како и редовно ажурирање на веб-страниците.</w:t>
      </w:r>
    </w:p>
    <w:p w14:paraId="7901565E" w14:textId="4A8C0515" w:rsidR="00BB07D7" w:rsidRPr="00B32951" w:rsidRDefault="00FA0A33" w:rsidP="00BB07D7">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Воведување на сандачиња за жалби и предлози за секоја институција со активен процес на следење и решавање на поднесоците.</w:t>
      </w:r>
    </w:p>
    <w:p w14:paraId="71723E3A"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t>Интегрирање на Системи за Управување со Квалитет</w:t>
      </w:r>
      <w:r w:rsidRPr="000B5C4E">
        <w:rPr>
          <w:rFonts w:ascii="StobiSerif Regular" w:hAnsi="StobiSerif Regular" w:cstheme="minorHAnsi"/>
          <w:sz w:val="24"/>
          <w:szCs w:val="24"/>
        </w:rPr>
        <w:t>:</w:t>
      </w:r>
    </w:p>
    <w:p w14:paraId="46CA3D1E"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Да се обезбеди целосно почитување на стандардите за управување со квалитет, вклучувајќи и WCAG стандардите за веб-достапност.</w:t>
      </w:r>
    </w:p>
    <w:p w14:paraId="57978017"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Да се осигура дека институциите имплементираат ефикасни и транспарентни системи за мониторинг и евалуација на услугите.</w:t>
      </w:r>
    </w:p>
    <w:p w14:paraId="6A19C42D"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lastRenderedPageBreak/>
        <w:t>Фокус на Специфични Области со Ниско Рангирање</w:t>
      </w:r>
      <w:r w:rsidRPr="000B5C4E">
        <w:rPr>
          <w:rFonts w:ascii="StobiSerif Regular" w:hAnsi="StobiSerif Regular" w:cstheme="minorHAnsi"/>
          <w:sz w:val="24"/>
          <w:szCs w:val="24"/>
        </w:rPr>
        <w:t>:</w:t>
      </w:r>
    </w:p>
    <w:p w14:paraId="7987D9AC"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Инспекторатот за животна средина и Министерството за европски прашања, како најниско рангирани, да добијат приоритетна техничка и организациска поддршка за надминување на идентификуваните слабости.</w:t>
      </w:r>
    </w:p>
    <w:p w14:paraId="6BB687D4"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Да се обезбедат јасни цели и чекори за зголемување на резултатите во областите на управување со квалитет и транспарентност.</w:t>
      </w:r>
    </w:p>
    <w:p w14:paraId="5485C308" w14:textId="77777777" w:rsidR="00FA0A33" w:rsidRPr="000B5C4E" w:rsidRDefault="00FA0A33" w:rsidP="00FA0A33">
      <w:pPr>
        <w:pStyle w:val="NoSpacing"/>
        <w:numPr>
          <w:ilvl w:val="0"/>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b/>
          <w:bCs/>
          <w:sz w:val="24"/>
          <w:szCs w:val="24"/>
        </w:rPr>
        <w:t>Континуирана Обука и Поддршка за Институциите</w:t>
      </w:r>
      <w:r w:rsidRPr="000B5C4E">
        <w:rPr>
          <w:rFonts w:ascii="StobiSerif Regular" w:hAnsi="StobiSerif Regular" w:cstheme="minorHAnsi"/>
          <w:sz w:val="24"/>
          <w:szCs w:val="24"/>
        </w:rPr>
        <w:t>:</w:t>
      </w:r>
    </w:p>
    <w:p w14:paraId="2A97DCDA"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Организирање редовни обуки и работилници за управување со квалитет, транспарентност, и дигитална трансформација за сите институции.</w:t>
      </w:r>
    </w:p>
    <w:p w14:paraId="1F0073F5" w14:textId="77777777" w:rsidR="00FA0A33" w:rsidRPr="000B5C4E" w:rsidRDefault="00FA0A33" w:rsidP="00FA0A33">
      <w:pPr>
        <w:pStyle w:val="NoSpacing"/>
        <w:numPr>
          <w:ilvl w:val="1"/>
          <w:numId w:val="24"/>
        </w:numPr>
        <w:spacing w:line="360" w:lineRule="auto"/>
        <w:jc w:val="both"/>
        <w:rPr>
          <w:rFonts w:ascii="StobiSerif Regular" w:hAnsi="StobiSerif Regular" w:cstheme="minorHAnsi"/>
          <w:sz w:val="24"/>
          <w:szCs w:val="24"/>
        </w:rPr>
      </w:pPr>
      <w:r w:rsidRPr="000B5C4E">
        <w:rPr>
          <w:rFonts w:ascii="StobiSerif Regular" w:hAnsi="StobiSerif Regular" w:cstheme="minorHAnsi"/>
          <w:sz w:val="24"/>
          <w:szCs w:val="24"/>
        </w:rPr>
        <w:t>Обезбедување финансиски и технички ресурси за институциите со ограничени капацитети.</w:t>
      </w:r>
    </w:p>
    <w:p w14:paraId="7B4B57D6" w14:textId="77777777" w:rsidR="00304831" w:rsidRPr="000B5C4E" w:rsidRDefault="00304831" w:rsidP="00707BB3">
      <w:pPr>
        <w:pStyle w:val="NoSpacing"/>
        <w:spacing w:line="360" w:lineRule="auto"/>
        <w:ind w:left="720"/>
        <w:jc w:val="both"/>
        <w:rPr>
          <w:rFonts w:ascii="StobiSerif Regular" w:hAnsi="StobiSerif Regular" w:cstheme="minorHAnsi"/>
          <w:sz w:val="24"/>
          <w:szCs w:val="24"/>
          <w:highlight w:val="yellow"/>
        </w:rPr>
      </w:pPr>
    </w:p>
    <w:p w14:paraId="010596D7" w14:textId="77777777" w:rsidR="00304831" w:rsidRPr="000B5C4E" w:rsidRDefault="00304831" w:rsidP="00707BB3">
      <w:pPr>
        <w:pStyle w:val="NoSpacing"/>
        <w:spacing w:line="360" w:lineRule="auto"/>
        <w:ind w:left="720"/>
        <w:jc w:val="both"/>
        <w:rPr>
          <w:rFonts w:ascii="StobiSerif Regular" w:hAnsi="StobiSerif Regular" w:cstheme="minorHAnsi"/>
          <w:sz w:val="24"/>
          <w:szCs w:val="24"/>
          <w:highlight w:val="yellow"/>
        </w:rPr>
      </w:pPr>
    </w:p>
    <w:p w14:paraId="04007074" w14:textId="77777777" w:rsidR="000D1C8B" w:rsidRPr="000B5C4E" w:rsidRDefault="000D1C8B" w:rsidP="00707BB3">
      <w:pPr>
        <w:pStyle w:val="NoSpacing"/>
        <w:spacing w:line="360" w:lineRule="auto"/>
        <w:ind w:left="720"/>
        <w:jc w:val="both"/>
        <w:rPr>
          <w:rFonts w:ascii="StobiSerif Regular" w:hAnsi="StobiSerif Regular" w:cstheme="minorHAnsi"/>
          <w:sz w:val="24"/>
          <w:szCs w:val="24"/>
        </w:rPr>
      </w:pPr>
    </w:p>
    <w:p w14:paraId="6A59728D" w14:textId="77777777" w:rsidR="005F197A" w:rsidRPr="000B5C4E" w:rsidRDefault="005F197A" w:rsidP="005820BF">
      <w:pPr>
        <w:suppressAutoHyphens w:val="0"/>
        <w:spacing w:line="259" w:lineRule="auto"/>
        <w:rPr>
          <w:rFonts w:eastAsia="Calibri"/>
          <w:lang w:eastAsia="en-US"/>
        </w:rPr>
      </w:pPr>
    </w:p>
    <w:p w14:paraId="1AEDF2E4" w14:textId="38678C3D" w:rsidR="005F197A" w:rsidRPr="000B5C4E" w:rsidRDefault="005F197A" w:rsidP="005820BF">
      <w:pPr>
        <w:suppressAutoHyphens w:val="0"/>
        <w:spacing w:line="259" w:lineRule="auto"/>
        <w:rPr>
          <w:rFonts w:eastAsia="Calibri"/>
          <w:lang w:eastAsia="en-US"/>
        </w:rPr>
      </w:pPr>
    </w:p>
    <w:p w14:paraId="01737166" w14:textId="77777777" w:rsidR="005F197A" w:rsidRDefault="005F197A" w:rsidP="00BD2475">
      <w:pPr>
        <w:pStyle w:val="a0"/>
        <w:rPr>
          <w:rFonts w:ascii="StobiSerif Regular" w:hAnsi="StobiSerif Regular"/>
        </w:rPr>
      </w:pPr>
    </w:p>
    <w:sectPr w:rsidR="005F197A" w:rsidSect="00F321BF">
      <w:headerReference w:type="default" r:id="rId14"/>
      <w:footerReference w:type="default" r:id="rId15"/>
      <w:type w:val="continuous"/>
      <w:pgSz w:w="11906" w:h="16838" w:code="9"/>
      <w:pgMar w:top="3600"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94B8B" w14:textId="77777777" w:rsidR="00B644FC" w:rsidRDefault="00B644FC" w:rsidP="00DC5C24">
      <w:r>
        <w:separator/>
      </w:r>
    </w:p>
  </w:endnote>
  <w:endnote w:type="continuationSeparator" w:id="0">
    <w:p w14:paraId="723771B8" w14:textId="77777777" w:rsidR="00B644FC" w:rsidRDefault="00B644FC"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612847"/>
      <w:docPartObj>
        <w:docPartGallery w:val="Page Numbers (Bottom of Page)"/>
        <w:docPartUnique/>
      </w:docPartObj>
    </w:sdtPr>
    <w:sdtEndPr>
      <w:rPr>
        <w:noProof/>
      </w:rPr>
    </w:sdtEndPr>
    <w:sdtContent>
      <w:p w14:paraId="47483745" w14:textId="7C2AEF70" w:rsidR="008236AE" w:rsidRDefault="008236AE">
        <w:pPr>
          <w:pStyle w:val="Footer"/>
          <w:jc w:val="right"/>
        </w:pPr>
        <w:r>
          <w:fldChar w:fldCharType="begin"/>
        </w:r>
        <w:r>
          <w:instrText xml:space="preserve"> PAGE   \* MERGEFORMAT </w:instrText>
        </w:r>
        <w:r>
          <w:fldChar w:fldCharType="separate"/>
        </w:r>
        <w:r w:rsidR="00494E87">
          <w:rPr>
            <w:noProof/>
          </w:rPr>
          <w:t>19</w:t>
        </w:r>
        <w:r>
          <w:rPr>
            <w:noProof/>
          </w:rPr>
          <w:fldChar w:fldCharType="end"/>
        </w:r>
      </w:p>
    </w:sdtContent>
  </w:sdt>
  <w:p w14:paraId="0B126272" w14:textId="58FB99CD" w:rsidR="006C42D1" w:rsidRPr="000F2E5D" w:rsidRDefault="006C42D1" w:rsidP="0059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D9C0" w14:textId="77777777" w:rsidR="00B644FC" w:rsidRDefault="00B644FC" w:rsidP="00DC5C24">
      <w:r>
        <w:separator/>
      </w:r>
    </w:p>
  </w:footnote>
  <w:footnote w:type="continuationSeparator" w:id="0">
    <w:p w14:paraId="240EE019" w14:textId="77777777" w:rsidR="00B644FC" w:rsidRDefault="00B644FC" w:rsidP="00DC5C24">
      <w:r>
        <w:continuationSeparator/>
      </w:r>
    </w:p>
  </w:footnote>
  <w:footnote w:id="1">
    <w:p w14:paraId="65D364C0" w14:textId="77777777" w:rsidR="005F6C70" w:rsidRPr="00215A7A" w:rsidRDefault="005F6C70" w:rsidP="005F6C70">
      <w:pPr>
        <w:pStyle w:val="FootnoteText"/>
        <w:rPr>
          <w:rFonts w:ascii="StobiSerif Regular" w:eastAsiaTheme="minorHAnsi" w:hAnsi="StobiSerif Regular" w:cstheme="minorHAnsi"/>
          <w:sz w:val="22"/>
          <w:szCs w:val="22"/>
          <w:lang w:eastAsia="en-US"/>
        </w:rPr>
      </w:pPr>
      <w:r>
        <w:rPr>
          <w:rStyle w:val="FootnoteReference"/>
        </w:rPr>
        <w:footnoteRef/>
      </w:r>
      <w:r>
        <w:t xml:space="preserve"> </w:t>
      </w:r>
      <w:r w:rsidRPr="00C81F3C">
        <w:rPr>
          <w:rFonts w:ascii="StobiSerif Regular" w:eastAsiaTheme="minorHAnsi" w:hAnsi="StobiSerif Regular" w:cstheme="minorHAnsi"/>
          <w:lang w:eastAsia="en-US"/>
        </w:rPr>
        <w:t>КОНСОЛИДИРАН ТЕКСТ Закон за буџетите („Службен весник на Република Македонија“ бр. 64/2005; 4/2008; 103/2008; 156/2009, 95/2010; 180/2011; 171/2012 и 192/2015);</w:t>
      </w:r>
    </w:p>
  </w:footnote>
  <w:footnote w:id="2">
    <w:p w14:paraId="301D55CB" w14:textId="77777777" w:rsidR="00F07605" w:rsidRDefault="00F07605" w:rsidP="00F07605">
      <w:pPr>
        <w:pStyle w:val="FootnoteText"/>
      </w:pPr>
      <w:r>
        <w:rPr>
          <w:rStyle w:val="FootnoteReference"/>
        </w:rPr>
        <w:footnoteRef/>
      </w:r>
      <w:r>
        <w:t xml:space="preserve"> </w:t>
      </w:r>
      <w:r w:rsidRPr="00215A7A">
        <w:rPr>
          <w:rFonts w:ascii="StobiSerif Regular" w:eastAsiaTheme="minorHAnsi" w:hAnsi="StobiSerif Regular" w:cstheme="minorHAnsi"/>
          <w:sz w:val="22"/>
          <w:szCs w:val="22"/>
          <w:lang w:eastAsia="en-US"/>
        </w:rPr>
        <w:t>“Службен весник на РМ “ бр 255 од 17 декември 2024 година</w:t>
      </w:r>
      <w:r>
        <w:rPr>
          <w:rFonts w:ascii="StobiSerif Regular" w:eastAsiaTheme="minorHAnsi" w:hAnsi="StobiSerif Regular" w:cstheme="minorHAnsi"/>
          <w:sz w:val="22"/>
          <w:szCs w:val="22"/>
          <w:lang w:eastAsia="en-US"/>
        </w:rPr>
        <w:t>;</w:t>
      </w:r>
    </w:p>
  </w:footnote>
  <w:footnote w:id="3">
    <w:p w14:paraId="70710876" w14:textId="77777777" w:rsidR="00F07605" w:rsidRPr="006D20E0" w:rsidRDefault="00F07605" w:rsidP="00F07605">
      <w:pPr>
        <w:pStyle w:val="FootnoteText"/>
        <w:rPr>
          <w:rFonts w:ascii="StobiSerif Regular" w:eastAsiaTheme="minorHAnsi" w:hAnsi="StobiSerif Regular" w:cstheme="minorHAnsi"/>
          <w:sz w:val="22"/>
          <w:szCs w:val="22"/>
          <w:lang w:eastAsia="en-US"/>
        </w:rPr>
      </w:pPr>
      <w:r>
        <w:rPr>
          <w:rStyle w:val="FootnoteReference"/>
        </w:rPr>
        <w:footnoteRef/>
      </w:r>
      <w:r>
        <w:t xml:space="preserve"> </w:t>
      </w:r>
      <w:r w:rsidRPr="006D20E0">
        <w:rPr>
          <w:rFonts w:ascii="StobiSerif Regular" w:eastAsiaTheme="minorHAnsi" w:hAnsi="StobiSerif Regular" w:cstheme="minorHAnsi"/>
          <w:sz w:val="22"/>
          <w:szCs w:val="22"/>
          <w:lang w:eastAsia="en-US"/>
        </w:rPr>
        <w:t>„Службен весник на Република Македонија“ бр. 90/2009, Одлука на Уставниот суд на Република Македонија У. бр. 46/2010 од 12 јануари 2011 година, објавена во „Службен весник на Република Македонија“ бр. 12/2011, 188/2013 и 192/2015</w:t>
      </w:r>
      <w:r w:rsidRPr="006D20E0">
        <w:rPr>
          <w:rFonts w:ascii="StobiSerif Regular" w:eastAsiaTheme="minorHAnsi" w:hAnsi="StobiSerif Regular" w:cstheme="minorHAnsi"/>
          <w:sz w:val="22"/>
          <w:szCs w:val="22"/>
          <w:lang w:eastAsia="en-US"/>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FF7C" w14:textId="5EE3985A" w:rsidR="00DC5C24" w:rsidRDefault="00000000" w:rsidP="00001E20">
    <w:pPr>
      <w:jc w:val="center"/>
    </w:pPr>
    <w:r>
      <w:rPr>
        <w:noProof/>
        <w:lang w:val="en-US" w:eastAsia="en-US"/>
      </w:rPr>
      <w:pict w14:anchorId="3D4FB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84" type="#_x0000_t75" style="position:absolute;left:0;text-align:left;margin-left:-3.1pt;margin-top:45.2pt;width:457.3pt;height:482.4pt;z-index:-251658752;mso-position-horizontal-relative:margin;mso-position-vertical-relative:margin" o:allowincell="f">
          <v:imagedata r:id="rId1" o:title="Watermark_Memo"/>
          <w10:wrap anchorx="margin" anchory="margin"/>
        </v:shape>
      </w:pict>
    </w:r>
    <w:r w:rsidR="00CB6E90">
      <w:rPr>
        <w:noProof/>
        <w:lang w:eastAsia="mk-MK"/>
      </w:rPr>
      <w:drawing>
        <wp:inline distT="0" distB="0" distL="0" distR="0" wp14:anchorId="5C58A0E4" wp14:editId="449D50E1">
          <wp:extent cx="2895600" cy="1838325"/>
          <wp:effectExtent l="0" t="0" r="0" b="9525"/>
          <wp:docPr id="2128977031"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77031" name="Picture 6"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95600" cy="1838325"/>
                  </a:xfrm>
                  <a:prstGeom prst="rect">
                    <a:avLst/>
                  </a:prstGeom>
                </pic:spPr>
              </pic:pic>
            </a:graphicData>
          </a:graphic>
        </wp:inline>
      </w:drawing>
    </w:r>
  </w:p>
  <w:p w14:paraId="7A64152E" w14:textId="641D7133" w:rsidR="00906251" w:rsidRDefault="00906251"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25pt;height:14.25pt" o:bullet="t">
        <v:imagedata r:id="rId1" o:title="mso73F8"/>
      </v:shape>
    </w:pict>
  </w:numPicBullet>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C114B"/>
    <w:multiLevelType w:val="hybridMultilevel"/>
    <w:tmpl w:val="1BBC4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B2143B"/>
    <w:multiLevelType w:val="hybridMultilevel"/>
    <w:tmpl w:val="B3C0685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356E9"/>
    <w:multiLevelType w:val="hybridMultilevel"/>
    <w:tmpl w:val="C81421A0"/>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E8A3AB6"/>
    <w:multiLevelType w:val="multilevel"/>
    <w:tmpl w:val="29E492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477F7"/>
    <w:multiLevelType w:val="hybridMultilevel"/>
    <w:tmpl w:val="463837B0"/>
    <w:lvl w:ilvl="0" w:tplc="042F000F">
      <w:start w:val="1"/>
      <w:numFmt w:val="decimal"/>
      <w:lvlText w:val="%1."/>
      <w:lvlJc w:val="left"/>
      <w:pPr>
        <w:ind w:left="1400" w:hanging="360"/>
      </w:pPr>
    </w:lvl>
    <w:lvl w:ilvl="1" w:tplc="042F0019" w:tentative="1">
      <w:start w:val="1"/>
      <w:numFmt w:val="lowerLetter"/>
      <w:lvlText w:val="%2."/>
      <w:lvlJc w:val="left"/>
      <w:pPr>
        <w:ind w:left="2120" w:hanging="360"/>
      </w:pPr>
    </w:lvl>
    <w:lvl w:ilvl="2" w:tplc="042F001B" w:tentative="1">
      <w:start w:val="1"/>
      <w:numFmt w:val="lowerRoman"/>
      <w:lvlText w:val="%3."/>
      <w:lvlJc w:val="right"/>
      <w:pPr>
        <w:ind w:left="2840" w:hanging="180"/>
      </w:pPr>
    </w:lvl>
    <w:lvl w:ilvl="3" w:tplc="042F000F" w:tentative="1">
      <w:start w:val="1"/>
      <w:numFmt w:val="decimal"/>
      <w:lvlText w:val="%4."/>
      <w:lvlJc w:val="left"/>
      <w:pPr>
        <w:ind w:left="3560" w:hanging="360"/>
      </w:pPr>
    </w:lvl>
    <w:lvl w:ilvl="4" w:tplc="042F0019" w:tentative="1">
      <w:start w:val="1"/>
      <w:numFmt w:val="lowerLetter"/>
      <w:lvlText w:val="%5."/>
      <w:lvlJc w:val="left"/>
      <w:pPr>
        <w:ind w:left="4280" w:hanging="360"/>
      </w:pPr>
    </w:lvl>
    <w:lvl w:ilvl="5" w:tplc="042F001B" w:tentative="1">
      <w:start w:val="1"/>
      <w:numFmt w:val="lowerRoman"/>
      <w:lvlText w:val="%6."/>
      <w:lvlJc w:val="right"/>
      <w:pPr>
        <w:ind w:left="5000" w:hanging="180"/>
      </w:pPr>
    </w:lvl>
    <w:lvl w:ilvl="6" w:tplc="042F000F" w:tentative="1">
      <w:start w:val="1"/>
      <w:numFmt w:val="decimal"/>
      <w:lvlText w:val="%7."/>
      <w:lvlJc w:val="left"/>
      <w:pPr>
        <w:ind w:left="5720" w:hanging="360"/>
      </w:pPr>
    </w:lvl>
    <w:lvl w:ilvl="7" w:tplc="042F0019" w:tentative="1">
      <w:start w:val="1"/>
      <w:numFmt w:val="lowerLetter"/>
      <w:lvlText w:val="%8."/>
      <w:lvlJc w:val="left"/>
      <w:pPr>
        <w:ind w:left="6440" w:hanging="360"/>
      </w:pPr>
    </w:lvl>
    <w:lvl w:ilvl="8" w:tplc="042F001B" w:tentative="1">
      <w:start w:val="1"/>
      <w:numFmt w:val="lowerRoman"/>
      <w:lvlText w:val="%9."/>
      <w:lvlJc w:val="right"/>
      <w:pPr>
        <w:ind w:left="7160" w:hanging="180"/>
      </w:pPr>
    </w:lvl>
  </w:abstractNum>
  <w:abstractNum w:abstractNumId="16" w15:restartNumberingAfterBreak="0">
    <w:nsid w:val="309A37C7"/>
    <w:multiLevelType w:val="hybridMultilevel"/>
    <w:tmpl w:val="F9E0AE5E"/>
    <w:lvl w:ilvl="0" w:tplc="0AD85576">
      <w:start w:val="10"/>
      <w:numFmt w:val="bullet"/>
      <w:lvlText w:val="-"/>
      <w:lvlJc w:val="left"/>
      <w:pPr>
        <w:ind w:left="720" w:hanging="360"/>
      </w:pPr>
      <w:rPr>
        <w:rFonts w:ascii="StobiSerif Regular" w:eastAsiaTheme="minorHAnsi" w:hAnsi="StobiSerif Regular" w:cstheme="minorHAns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6631F5B"/>
    <w:multiLevelType w:val="hybridMultilevel"/>
    <w:tmpl w:val="A2868E2A"/>
    <w:lvl w:ilvl="0" w:tplc="8B8883B8">
      <w:start w:val="1"/>
      <w:numFmt w:val="bullet"/>
      <w:lvlText w:val=""/>
      <w:lvlJc w:val="left"/>
      <w:pPr>
        <w:ind w:left="720" w:hanging="360"/>
      </w:pPr>
      <w:rPr>
        <w:rFonts w:ascii="Symbol" w:hAnsi="Symbol" w:hint="default"/>
        <w:sz w:val="16"/>
        <w:szCs w:val="16"/>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B200CF0"/>
    <w:multiLevelType w:val="hybridMultilevel"/>
    <w:tmpl w:val="C1B0221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40B2334A"/>
    <w:multiLevelType w:val="hybridMultilevel"/>
    <w:tmpl w:val="0F244D6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2F9184A"/>
    <w:multiLevelType w:val="hybridMultilevel"/>
    <w:tmpl w:val="BF34CF2E"/>
    <w:lvl w:ilvl="0" w:tplc="6F244280">
      <w:start w:val="1"/>
      <w:numFmt w:val="decimal"/>
      <w:lvlText w:val="%1."/>
      <w:lvlJc w:val="left"/>
      <w:pPr>
        <w:ind w:left="720" w:hanging="360"/>
      </w:pPr>
      <w:rPr>
        <w:rFonts w:eastAsia="Calibri"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6FC70E9"/>
    <w:multiLevelType w:val="hybridMultilevel"/>
    <w:tmpl w:val="72EE940C"/>
    <w:lvl w:ilvl="0" w:tplc="042F0007">
      <w:start w:val="1"/>
      <w:numFmt w:val="bullet"/>
      <w:lvlText w:val=""/>
      <w:lvlPicBulletId w:val="0"/>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22" w15:restartNumberingAfterBreak="0">
    <w:nsid w:val="4DFA3D1E"/>
    <w:multiLevelType w:val="multilevel"/>
    <w:tmpl w:val="E1CAB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10091F"/>
    <w:multiLevelType w:val="hybridMultilevel"/>
    <w:tmpl w:val="F1C6F208"/>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619F6F04"/>
    <w:multiLevelType w:val="hybridMultilevel"/>
    <w:tmpl w:val="FB3AA022"/>
    <w:lvl w:ilvl="0" w:tplc="0A34B980">
      <w:start w:val="10"/>
      <w:numFmt w:val="bullet"/>
      <w:lvlText w:val="-"/>
      <w:lvlJc w:val="left"/>
      <w:pPr>
        <w:ind w:left="405" w:hanging="360"/>
      </w:pPr>
      <w:rPr>
        <w:rFonts w:ascii="StobiSans Regular" w:eastAsia="Calibri" w:hAnsi="StobiSans Regular" w:cs="Times New Roman" w:hint="default"/>
      </w:rPr>
    </w:lvl>
    <w:lvl w:ilvl="1" w:tplc="042F0003" w:tentative="1">
      <w:start w:val="1"/>
      <w:numFmt w:val="bullet"/>
      <w:lvlText w:val="o"/>
      <w:lvlJc w:val="left"/>
      <w:pPr>
        <w:ind w:left="1125" w:hanging="360"/>
      </w:pPr>
      <w:rPr>
        <w:rFonts w:ascii="Courier New" w:hAnsi="Courier New" w:cs="Courier New" w:hint="default"/>
      </w:rPr>
    </w:lvl>
    <w:lvl w:ilvl="2" w:tplc="042F0005" w:tentative="1">
      <w:start w:val="1"/>
      <w:numFmt w:val="bullet"/>
      <w:lvlText w:val=""/>
      <w:lvlJc w:val="left"/>
      <w:pPr>
        <w:ind w:left="1845" w:hanging="360"/>
      </w:pPr>
      <w:rPr>
        <w:rFonts w:ascii="Wingdings" w:hAnsi="Wingdings" w:hint="default"/>
      </w:rPr>
    </w:lvl>
    <w:lvl w:ilvl="3" w:tplc="042F0001" w:tentative="1">
      <w:start w:val="1"/>
      <w:numFmt w:val="bullet"/>
      <w:lvlText w:val=""/>
      <w:lvlJc w:val="left"/>
      <w:pPr>
        <w:ind w:left="2565" w:hanging="360"/>
      </w:pPr>
      <w:rPr>
        <w:rFonts w:ascii="Symbol" w:hAnsi="Symbol" w:hint="default"/>
      </w:rPr>
    </w:lvl>
    <w:lvl w:ilvl="4" w:tplc="042F0003" w:tentative="1">
      <w:start w:val="1"/>
      <w:numFmt w:val="bullet"/>
      <w:lvlText w:val="o"/>
      <w:lvlJc w:val="left"/>
      <w:pPr>
        <w:ind w:left="3285" w:hanging="360"/>
      </w:pPr>
      <w:rPr>
        <w:rFonts w:ascii="Courier New" w:hAnsi="Courier New" w:cs="Courier New" w:hint="default"/>
      </w:rPr>
    </w:lvl>
    <w:lvl w:ilvl="5" w:tplc="042F0005" w:tentative="1">
      <w:start w:val="1"/>
      <w:numFmt w:val="bullet"/>
      <w:lvlText w:val=""/>
      <w:lvlJc w:val="left"/>
      <w:pPr>
        <w:ind w:left="4005" w:hanging="360"/>
      </w:pPr>
      <w:rPr>
        <w:rFonts w:ascii="Wingdings" w:hAnsi="Wingdings" w:hint="default"/>
      </w:rPr>
    </w:lvl>
    <w:lvl w:ilvl="6" w:tplc="042F0001" w:tentative="1">
      <w:start w:val="1"/>
      <w:numFmt w:val="bullet"/>
      <w:lvlText w:val=""/>
      <w:lvlJc w:val="left"/>
      <w:pPr>
        <w:ind w:left="4725" w:hanging="360"/>
      </w:pPr>
      <w:rPr>
        <w:rFonts w:ascii="Symbol" w:hAnsi="Symbol" w:hint="default"/>
      </w:rPr>
    </w:lvl>
    <w:lvl w:ilvl="7" w:tplc="042F0003" w:tentative="1">
      <w:start w:val="1"/>
      <w:numFmt w:val="bullet"/>
      <w:lvlText w:val="o"/>
      <w:lvlJc w:val="left"/>
      <w:pPr>
        <w:ind w:left="5445" w:hanging="360"/>
      </w:pPr>
      <w:rPr>
        <w:rFonts w:ascii="Courier New" w:hAnsi="Courier New" w:cs="Courier New" w:hint="default"/>
      </w:rPr>
    </w:lvl>
    <w:lvl w:ilvl="8" w:tplc="042F0005" w:tentative="1">
      <w:start w:val="1"/>
      <w:numFmt w:val="bullet"/>
      <w:lvlText w:val=""/>
      <w:lvlJc w:val="left"/>
      <w:pPr>
        <w:ind w:left="6165" w:hanging="360"/>
      </w:pPr>
      <w:rPr>
        <w:rFonts w:ascii="Wingdings" w:hAnsi="Wingdings" w:hint="default"/>
      </w:rPr>
    </w:lvl>
  </w:abstractNum>
  <w:abstractNum w:abstractNumId="25" w15:restartNumberingAfterBreak="0">
    <w:nsid w:val="642116D3"/>
    <w:multiLevelType w:val="hybridMultilevel"/>
    <w:tmpl w:val="E3945354"/>
    <w:lvl w:ilvl="0" w:tplc="6F244280">
      <w:start w:val="1"/>
      <w:numFmt w:val="decimal"/>
      <w:lvlText w:val="%1."/>
      <w:lvlJc w:val="left"/>
      <w:pPr>
        <w:ind w:left="720" w:hanging="360"/>
      </w:pPr>
      <w:rPr>
        <w:rFonts w:eastAsia="Calibri"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62803"/>
    <w:multiLevelType w:val="hybridMultilevel"/>
    <w:tmpl w:val="C9D2F67A"/>
    <w:lvl w:ilvl="0" w:tplc="C6E03716">
      <w:start w:val="1"/>
      <w:numFmt w:val="decimal"/>
      <w:lvlText w:val="%1."/>
      <w:lvlJc w:val="left"/>
      <w:pPr>
        <w:ind w:left="765" w:hanging="360"/>
      </w:pPr>
      <w:rPr>
        <w:rFonts w:hint="default"/>
      </w:r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num w:numId="1" w16cid:durableId="212887768">
    <w:abstractNumId w:val="9"/>
  </w:num>
  <w:num w:numId="2" w16cid:durableId="446042750">
    <w:abstractNumId w:val="7"/>
  </w:num>
  <w:num w:numId="3" w16cid:durableId="2059666654">
    <w:abstractNumId w:val="6"/>
  </w:num>
  <w:num w:numId="4" w16cid:durableId="1048456070">
    <w:abstractNumId w:val="5"/>
  </w:num>
  <w:num w:numId="5" w16cid:durableId="431510576">
    <w:abstractNumId w:val="4"/>
  </w:num>
  <w:num w:numId="6" w16cid:durableId="571082694">
    <w:abstractNumId w:val="8"/>
  </w:num>
  <w:num w:numId="7" w16cid:durableId="627706681">
    <w:abstractNumId w:val="3"/>
  </w:num>
  <w:num w:numId="8" w16cid:durableId="150298042">
    <w:abstractNumId w:val="2"/>
  </w:num>
  <w:num w:numId="9" w16cid:durableId="376398448">
    <w:abstractNumId w:val="1"/>
  </w:num>
  <w:num w:numId="10" w16cid:durableId="2076967512">
    <w:abstractNumId w:val="0"/>
  </w:num>
  <w:num w:numId="11" w16cid:durableId="2032340913">
    <w:abstractNumId w:val="26"/>
  </w:num>
  <w:num w:numId="12" w16cid:durableId="496844925">
    <w:abstractNumId w:val="12"/>
  </w:num>
  <w:num w:numId="13" w16cid:durableId="1757479384">
    <w:abstractNumId w:val="27"/>
  </w:num>
  <w:num w:numId="14" w16cid:durableId="925921912">
    <w:abstractNumId w:val="28"/>
  </w:num>
  <w:num w:numId="15" w16cid:durableId="1257638055">
    <w:abstractNumId w:val="10"/>
  </w:num>
  <w:num w:numId="16" w16cid:durableId="1802068766">
    <w:abstractNumId w:val="13"/>
  </w:num>
  <w:num w:numId="17" w16cid:durableId="1070545599">
    <w:abstractNumId w:val="17"/>
  </w:num>
  <w:num w:numId="18" w16cid:durableId="1372808196">
    <w:abstractNumId w:val="24"/>
  </w:num>
  <w:num w:numId="19" w16cid:durableId="655962055">
    <w:abstractNumId w:val="25"/>
  </w:num>
  <w:num w:numId="20" w16cid:durableId="506672892">
    <w:abstractNumId w:val="23"/>
  </w:num>
  <w:num w:numId="21" w16cid:durableId="17588432">
    <w:abstractNumId w:val="20"/>
  </w:num>
  <w:num w:numId="22" w16cid:durableId="626081351">
    <w:abstractNumId w:val="29"/>
  </w:num>
  <w:num w:numId="23" w16cid:durableId="1737969722">
    <w:abstractNumId w:val="21"/>
  </w:num>
  <w:num w:numId="24" w16cid:durableId="379407162">
    <w:abstractNumId w:val="22"/>
  </w:num>
  <w:num w:numId="25" w16cid:durableId="1758205990">
    <w:abstractNumId w:val="11"/>
  </w:num>
  <w:num w:numId="26" w16cid:durableId="1409032318">
    <w:abstractNumId w:val="19"/>
  </w:num>
  <w:num w:numId="27" w16cid:durableId="401293598">
    <w:abstractNumId w:val="16"/>
  </w:num>
  <w:num w:numId="28" w16cid:durableId="1580753992">
    <w:abstractNumId w:val="15"/>
  </w:num>
  <w:num w:numId="29" w16cid:durableId="914240061">
    <w:abstractNumId w:val="14"/>
  </w:num>
  <w:num w:numId="30" w16cid:durableId="1090614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6E7F"/>
    <w:rsid w:val="00011F23"/>
    <w:rsid w:val="000139E3"/>
    <w:rsid w:val="0001539F"/>
    <w:rsid w:val="00015F9C"/>
    <w:rsid w:val="00020C15"/>
    <w:rsid w:val="00021B2A"/>
    <w:rsid w:val="000273CF"/>
    <w:rsid w:val="000323F6"/>
    <w:rsid w:val="00035379"/>
    <w:rsid w:val="0003569F"/>
    <w:rsid w:val="00035845"/>
    <w:rsid w:val="0003592F"/>
    <w:rsid w:val="000374B2"/>
    <w:rsid w:val="000413E7"/>
    <w:rsid w:val="000414DD"/>
    <w:rsid w:val="00042989"/>
    <w:rsid w:val="00043218"/>
    <w:rsid w:val="00044ED8"/>
    <w:rsid w:val="00045813"/>
    <w:rsid w:val="00047565"/>
    <w:rsid w:val="00050210"/>
    <w:rsid w:val="0005260B"/>
    <w:rsid w:val="00052EFE"/>
    <w:rsid w:val="000573F0"/>
    <w:rsid w:val="0005789E"/>
    <w:rsid w:val="0006043B"/>
    <w:rsid w:val="00061897"/>
    <w:rsid w:val="00061EC9"/>
    <w:rsid w:val="00063048"/>
    <w:rsid w:val="0006367A"/>
    <w:rsid w:val="00064056"/>
    <w:rsid w:val="000660DB"/>
    <w:rsid w:val="000664ED"/>
    <w:rsid w:val="000675A9"/>
    <w:rsid w:val="00067F9E"/>
    <w:rsid w:val="0007053E"/>
    <w:rsid w:val="000803E1"/>
    <w:rsid w:val="0008081A"/>
    <w:rsid w:val="0008191E"/>
    <w:rsid w:val="00082E53"/>
    <w:rsid w:val="00083FFA"/>
    <w:rsid w:val="00085B79"/>
    <w:rsid w:val="00087B76"/>
    <w:rsid w:val="000902E1"/>
    <w:rsid w:val="00091D18"/>
    <w:rsid w:val="0009377E"/>
    <w:rsid w:val="000B02B8"/>
    <w:rsid w:val="000B1FA7"/>
    <w:rsid w:val="000B5335"/>
    <w:rsid w:val="000B5C4E"/>
    <w:rsid w:val="000B6D27"/>
    <w:rsid w:val="000C07EB"/>
    <w:rsid w:val="000C2208"/>
    <w:rsid w:val="000C28D5"/>
    <w:rsid w:val="000D0BC8"/>
    <w:rsid w:val="000D124E"/>
    <w:rsid w:val="000D1C8B"/>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806"/>
    <w:rsid w:val="00112F2F"/>
    <w:rsid w:val="00113B68"/>
    <w:rsid w:val="0011401F"/>
    <w:rsid w:val="001142F8"/>
    <w:rsid w:val="001159BC"/>
    <w:rsid w:val="001167B7"/>
    <w:rsid w:val="00126DEE"/>
    <w:rsid w:val="00127ADA"/>
    <w:rsid w:val="001317FD"/>
    <w:rsid w:val="0013265E"/>
    <w:rsid w:val="00132B65"/>
    <w:rsid w:val="001337FE"/>
    <w:rsid w:val="0013530D"/>
    <w:rsid w:val="00140D4C"/>
    <w:rsid w:val="001425EE"/>
    <w:rsid w:val="00142772"/>
    <w:rsid w:val="00144EC7"/>
    <w:rsid w:val="00147B44"/>
    <w:rsid w:val="00153CBE"/>
    <w:rsid w:val="00155786"/>
    <w:rsid w:val="001565F6"/>
    <w:rsid w:val="00157487"/>
    <w:rsid w:val="0015755C"/>
    <w:rsid w:val="001617CA"/>
    <w:rsid w:val="00161B63"/>
    <w:rsid w:val="00162F39"/>
    <w:rsid w:val="00162F43"/>
    <w:rsid w:val="00166A70"/>
    <w:rsid w:val="001760C7"/>
    <w:rsid w:val="0017686B"/>
    <w:rsid w:val="001807F7"/>
    <w:rsid w:val="00180B7B"/>
    <w:rsid w:val="00182C6F"/>
    <w:rsid w:val="0018384F"/>
    <w:rsid w:val="00183C3B"/>
    <w:rsid w:val="00184BAA"/>
    <w:rsid w:val="00185218"/>
    <w:rsid w:val="00186DF1"/>
    <w:rsid w:val="00187E40"/>
    <w:rsid w:val="001908F2"/>
    <w:rsid w:val="0019449A"/>
    <w:rsid w:val="001959F1"/>
    <w:rsid w:val="001A05C4"/>
    <w:rsid w:val="001A28CA"/>
    <w:rsid w:val="001A42B7"/>
    <w:rsid w:val="001A60E6"/>
    <w:rsid w:val="001B0B35"/>
    <w:rsid w:val="001B4B6E"/>
    <w:rsid w:val="001C4CA2"/>
    <w:rsid w:val="001C52BF"/>
    <w:rsid w:val="001D098C"/>
    <w:rsid w:val="001D27D5"/>
    <w:rsid w:val="001D325E"/>
    <w:rsid w:val="001D4974"/>
    <w:rsid w:val="001D4BBF"/>
    <w:rsid w:val="001D6916"/>
    <w:rsid w:val="001D73D8"/>
    <w:rsid w:val="001E02C6"/>
    <w:rsid w:val="001E09C3"/>
    <w:rsid w:val="001E0DB5"/>
    <w:rsid w:val="001E115B"/>
    <w:rsid w:val="001E2229"/>
    <w:rsid w:val="001E2A90"/>
    <w:rsid w:val="001E3AAC"/>
    <w:rsid w:val="001E3EF5"/>
    <w:rsid w:val="001E69CD"/>
    <w:rsid w:val="001E6E72"/>
    <w:rsid w:val="001F047A"/>
    <w:rsid w:val="001F1B7B"/>
    <w:rsid w:val="001F1F11"/>
    <w:rsid w:val="001F3856"/>
    <w:rsid w:val="001F3BC7"/>
    <w:rsid w:val="001F61E0"/>
    <w:rsid w:val="001F6E25"/>
    <w:rsid w:val="001F7B56"/>
    <w:rsid w:val="002009BB"/>
    <w:rsid w:val="00201379"/>
    <w:rsid w:val="00204192"/>
    <w:rsid w:val="00204561"/>
    <w:rsid w:val="002061E0"/>
    <w:rsid w:val="00206E2E"/>
    <w:rsid w:val="0020754D"/>
    <w:rsid w:val="00207FE6"/>
    <w:rsid w:val="00212A62"/>
    <w:rsid w:val="00213355"/>
    <w:rsid w:val="00214B23"/>
    <w:rsid w:val="00215A7A"/>
    <w:rsid w:val="002200EE"/>
    <w:rsid w:val="00220BF1"/>
    <w:rsid w:val="002221F3"/>
    <w:rsid w:val="002231CC"/>
    <w:rsid w:val="0022703A"/>
    <w:rsid w:val="002326B8"/>
    <w:rsid w:val="00235514"/>
    <w:rsid w:val="00235B2D"/>
    <w:rsid w:val="00235EB7"/>
    <w:rsid w:val="00236FCC"/>
    <w:rsid w:val="00237F58"/>
    <w:rsid w:val="002415D3"/>
    <w:rsid w:val="0024255E"/>
    <w:rsid w:val="0024602F"/>
    <w:rsid w:val="00251D83"/>
    <w:rsid w:val="00252864"/>
    <w:rsid w:val="00252AD9"/>
    <w:rsid w:val="00256E3E"/>
    <w:rsid w:val="002609C0"/>
    <w:rsid w:val="002651CC"/>
    <w:rsid w:val="002714F2"/>
    <w:rsid w:val="00271C6D"/>
    <w:rsid w:val="00272403"/>
    <w:rsid w:val="00273C5B"/>
    <w:rsid w:val="00273D0C"/>
    <w:rsid w:val="00275A53"/>
    <w:rsid w:val="00276661"/>
    <w:rsid w:val="00276CF1"/>
    <w:rsid w:val="00277A97"/>
    <w:rsid w:val="0028317D"/>
    <w:rsid w:val="00290532"/>
    <w:rsid w:val="00293A36"/>
    <w:rsid w:val="00293CD0"/>
    <w:rsid w:val="002944E5"/>
    <w:rsid w:val="0029627D"/>
    <w:rsid w:val="002A210F"/>
    <w:rsid w:val="002A3141"/>
    <w:rsid w:val="002A3AD5"/>
    <w:rsid w:val="002A6D32"/>
    <w:rsid w:val="002A6EA0"/>
    <w:rsid w:val="002A6ED3"/>
    <w:rsid w:val="002A754A"/>
    <w:rsid w:val="002B11CC"/>
    <w:rsid w:val="002B246C"/>
    <w:rsid w:val="002B388E"/>
    <w:rsid w:val="002B45A3"/>
    <w:rsid w:val="002C1C7D"/>
    <w:rsid w:val="002C27B9"/>
    <w:rsid w:val="002C32F3"/>
    <w:rsid w:val="002C5313"/>
    <w:rsid w:val="002C533E"/>
    <w:rsid w:val="002C6A47"/>
    <w:rsid w:val="002D055A"/>
    <w:rsid w:val="002D2CD1"/>
    <w:rsid w:val="002D2FAE"/>
    <w:rsid w:val="002D73BD"/>
    <w:rsid w:val="002D7681"/>
    <w:rsid w:val="002E0A73"/>
    <w:rsid w:val="002E2998"/>
    <w:rsid w:val="002E3011"/>
    <w:rsid w:val="002E32CE"/>
    <w:rsid w:val="002E44CB"/>
    <w:rsid w:val="002E6E53"/>
    <w:rsid w:val="002E7536"/>
    <w:rsid w:val="002F4EEA"/>
    <w:rsid w:val="002F68E8"/>
    <w:rsid w:val="002F6BDA"/>
    <w:rsid w:val="002F6C1E"/>
    <w:rsid w:val="002F6CA3"/>
    <w:rsid w:val="002F7F4F"/>
    <w:rsid w:val="003011A4"/>
    <w:rsid w:val="003014B6"/>
    <w:rsid w:val="00301685"/>
    <w:rsid w:val="003037E4"/>
    <w:rsid w:val="00304831"/>
    <w:rsid w:val="003061F5"/>
    <w:rsid w:val="00306C9B"/>
    <w:rsid w:val="00307E92"/>
    <w:rsid w:val="00314281"/>
    <w:rsid w:val="00315E5A"/>
    <w:rsid w:val="00317E9C"/>
    <w:rsid w:val="00320637"/>
    <w:rsid w:val="00323DC6"/>
    <w:rsid w:val="003242A9"/>
    <w:rsid w:val="00325EA7"/>
    <w:rsid w:val="003262F2"/>
    <w:rsid w:val="00327AB3"/>
    <w:rsid w:val="00327C8A"/>
    <w:rsid w:val="00327D4A"/>
    <w:rsid w:val="00331A42"/>
    <w:rsid w:val="00335DE2"/>
    <w:rsid w:val="003377A9"/>
    <w:rsid w:val="003378CF"/>
    <w:rsid w:val="00341AC8"/>
    <w:rsid w:val="00341D02"/>
    <w:rsid w:val="00345BCC"/>
    <w:rsid w:val="00346152"/>
    <w:rsid w:val="00346273"/>
    <w:rsid w:val="00347D47"/>
    <w:rsid w:val="003501C2"/>
    <w:rsid w:val="0035066D"/>
    <w:rsid w:val="0035213E"/>
    <w:rsid w:val="003522AA"/>
    <w:rsid w:val="003535C3"/>
    <w:rsid w:val="00356024"/>
    <w:rsid w:val="003565FD"/>
    <w:rsid w:val="00362F3A"/>
    <w:rsid w:val="00370ACF"/>
    <w:rsid w:val="00373597"/>
    <w:rsid w:val="0037394C"/>
    <w:rsid w:val="00376AD4"/>
    <w:rsid w:val="0038599F"/>
    <w:rsid w:val="00386382"/>
    <w:rsid w:val="0038648B"/>
    <w:rsid w:val="00387CF7"/>
    <w:rsid w:val="003906C3"/>
    <w:rsid w:val="00390F04"/>
    <w:rsid w:val="003919AC"/>
    <w:rsid w:val="0039429E"/>
    <w:rsid w:val="003942BB"/>
    <w:rsid w:val="00394857"/>
    <w:rsid w:val="003A77B8"/>
    <w:rsid w:val="003A79DD"/>
    <w:rsid w:val="003B099E"/>
    <w:rsid w:val="003B17D4"/>
    <w:rsid w:val="003B2C02"/>
    <w:rsid w:val="003B2C90"/>
    <w:rsid w:val="003B2D26"/>
    <w:rsid w:val="003B3F88"/>
    <w:rsid w:val="003B47C3"/>
    <w:rsid w:val="003B52A8"/>
    <w:rsid w:val="003B5354"/>
    <w:rsid w:val="003B6144"/>
    <w:rsid w:val="003B738F"/>
    <w:rsid w:val="003C1985"/>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3706"/>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15CAA"/>
    <w:rsid w:val="0042703A"/>
    <w:rsid w:val="0042743A"/>
    <w:rsid w:val="00432203"/>
    <w:rsid w:val="00434FA3"/>
    <w:rsid w:val="00436EBF"/>
    <w:rsid w:val="004408E6"/>
    <w:rsid w:val="004436BA"/>
    <w:rsid w:val="0044695B"/>
    <w:rsid w:val="00446B71"/>
    <w:rsid w:val="00453021"/>
    <w:rsid w:val="0045689F"/>
    <w:rsid w:val="00460846"/>
    <w:rsid w:val="0046135C"/>
    <w:rsid w:val="00462067"/>
    <w:rsid w:val="004627B8"/>
    <w:rsid w:val="00463381"/>
    <w:rsid w:val="00467534"/>
    <w:rsid w:val="00470B40"/>
    <w:rsid w:val="004748A7"/>
    <w:rsid w:val="00474938"/>
    <w:rsid w:val="00474D0D"/>
    <w:rsid w:val="00477358"/>
    <w:rsid w:val="00477F53"/>
    <w:rsid w:val="00480345"/>
    <w:rsid w:val="004805A6"/>
    <w:rsid w:val="00483085"/>
    <w:rsid w:val="00487AD1"/>
    <w:rsid w:val="00490EA7"/>
    <w:rsid w:val="00494E87"/>
    <w:rsid w:val="004A0D51"/>
    <w:rsid w:val="004A4A61"/>
    <w:rsid w:val="004A67D2"/>
    <w:rsid w:val="004B0595"/>
    <w:rsid w:val="004B0D4C"/>
    <w:rsid w:val="004B16EE"/>
    <w:rsid w:val="004B2E41"/>
    <w:rsid w:val="004B7BDF"/>
    <w:rsid w:val="004C0037"/>
    <w:rsid w:val="004C009D"/>
    <w:rsid w:val="004C0BF1"/>
    <w:rsid w:val="004C1362"/>
    <w:rsid w:val="004C1548"/>
    <w:rsid w:val="004C1DFF"/>
    <w:rsid w:val="004C73C8"/>
    <w:rsid w:val="004D2DDA"/>
    <w:rsid w:val="004D5837"/>
    <w:rsid w:val="004E0EC9"/>
    <w:rsid w:val="004E1F34"/>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11EE"/>
    <w:rsid w:val="005239E8"/>
    <w:rsid w:val="00527973"/>
    <w:rsid w:val="00540524"/>
    <w:rsid w:val="0054141A"/>
    <w:rsid w:val="00541761"/>
    <w:rsid w:val="005440D1"/>
    <w:rsid w:val="00547F59"/>
    <w:rsid w:val="00550992"/>
    <w:rsid w:val="0055550B"/>
    <w:rsid w:val="00566FD3"/>
    <w:rsid w:val="00567DA2"/>
    <w:rsid w:val="00571F34"/>
    <w:rsid w:val="005741ED"/>
    <w:rsid w:val="00575C0B"/>
    <w:rsid w:val="005778C0"/>
    <w:rsid w:val="005820BF"/>
    <w:rsid w:val="0058672F"/>
    <w:rsid w:val="00586E47"/>
    <w:rsid w:val="0059655D"/>
    <w:rsid w:val="00596DD5"/>
    <w:rsid w:val="005A10C0"/>
    <w:rsid w:val="005A6822"/>
    <w:rsid w:val="005B53AA"/>
    <w:rsid w:val="005B5742"/>
    <w:rsid w:val="005B74AA"/>
    <w:rsid w:val="005C2488"/>
    <w:rsid w:val="005C2739"/>
    <w:rsid w:val="005C2CBE"/>
    <w:rsid w:val="005C4BFE"/>
    <w:rsid w:val="005C68A4"/>
    <w:rsid w:val="005D2528"/>
    <w:rsid w:val="005D5E28"/>
    <w:rsid w:val="005E0634"/>
    <w:rsid w:val="005E109F"/>
    <w:rsid w:val="005E19FF"/>
    <w:rsid w:val="005E3EE0"/>
    <w:rsid w:val="005E4B38"/>
    <w:rsid w:val="005E51BC"/>
    <w:rsid w:val="005E70EA"/>
    <w:rsid w:val="005E772C"/>
    <w:rsid w:val="005F197A"/>
    <w:rsid w:val="005F26BB"/>
    <w:rsid w:val="005F3519"/>
    <w:rsid w:val="005F6C70"/>
    <w:rsid w:val="0060076A"/>
    <w:rsid w:val="0060132E"/>
    <w:rsid w:val="00604BD2"/>
    <w:rsid w:val="006055A6"/>
    <w:rsid w:val="00607517"/>
    <w:rsid w:val="00610666"/>
    <w:rsid w:val="00611FCB"/>
    <w:rsid w:val="00612FF0"/>
    <w:rsid w:val="006141DE"/>
    <w:rsid w:val="0062089E"/>
    <w:rsid w:val="006211EF"/>
    <w:rsid w:val="0062150B"/>
    <w:rsid w:val="00622765"/>
    <w:rsid w:val="00622833"/>
    <w:rsid w:val="00627F98"/>
    <w:rsid w:val="0063013A"/>
    <w:rsid w:val="00630CF4"/>
    <w:rsid w:val="00632C52"/>
    <w:rsid w:val="00633D01"/>
    <w:rsid w:val="00635F22"/>
    <w:rsid w:val="00635F8F"/>
    <w:rsid w:val="0064344D"/>
    <w:rsid w:val="00645900"/>
    <w:rsid w:val="00650646"/>
    <w:rsid w:val="00654330"/>
    <w:rsid w:val="00655D23"/>
    <w:rsid w:val="00661E32"/>
    <w:rsid w:val="00663FC9"/>
    <w:rsid w:val="006666AE"/>
    <w:rsid w:val="00666DD7"/>
    <w:rsid w:val="006714CC"/>
    <w:rsid w:val="00677C9B"/>
    <w:rsid w:val="006806BF"/>
    <w:rsid w:val="006838E4"/>
    <w:rsid w:val="0068593D"/>
    <w:rsid w:val="006865CF"/>
    <w:rsid w:val="00687367"/>
    <w:rsid w:val="006879FF"/>
    <w:rsid w:val="00693DEE"/>
    <w:rsid w:val="006A1AD2"/>
    <w:rsid w:val="006A248D"/>
    <w:rsid w:val="006B1580"/>
    <w:rsid w:val="006B1E2E"/>
    <w:rsid w:val="006B2357"/>
    <w:rsid w:val="006B4AB3"/>
    <w:rsid w:val="006B5EC1"/>
    <w:rsid w:val="006C2A5B"/>
    <w:rsid w:val="006C35E9"/>
    <w:rsid w:val="006C42D1"/>
    <w:rsid w:val="006C4ACE"/>
    <w:rsid w:val="006D030C"/>
    <w:rsid w:val="006D20E0"/>
    <w:rsid w:val="006D3724"/>
    <w:rsid w:val="006E0438"/>
    <w:rsid w:val="006E42AD"/>
    <w:rsid w:val="006E76EE"/>
    <w:rsid w:val="006F220C"/>
    <w:rsid w:val="006F23B7"/>
    <w:rsid w:val="006F5C2E"/>
    <w:rsid w:val="006F5CB5"/>
    <w:rsid w:val="006F6E91"/>
    <w:rsid w:val="006F7D3F"/>
    <w:rsid w:val="00703F05"/>
    <w:rsid w:val="007045D2"/>
    <w:rsid w:val="00705D55"/>
    <w:rsid w:val="00707BB3"/>
    <w:rsid w:val="00707EA7"/>
    <w:rsid w:val="0071202C"/>
    <w:rsid w:val="007122C6"/>
    <w:rsid w:val="007128B4"/>
    <w:rsid w:val="007151FB"/>
    <w:rsid w:val="0071528D"/>
    <w:rsid w:val="00715398"/>
    <w:rsid w:val="00717063"/>
    <w:rsid w:val="00717B20"/>
    <w:rsid w:val="00723C1B"/>
    <w:rsid w:val="00723F81"/>
    <w:rsid w:val="0072484C"/>
    <w:rsid w:val="00724FF7"/>
    <w:rsid w:val="007253A0"/>
    <w:rsid w:val="00726F93"/>
    <w:rsid w:val="00727603"/>
    <w:rsid w:val="00730ABC"/>
    <w:rsid w:val="00730D24"/>
    <w:rsid w:val="00731720"/>
    <w:rsid w:val="00732BA3"/>
    <w:rsid w:val="00732C6F"/>
    <w:rsid w:val="00732CF5"/>
    <w:rsid w:val="00734BDF"/>
    <w:rsid w:val="00742BE4"/>
    <w:rsid w:val="0074451D"/>
    <w:rsid w:val="007463D3"/>
    <w:rsid w:val="00747BA9"/>
    <w:rsid w:val="00750298"/>
    <w:rsid w:val="00751159"/>
    <w:rsid w:val="0075212D"/>
    <w:rsid w:val="007523BB"/>
    <w:rsid w:val="00752626"/>
    <w:rsid w:val="00753567"/>
    <w:rsid w:val="00755920"/>
    <w:rsid w:val="00764126"/>
    <w:rsid w:val="00766307"/>
    <w:rsid w:val="00766C10"/>
    <w:rsid w:val="007710DD"/>
    <w:rsid w:val="00774C76"/>
    <w:rsid w:val="00775229"/>
    <w:rsid w:val="007776DB"/>
    <w:rsid w:val="00780718"/>
    <w:rsid w:val="007809AD"/>
    <w:rsid w:val="00782611"/>
    <w:rsid w:val="007838AD"/>
    <w:rsid w:val="00784DC5"/>
    <w:rsid w:val="00792F26"/>
    <w:rsid w:val="00793DF8"/>
    <w:rsid w:val="00796817"/>
    <w:rsid w:val="007969BE"/>
    <w:rsid w:val="00797B18"/>
    <w:rsid w:val="007A5B7F"/>
    <w:rsid w:val="007A7102"/>
    <w:rsid w:val="007B0E6E"/>
    <w:rsid w:val="007B29EB"/>
    <w:rsid w:val="007B3E13"/>
    <w:rsid w:val="007C05BC"/>
    <w:rsid w:val="007C1E57"/>
    <w:rsid w:val="007C20BC"/>
    <w:rsid w:val="007C55FF"/>
    <w:rsid w:val="007D0CB0"/>
    <w:rsid w:val="007D28EC"/>
    <w:rsid w:val="007D49CF"/>
    <w:rsid w:val="007D6778"/>
    <w:rsid w:val="007D6E64"/>
    <w:rsid w:val="007E0A69"/>
    <w:rsid w:val="007E0B95"/>
    <w:rsid w:val="007E0B98"/>
    <w:rsid w:val="007E16DC"/>
    <w:rsid w:val="007E5A22"/>
    <w:rsid w:val="007E5C9C"/>
    <w:rsid w:val="007E6C25"/>
    <w:rsid w:val="007F0D93"/>
    <w:rsid w:val="007F24AB"/>
    <w:rsid w:val="007F2DFD"/>
    <w:rsid w:val="007F43E3"/>
    <w:rsid w:val="007F7EDE"/>
    <w:rsid w:val="0080056B"/>
    <w:rsid w:val="00800A8A"/>
    <w:rsid w:val="0080154A"/>
    <w:rsid w:val="008027FE"/>
    <w:rsid w:val="00805783"/>
    <w:rsid w:val="00807135"/>
    <w:rsid w:val="00812E4A"/>
    <w:rsid w:val="0081320D"/>
    <w:rsid w:val="00813D14"/>
    <w:rsid w:val="00815C80"/>
    <w:rsid w:val="008232DE"/>
    <w:rsid w:val="008236AE"/>
    <w:rsid w:val="00823758"/>
    <w:rsid w:val="00825C25"/>
    <w:rsid w:val="008263EB"/>
    <w:rsid w:val="0082692F"/>
    <w:rsid w:val="00827E9F"/>
    <w:rsid w:val="008320C2"/>
    <w:rsid w:val="00832209"/>
    <w:rsid w:val="00832C65"/>
    <w:rsid w:val="00835FC3"/>
    <w:rsid w:val="008403CC"/>
    <w:rsid w:val="00842858"/>
    <w:rsid w:val="00844191"/>
    <w:rsid w:val="0084686B"/>
    <w:rsid w:val="00847D2C"/>
    <w:rsid w:val="00850723"/>
    <w:rsid w:val="00850F6A"/>
    <w:rsid w:val="008515D0"/>
    <w:rsid w:val="0085220F"/>
    <w:rsid w:val="00854245"/>
    <w:rsid w:val="008563E9"/>
    <w:rsid w:val="00856BD6"/>
    <w:rsid w:val="008620A1"/>
    <w:rsid w:val="00863585"/>
    <w:rsid w:val="00867CE5"/>
    <w:rsid w:val="00874732"/>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B7E98"/>
    <w:rsid w:val="008C0799"/>
    <w:rsid w:val="008C38E0"/>
    <w:rsid w:val="008C3EB6"/>
    <w:rsid w:val="008C4D70"/>
    <w:rsid w:val="008C509D"/>
    <w:rsid w:val="008C67AB"/>
    <w:rsid w:val="008D1A54"/>
    <w:rsid w:val="008D3D09"/>
    <w:rsid w:val="008D4B79"/>
    <w:rsid w:val="008D4C64"/>
    <w:rsid w:val="008D5991"/>
    <w:rsid w:val="008D63FE"/>
    <w:rsid w:val="008E1BB9"/>
    <w:rsid w:val="008E29C1"/>
    <w:rsid w:val="008E552D"/>
    <w:rsid w:val="008E596A"/>
    <w:rsid w:val="008E63F9"/>
    <w:rsid w:val="008E6F84"/>
    <w:rsid w:val="008F29B9"/>
    <w:rsid w:val="008F425F"/>
    <w:rsid w:val="008F4E44"/>
    <w:rsid w:val="008F7382"/>
    <w:rsid w:val="008F7CBC"/>
    <w:rsid w:val="00902A73"/>
    <w:rsid w:val="00904B31"/>
    <w:rsid w:val="00906251"/>
    <w:rsid w:val="00913CAC"/>
    <w:rsid w:val="0091424E"/>
    <w:rsid w:val="00920A59"/>
    <w:rsid w:val="00920FE1"/>
    <w:rsid w:val="00923914"/>
    <w:rsid w:val="00923CCD"/>
    <w:rsid w:val="00924340"/>
    <w:rsid w:val="00924B4F"/>
    <w:rsid w:val="00926883"/>
    <w:rsid w:val="00927246"/>
    <w:rsid w:val="009312A2"/>
    <w:rsid w:val="00932082"/>
    <w:rsid w:val="00937F75"/>
    <w:rsid w:val="00937FD3"/>
    <w:rsid w:val="00940979"/>
    <w:rsid w:val="009411FF"/>
    <w:rsid w:val="009413D0"/>
    <w:rsid w:val="009428D6"/>
    <w:rsid w:val="00942BCB"/>
    <w:rsid w:val="00944016"/>
    <w:rsid w:val="00944312"/>
    <w:rsid w:val="00945910"/>
    <w:rsid w:val="00947316"/>
    <w:rsid w:val="00947C74"/>
    <w:rsid w:val="00947CC2"/>
    <w:rsid w:val="00947DF0"/>
    <w:rsid w:val="00950830"/>
    <w:rsid w:val="00951E5C"/>
    <w:rsid w:val="009534B1"/>
    <w:rsid w:val="009540E4"/>
    <w:rsid w:val="009541B3"/>
    <w:rsid w:val="00954388"/>
    <w:rsid w:val="00955363"/>
    <w:rsid w:val="009561ED"/>
    <w:rsid w:val="00956A9B"/>
    <w:rsid w:val="009603DE"/>
    <w:rsid w:val="00962AB2"/>
    <w:rsid w:val="00970C2E"/>
    <w:rsid w:val="009714F9"/>
    <w:rsid w:val="00972161"/>
    <w:rsid w:val="0097340E"/>
    <w:rsid w:val="00974007"/>
    <w:rsid w:val="00974A48"/>
    <w:rsid w:val="009752D7"/>
    <w:rsid w:val="009771A9"/>
    <w:rsid w:val="0098169B"/>
    <w:rsid w:val="0099048D"/>
    <w:rsid w:val="00990CAA"/>
    <w:rsid w:val="0099305E"/>
    <w:rsid w:val="009958D7"/>
    <w:rsid w:val="0099724B"/>
    <w:rsid w:val="009A1B8B"/>
    <w:rsid w:val="009A1E86"/>
    <w:rsid w:val="009A370B"/>
    <w:rsid w:val="009A42EE"/>
    <w:rsid w:val="009A456F"/>
    <w:rsid w:val="009A59AB"/>
    <w:rsid w:val="009A6256"/>
    <w:rsid w:val="009B299F"/>
    <w:rsid w:val="009B4F7A"/>
    <w:rsid w:val="009C0306"/>
    <w:rsid w:val="009C09E1"/>
    <w:rsid w:val="009C109D"/>
    <w:rsid w:val="009C16A3"/>
    <w:rsid w:val="009C25CD"/>
    <w:rsid w:val="009C288E"/>
    <w:rsid w:val="009C2B95"/>
    <w:rsid w:val="009C6944"/>
    <w:rsid w:val="009D0158"/>
    <w:rsid w:val="009D1CF8"/>
    <w:rsid w:val="009D2757"/>
    <w:rsid w:val="009D4D53"/>
    <w:rsid w:val="009E08F2"/>
    <w:rsid w:val="009E1347"/>
    <w:rsid w:val="009E448E"/>
    <w:rsid w:val="009E6D58"/>
    <w:rsid w:val="009F45DD"/>
    <w:rsid w:val="00A00047"/>
    <w:rsid w:val="00A03142"/>
    <w:rsid w:val="00A04578"/>
    <w:rsid w:val="00A05C8F"/>
    <w:rsid w:val="00A071F1"/>
    <w:rsid w:val="00A1035C"/>
    <w:rsid w:val="00A1061E"/>
    <w:rsid w:val="00A1070F"/>
    <w:rsid w:val="00A10845"/>
    <w:rsid w:val="00A10A32"/>
    <w:rsid w:val="00A10AB0"/>
    <w:rsid w:val="00A12793"/>
    <w:rsid w:val="00A13A49"/>
    <w:rsid w:val="00A14E9B"/>
    <w:rsid w:val="00A22B0A"/>
    <w:rsid w:val="00A22D28"/>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203"/>
    <w:rsid w:val="00A606F0"/>
    <w:rsid w:val="00A62BB2"/>
    <w:rsid w:val="00A635BB"/>
    <w:rsid w:val="00A63E82"/>
    <w:rsid w:val="00A657A3"/>
    <w:rsid w:val="00A66410"/>
    <w:rsid w:val="00A67FEA"/>
    <w:rsid w:val="00A7496A"/>
    <w:rsid w:val="00A7513F"/>
    <w:rsid w:val="00A75318"/>
    <w:rsid w:val="00A7570F"/>
    <w:rsid w:val="00A77116"/>
    <w:rsid w:val="00A870D1"/>
    <w:rsid w:val="00A87A9C"/>
    <w:rsid w:val="00A90965"/>
    <w:rsid w:val="00A9460A"/>
    <w:rsid w:val="00AA11B7"/>
    <w:rsid w:val="00AA51FD"/>
    <w:rsid w:val="00AA61D0"/>
    <w:rsid w:val="00AB696E"/>
    <w:rsid w:val="00AB6F09"/>
    <w:rsid w:val="00AC06F7"/>
    <w:rsid w:val="00AC19E4"/>
    <w:rsid w:val="00AC2A3A"/>
    <w:rsid w:val="00AC316F"/>
    <w:rsid w:val="00AC3BE9"/>
    <w:rsid w:val="00AC5274"/>
    <w:rsid w:val="00AC5706"/>
    <w:rsid w:val="00AC696E"/>
    <w:rsid w:val="00AD222C"/>
    <w:rsid w:val="00AD237E"/>
    <w:rsid w:val="00AD78CB"/>
    <w:rsid w:val="00AE0B00"/>
    <w:rsid w:val="00AE0BF9"/>
    <w:rsid w:val="00AE2771"/>
    <w:rsid w:val="00AE37F0"/>
    <w:rsid w:val="00AE48DC"/>
    <w:rsid w:val="00AE6519"/>
    <w:rsid w:val="00AE65F7"/>
    <w:rsid w:val="00AF13BC"/>
    <w:rsid w:val="00AF2284"/>
    <w:rsid w:val="00AF3DA7"/>
    <w:rsid w:val="00AF47FC"/>
    <w:rsid w:val="00B00EFD"/>
    <w:rsid w:val="00B033A5"/>
    <w:rsid w:val="00B03FB7"/>
    <w:rsid w:val="00B07FD5"/>
    <w:rsid w:val="00B10127"/>
    <w:rsid w:val="00B11A29"/>
    <w:rsid w:val="00B12382"/>
    <w:rsid w:val="00B12F12"/>
    <w:rsid w:val="00B17D37"/>
    <w:rsid w:val="00B21494"/>
    <w:rsid w:val="00B2490F"/>
    <w:rsid w:val="00B27E3A"/>
    <w:rsid w:val="00B3058E"/>
    <w:rsid w:val="00B32951"/>
    <w:rsid w:val="00B3334D"/>
    <w:rsid w:val="00B3551D"/>
    <w:rsid w:val="00B36317"/>
    <w:rsid w:val="00B36E0B"/>
    <w:rsid w:val="00B40B81"/>
    <w:rsid w:val="00B41554"/>
    <w:rsid w:val="00B43B24"/>
    <w:rsid w:val="00B46778"/>
    <w:rsid w:val="00B46B34"/>
    <w:rsid w:val="00B52BEE"/>
    <w:rsid w:val="00B539DD"/>
    <w:rsid w:val="00B53DB5"/>
    <w:rsid w:val="00B53E46"/>
    <w:rsid w:val="00B5419C"/>
    <w:rsid w:val="00B543EE"/>
    <w:rsid w:val="00B54E06"/>
    <w:rsid w:val="00B5562C"/>
    <w:rsid w:val="00B60D2F"/>
    <w:rsid w:val="00B644FC"/>
    <w:rsid w:val="00B65A2E"/>
    <w:rsid w:val="00B70469"/>
    <w:rsid w:val="00B72EE0"/>
    <w:rsid w:val="00B73958"/>
    <w:rsid w:val="00B762E8"/>
    <w:rsid w:val="00B765C2"/>
    <w:rsid w:val="00B766CE"/>
    <w:rsid w:val="00B82AE7"/>
    <w:rsid w:val="00B83740"/>
    <w:rsid w:val="00B85453"/>
    <w:rsid w:val="00B91B04"/>
    <w:rsid w:val="00B923DC"/>
    <w:rsid w:val="00B925BA"/>
    <w:rsid w:val="00B93CFE"/>
    <w:rsid w:val="00B95B6A"/>
    <w:rsid w:val="00B964FA"/>
    <w:rsid w:val="00B96977"/>
    <w:rsid w:val="00BA4B83"/>
    <w:rsid w:val="00BA4D55"/>
    <w:rsid w:val="00BA5404"/>
    <w:rsid w:val="00BA6C59"/>
    <w:rsid w:val="00BB07D7"/>
    <w:rsid w:val="00BB1D28"/>
    <w:rsid w:val="00BB3743"/>
    <w:rsid w:val="00BB4379"/>
    <w:rsid w:val="00BB4823"/>
    <w:rsid w:val="00BB5EBF"/>
    <w:rsid w:val="00BB5F04"/>
    <w:rsid w:val="00BC1BC4"/>
    <w:rsid w:val="00BC6EF3"/>
    <w:rsid w:val="00BD2475"/>
    <w:rsid w:val="00BD30C7"/>
    <w:rsid w:val="00BD381F"/>
    <w:rsid w:val="00BD3F4E"/>
    <w:rsid w:val="00BD40E7"/>
    <w:rsid w:val="00BD4745"/>
    <w:rsid w:val="00BE0FC1"/>
    <w:rsid w:val="00BE32AB"/>
    <w:rsid w:val="00BE60E3"/>
    <w:rsid w:val="00BF044A"/>
    <w:rsid w:val="00BF2540"/>
    <w:rsid w:val="00BF2BB2"/>
    <w:rsid w:val="00BF3C1C"/>
    <w:rsid w:val="00BF3F59"/>
    <w:rsid w:val="00BF59F6"/>
    <w:rsid w:val="00C02451"/>
    <w:rsid w:val="00C025C7"/>
    <w:rsid w:val="00C03526"/>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6162"/>
    <w:rsid w:val="00C461E5"/>
    <w:rsid w:val="00C52B1D"/>
    <w:rsid w:val="00C542D4"/>
    <w:rsid w:val="00C546C4"/>
    <w:rsid w:val="00C55D91"/>
    <w:rsid w:val="00C56F1F"/>
    <w:rsid w:val="00C60F81"/>
    <w:rsid w:val="00C61B1E"/>
    <w:rsid w:val="00C61B29"/>
    <w:rsid w:val="00C61FB2"/>
    <w:rsid w:val="00C6631B"/>
    <w:rsid w:val="00C67AE2"/>
    <w:rsid w:val="00C67F6E"/>
    <w:rsid w:val="00C700E4"/>
    <w:rsid w:val="00C70279"/>
    <w:rsid w:val="00C716B0"/>
    <w:rsid w:val="00C71DE9"/>
    <w:rsid w:val="00C73D93"/>
    <w:rsid w:val="00C76A3F"/>
    <w:rsid w:val="00C808CF"/>
    <w:rsid w:val="00C81F3C"/>
    <w:rsid w:val="00C859BA"/>
    <w:rsid w:val="00C85A89"/>
    <w:rsid w:val="00C87C6B"/>
    <w:rsid w:val="00C91DED"/>
    <w:rsid w:val="00C92625"/>
    <w:rsid w:val="00C9360A"/>
    <w:rsid w:val="00C96792"/>
    <w:rsid w:val="00C97143"/>
    <w:rsid w:val="00C97826"/>
    <w:rsid w:val="00CA00F6"/>
    <w:rsid w:val="00CA037A"/>
    <w:rsid w:val="00CA0CCB"/>
    <w:rsid w:val="00CA3EE8"/>
    <w:rsid w:val="00CA47F9"/>
    <w:rsid w:val="00CA4EE5"/>
    <w:rsid w:val="00CB5B31"/>
    <w:rsid w:val="00CB6B68"/>
    <w:rsid w:val="00CB6E90"/>
    <w:rsid w:val="00CC096F"/>
    <w:rsid w:val="00CC19EB"/>
    <w:rsid w:val="00CC2230"/>
    <w:rsid w:val="00CC2339"/>
    <w:rsid w:val="00CC29F3"/>
    <w:rsid w:val="00CD0363"/>
    <w:rsid w:val="00CD0834"/>
    <w:rsid w:val="00CD5537"/>
    <w:rsid w:val="00CE0DB7"/>
    <w:rsid w:val="00CE1F2C"/>
    <w:rsid w:val="00CE28F2"/>
    <w:rsid w:val="00CE32B4"/>
    <w:rsid w:val="00CE3E8E"/>
    <w:rsid w:val="00CE6E34"/>
    <w:rsid w:val="00CF032E"/>
    <w:rsid w:val="00CF5ED5"/>
    <w:rsid w:val="00CF76EE"/>
    <w:rsid w:val="00CF7777"/>
    <w:rsid w:val="00D000AE"/>
    <w:rsid w:val="00D01932"/>
    <w:rsid w:val="00D024D8"/>
    <w:rsid w:val="00D04A36"/>
    <w:rsid w:val="00D05BD1"/>
    <w:rsid w:val="00D07733"/>
    <w:rsid w:val="00D116A6"/>
    <w:rsid w:val="00D134C5"/>
    <w:rsid w:val="00D16558"/>
    <w:rsid w:val="00D16573"/>
    <w:rsid w:val="00D16947"/>
    <w:rsid w:val="00D16D30"/>
    <w:rsid w:val="00D17B4C"/>
    <w:rsid w:val="00D17CC0"/>
    <w:rsid w:val="00D20BF7"/>
    <w:rsid w:val="00D2132C"/>
    <w:rsid w:val="00D22225"/>
    <w:rsid w:val="00D22DC6"/>
    <w:rsid w:val="00D233E2"/>
    <w:rsid w:val="00D23786"/>
    <w:rsid w:val="00D23A8F"/>
    <w:rsid w:val="00D245AC"/>
    <w:rsid w:val="00D27516"/>
    <w:rsid w:val="00D2759C"/>
    <w:rsid w:val="00D2792D"/>
    <w:rsid w:val="00D308EA"/>
    <w:rsid w:val="00D36063"/>
    <w:rsid w:val="00D4018D"/>
    <w:rsid w:val="00D41582"/>
    <w:rsid w:val="00D44BC1"/>
    <w:rsid w:val="00D45205"/>
    <w:rsid w:val="00D460FE"/>
    <w:rsid w:val="00D46947"/>
    <w:rsid w:val="00D47481"/>
    <w:rsid w:val="00D479C3"/>
    <w:rsid w:val="00D517F8"/>
    <w:rsid w:val="00D51EF3"/>
    <w:rsid w:val="00D521A7"/>
    <w:rsid w:val="00D5452F"/>
    <w:rsid w:val="00D55208"/>
    <w:rsid w:val="00D5728F"/>
    <w:rsid w:val="00D613A5"/>
    <w:rsid w:val="00D6337F"/>
    <w:rsid w:val="00D64C79"/>
    <w:rsid w:val="00D64E72"/>
    <w:rsid w:val="00D64FA6"/>
    <w:rsid w:val="00D650C4"/>
    <w:rsid w:val="00D652AD"/>
    <w:rsid w:val="00D67F4F"/>
    <w:rsid w:val="00D712A7"/>
    <w:rsid w:val="00D75D63"/>
    <w:rsid w:val="00D914C1"/>
    <w:rsid w:val="00D93257"/>
    <w:rsid w:val="00D94677"/>
    <w:rsid w:val="00D9488A"/>
    <w:rsid w:val="00D94B63"/>
    <w:rsid w:val="00D9554B"/>
    <w:rsid w:val="00D95D26"/>
    <w:rsid w:val="00DA009A"/>
    <w:rsid w:val="00DA030F"/>
    <w:rsid w:val="00DA035D"/>
    <w:rsid w:val="00DA3A4D"/>
    <w:rsid w:val="00DA4253"/>
    <w:rsid w:val="00DA5BDB"/>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5A31"/>
    <w:rsid w:val="00E06EA5"/>
    <w:rsid w:val="00E11BB3"/>
    <w:rsid w:val="00E11DF9"/>
    <w:rsid w:val="00E11F42"/>
    <w:rsid w:val="00E128D2"/>
    <w:rsid w:val="00E143F9"/>
    <w:rsid w:val="00E1749F"/>
    <w:rsid w:val="00E200A4"/>
    <w:rsid w:val="00E2502D"/>
    <w:rsid w:val="00E25D83"/>
    <w:rsid w:val="00E27D94"/>
    <w:rsid w:val="00E30C1C"/>
    <w:rsid w:val="00E33A10"/>
    <w:rsid w:val="00E351D3"/>
    <w:rsid w:val="00E4186C"/>
    <w:rsid w:val="00E43441"/>
    <w:rsid w:val="00E44FE2"/>
    <w:rsid w:val="00E507A2"/>
    <w:rsid w:val="00E5249D"/>
    <w:rsid w:val="00E60042"/>
    <w:rsid w:val="00E6338E"/>
    <w:rsid w:val="00E63F58"/>
    <w:rsid w:val="00E66A6A"/>
    <w:rsid w:val="00E71830"/>
    <w:rsid w:val="00E71F6D"/>
    <w:rsid w:val="00E75B61"/>
    <w:rsid w:val="00E774DC"/>
    <w:rsid w:val="00E80C60"/>
    <w:rsid w:val="00E80D63"/>
    <w:rsid w:val="00E820B6"/>
    <w:rsid w:val="00E82267"/>
    <w:rsid w:val="00E82D7E"/>
    <w:rsid w:val="00E83B96"/>
    <w:rsid w:val="00E86118"/>
    <w:rsid w:val="00E8729A"/>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5403"/>
    <w:rsid w:val="00EA7B48"/>
    <w:rsid w:val="00EA7EAF"/>
    <w:rsid w:val="00EB0424"/>
    <w:rsid w:val="00EB0C45"/>
    <w:rsid w:val="00EB10DA"/>
    <w:rsid w:val="00EB1AD0"/>
    <w:rsid w:val="00EB591B"/>
    <w:rsid w:val="00EB5C36"/>
    <w:rsid w:val="00EB7DA4"/>
    <w:rsid w:val="00EC4965"/>
    <w:rsid w:val="00EC50E2"/>
    <w:rsid w:val="00EC5337"/>
    <w:rsid w:val="00EC734A"/>
    <w:rsid w:val="00ED1CCB"/>
    <w:rsid w:val="00ED2658"/>
    <w:rsid w:val="00ED3C8C"/>
    <w:rsid w:val="00ED47A8"/>
    <w:rsid w:val="00ED4E7A"/>
    <w:rsid w:val="00ED6E1A"/>
    <w:rsid w:val="00ED78C8"/>
    <w:rsid w:val="00EE0688"/>
    <w:rsid w:val="00EE5A11"/>
    <w:rsid w:val="00EE6082"/>
    <w:rsid w:val="00EE793A"/>
    <w:rsid w:val="00EF1922"/>
    <w:rsid w:val="00EF1C4C"/>
    <w:rsid w:val="00EF4519"/>
    <w:rsid w:val="00F014F7"/>
    <w:rsid w:val="00F01896"/>
    <w:rsid w:val="00F02EA1"/>
    <w:rsid w:val="00F03B51"/>
    <w:rsid w:val="00F040AE"/>
    <w:rsid w:val="00F05287"/>
    <w:rsid w:val="00F06063"/>
    <w:rsid w:val="00F068F1"/>
    <w:rsid w:val="00F07605"/>
    <w:rsid w:val="00F10853"/>
    <w:rsid w:val="00F14E10"/>
    <w:rsid w:val="00F1766F"/>
    <w:rsid w:val="00F211BA"/>
    <w:rsid w:val="00F22720"/>
    <w:rsid w:val="00F2273D"/>
    <w:rsid w:val="00F233CC"/>
    <w:rsid w:val="00F23A64"/>
    <w:rsid w:val="00F23A9B"/>
    <w:rsid w:val="00F23FCF"/>
    <w:rsid w:val="00F244B4"/>
    <w:rsid w:val="00F25214"/>
    <w:rsid w:val="00F31702"/>
    <w:rsid w:val="00F321BF"/>
    <w:rsid w:val="00F33EA1"/>
    <w:rsid w:val="00F3418B"/>
    <w:rsid w:val="00F353D4"/>
    <w:rsid w:val="00F36047"/>
    <w:rsid w:val="00F4089C"/>
    <w:rsid w:val="00F410FB"/>
    <w:rsid w:val="00F4314E"/>
    <w:rsid w:val="00F50EE7"/>
    <w:rsid w:val="00F518B0"/>
    <w:rsid w:val="00F51AB9"/>
    <w:rsid w:val="00F530E7"/>
    <w:rsid w:val="00F53970"/>
    <w:rsid w:val="00F53B1D"/>
    <w:rsid w:val="00F54BF8"/>
    <w:rsid w:val="00F550A7"/>
    <w:rsid w:val="00F575C9"/>
    <w:rsid w:val="00F62E6E"/>
    <w:rsid w:val="00F65D2D"/>
    <w:rsid w:val="00F65F27"/>
    <w:rsid w:val="00F6744C"/>
    <w:rsid w:val="00F70241"/>
    <w:rsid w:val="00F70255"/>
    <w:rsid w:val="00F72063"/>
    <w:rsid w:val="00F72DFE"/>
    <w:rsid w:val="00F7375B"/>
    <w:rsid w:val="00F73D16"/>
    <w:rsid w:val="00F77613"/>
    <w:rsid w:val="00F83839"/>
    <w:rsid w:val="00F85438"/>
    <w:rsid w:val="00F85FBC"/>
    <w:rsid w:val="00F90858"/>
    <w:rsid w:val="00F90BB0"/>
    <w:rsid w:val="00F95079"/>
    <w:rsid w:val="00FA0A33"/>
    <w:rsid w:val="00FA68CB"/>
    <w:rsid w:val="00FA6BFE"/>
    <w:rsid w:val="00FB0189"/>
    <w:rsid w:val="00FB06DC"/>
    <w:rsid w:val="00FB4DF7"/>
    <w:rsid w:val="00FB5301"/>
    <w:rsid w:val="00FB6349"/>
    <w:rsid w:val="00FB692D"/>
    <w:rsid w:val="00FB7D42"/>
    <w:rsid w:val="00FC0C33"/>
    <w:rsid w:val="00FC26D5"/>
    <w:rsid w:val="00FC62E7"/>
    <w:rsid w:val="00FC6818"/>
    <w:rsid w:val="00FC69FE"/>
    <w:rsid w:val="00FD40DF"/>
    <w:rsid w:val="00FD7B2A"/>
    <w:rsid w:val="00FD7C03"/>
    <w:rsid w:val="00FD7FE8"/>
    <w:rsid w:val="00FE2414"/>
    <w:rsid w:val="00FE2C38"/>
    <w:rsid w:val="00FE4BF7"/>
    <w:rsid w:val="00FE6D7C"/>
    <w:rsid w:val="00FE7404"/>
    <w:rsid w:val="00FF1FC5"/>
    <w:rsid w:val="00FF248E"/>
    <w:rsid w:val="00FF58A2"/>
    <w:rsid w:val="00FF6306"/>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B89F9F0"/>
  <w15:docId w15:val="{9BDE6006-82FF-4738-8F80-663BF8A7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0B5C4E"/>
    <w:pPr>
      <w:jc w:val="left"/>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uiPriority w:val="22"/>
    <w:qFormat/>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0B5C4E"/>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styleId="NoSpacing">
    <w:name w:val="No Spacing"/>
    <w:uiPriority w:val="1"/>
    <w:qFormat/>
    <w:locked/>
    <w:rsid w:val="00462067"/>
    <w:rPr>
      <w:rFonts w:asciiTheme="minorHAnsi" w:eastAsiaTheme="minorHAnsi" w:hAnsiTheme="minorHAnsi" w:cstheme="minorBidi"/>
      <w:sz w:val="22"/>
      <w:szCs w:val="22"/>
      <w:lang w:val="mk-MK" w:eastAsia="en-US"/>
    </w:rPr>
  </w:style>
  <w:style w:type="paragraph" w:customStyle="1" w:styleId="Default">
    <w:name w:val="Default"/>
    <w:rsid w:val="00F72DFE"/>
    <w:pPr>
      <w:autoSpaceDE w:val="0"/>
      <w:autoSpaceDN w:val="0"/>
      <w:adjustRightInd w:val="0"/>
    </w:pPr>
    <w:rPr>
      <w:color w:val="000000"/>
      <w:sz w:val="24"/>
      <w:szCs w:val="24"/>
      <w:lang w:val="mk-MK"/>
    </w:rPr>
  </w:style>
  <w:style w:type="paragraph" w:styleId="FootnoteText">
    <w:name w:val="footnote text"/>
    <w:basedOn w:val="Normal"/>
    <w:link w:val="FootnoteTextChar"/>
    <w:semiHidden/>
    <w:unhideWhenUsed/>
    <w:locked/>
    <w:rsid w:val="00E80C60"/>
    <w:rPr>
      <w:sz w:val="20"/>
      <w:szCs w:val="20"/>
    </w:rPr>
  </w:style>
  <w:style w:type="character" w:customStyle="1" w:styleId="FootnoteTextChar">
    <w:name w:val="Footnote Text Char"/>
    <w:basedOn w:val="DefaultParagraphFont"/>
    <w:link w:val="FootnoteText"/>
    <w:semiHidden/>
    <w:rsid w:val="00E80C60"/>
    <w:rPr>
      <w:rFonts w:ascii="StobiSans Regular" w:hAnsi="StobiSans Regular"/>
      <w:lang w:val="mk-MK"/>
    </w:rPr>
  </w:style>
  <w:style w:type="character" w:styleId="FootnoteReference">
    <w:name w:val="footnote reference"/>
    <w:basedOn w:val="DefaultParagraphFont"/>
    <w:semiHidden/>
    <w:unhideWhenUsed/>
    <w:locked/>
    <w:rsid w:val="00E80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89437365">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31639476">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2453169">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58796593">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36087507">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5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052;&#1077;&#1088;&#1077;&#1114;&#1077;%20&#1085;&#1072;%20&#1080;&#1085;&#1076;&#1077;&#1082;&#1089;%20&#1085;&#1072;%20&#1082;&#1074;&#1072;&#1083;&#1080;&#1090;&#1077;&#1090;%202024\New%20folder\&#1073;&#1086;&#1076;&#1080;&#1088;&#1072;&#1114;&#107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052;&#1077;&#1088;&#1077;&#1114;&#1077;%20&#1085;&#1072;%20&#1080;&#1085;&#1076;&#1077;&#1082;&#1089;%20&#1085;&#1072;%20&#1082;&#1074;&#1072;&#1083;&#1080;&#1090;&#1077;&#1090;%202024\New%20folder\&#1073;&#1086;&#1076;&#1080;&#1088;&#1072;&#1114;&#107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052;&#1077;&#1088;&#1077;&#1114;&#1077;%20&#1085;&#1072;%20&#1080;&#1085;&#1076;&#1077;&#1082;&#1089;%20&#1085;&#1072;%20&#1082;&#1074;&#1072;&#1083;&#1080;&#1090;&#1077;&#1090;%202024\New%20folder\&#1073;&#1086;&#1076;&#1080;&#1088;&#1072;&#1114;&#107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Стратешко планирање</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9197052704181075"/>
          <c:y val="0.27849787310344665"/>
          <c:w val="0.35676549881921216"/>
          <c:h val="0.5383735009073551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0E-44C7-9EF6-9171F34F4C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0E-44C7-9EF6-9171F34F4C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0E-44C7-9EF6-9171F34F4C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0E-44C7-9EF6-9171F34F4C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0E-44C7-9EF6-9171F34F4C4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20E-44C7-9EF6-9171F34F4C4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20E-44C7-9EF6-9171F34F4C4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20E-44C7-9EF6-9171F34F4C4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20E-44C7-9EF6-9171F34F4C4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20E-44C7-9EF6-9171F34F4C4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стратешко!$A$3:$A$12</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стратешко!$B$3:$B$12</c:f>
              <c:numCache>
                <c:formatCode>0.0</c:formatCode>
                <c:ptCount val="10"/>
                <c:pt idx="0">
                  <c:v>28</c:v>
                </c:pt>
                <c:pt idx="1">
                  <c:v>53.9</c:v>
                </c:pt>
                <c:pt idx="2">
                  <c:v>97.5</c:v>
                </c:pt>
                <c:pt idx="3">
                  <c:v>71.5</c:v>
                </c:pt>
                <c:pt idx="4">
                  <c:v>69.3</c:v>
                </c:pt>
                <c:pt idx="5">
                  <c:v>63</c:v>
                </c:pt>
                <c:pt idx="6">
                  <c:v>12.4</c:v>
                </c:pt>
                <c:pt idx="7">
                  <c:v>66.8</c:v>
                </c:pt>
                <c:pt idx="8">
                  <c:v>56</c:v>
                </c:pt>
                <c:pt idx="9">
                  <c:v>50</c:v>
                </c:pt>
              </c:numCache>
            </c:numRef>
          </c:val>
          <c:extLst>
            <c:ext xmlns:c16="http://schemas.microsoft.com/office/drawing/2014/chart" uri="{C3380CC4-5D6E-409C-BE32-E72D297353CC}">
              <c16:uniqueId val="{00000014-420E-44C7-9EF6-9171F34F4C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3.6846035841064793E-2"/>
          <c:y val="0.25683436723732406"/>
          <c:w val="0.45933408717451413"/>
          <c:h val="0.6615708370738249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Управување со човечки ресурси</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63154986876640418"/>
          <c:y val="0.24115740740740746"/>
          <c:w val="0.36745603674540683"/>
          <c:h val="0.6124267279090114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B3-47D4-9843-5329325FC4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B3-47D4-9843-5329325FC4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B3-47D4-9843-5329325FC4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B3-47D4-9843-5329325FC4B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B3-47D4-9843-5329325FC4B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B3-47D4-9843-5329325FC4B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EB3-47D4-9843-5329325FC4B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EB3-47D4-9843-5329325FC4B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EB3-47D4-9843-5329325FC4B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EB3-47D4-9843-5329325FC4B1}"/>
              </c:ext>
            </c:extLst>
          </c:dPt>
          <c:dLbls>
            <c:dLbl>
              <c:idx val="1"/>
              <c:layout>
                <c:manualLayout>
                  <c:x val="-5.2019531589964869E-2"/>
                  <c:y val="7.893044619422576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B3-47D4-9843-5329325FC4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'човечки ресурси'!$A$3:$A$12</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'човечки ресурси'!$B$3:$B$12</c:f>
              <c:numCache>
                <c:formatCode>General</c:formatCode>
                <c:ptCount val="10"/>
                <c:pt idx="0">
                  <c:v>62</c:v>
                </c:pt>
                <c:pt idx="1">
                  <c:v>39.25</c:v>
                </c:pt>
                <c:pt idx="2">
                  <c:v>60.5</c:v>
                </c:pt>
                <c:pt idx="3">
                  <c:v>75.75</c:v>
                </c:pt>
                <c:pt idx="4">
                  <c:v>73</c:v>
                </c:pt>
                <c:pt idx="5">
                  <c:v>70.75</c:v>
                </c:pt>
                <c:pt idx="6">
                  <c:v>63.25</c:v>
                </c:pt>
                <c:pt idx="7">
                  <c:v>70.75</c:v>
                </c:pt>
                <c:pt idx="8">
                  <c:v>77</c:v>
                </c:pt>
                <c:pt idx="9">
                  <c:v>59.5</c:v>
                </c:pt>
              </c:numCache>
            </c:numRef>
          </c:val>
          <c:extLst>
            <c:ext xmlns:c16="http://schemas.microsoft.com/office/drawing/2014/chart" uri="{C3380CC4-5D6E-409C-BE32-E72D297353CC}">
              <c16:uniqueId val="{00000014-7EB3-47D4-9843-5329325FC4B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5393700787401578E-3"/>
          <c:y val="0.17765820939049282"/>
          <c:w val="0.51914326334208227"/>
          <c:h val="0.7806751239428404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Обезбедување на услуги</a:t>
            </a:r>
            <a:endParaRPr lang="en-US"/>
          </a:p>
        </c:rich>
      </c:tx>
      <c:layout>
        <c:manualLayout>
          <c:xMode val="edge"/>
          <c:yMode val="edge"/>
          <c:x val="0.4178263342082240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6749806214840282"/>
          <c:y val="0.28922200497424011"/>
          <c:w val="0.36467825896762901"/>
          <c:h val="0.6077970982793816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3C-4E96-B84B-7797AAAF10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3C-4E96-B84B-7797AAAF10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3C-4E96-B84B-7797AAAF10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3C-4E96-B84B-7797AAAF104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33C-4E96-B84B-7797AAAF104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33C-4E96-B84B-7797AAAF104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33C-4E96-B84B-7797AAAF104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33C-4E96-B84B-7797AAAF104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33C-4E96-B84B-7797AAAF104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33C-4E96-B84B-7797AAAF104B}"/>
              </c:ext>
            </c:extLst>
          </c:dPt>
          <c:dLbls>
            <c:dLbl>
              <c:idx val="9"/>
              <c:layout>
                <c:manualLayout>
                  <c:x val="4.2330221967287205E-3"/>
                  <c:y val="7.78424993299792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33C-4E96-B84B-7797AAAF10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'обезбедување  услуги'!$A$3:$A$12</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'обезбедување  услуги'!$B$3:$B$12</c:f>
              <c:numCache>
                <c:formatCode>General</c:formatCode>
                <c:ptCount val="10"/>
                <c:pt idx="0">
                  <c:v>50</c:v>
                </c:pt>
                <c:pt idx="1">
                  <c:v>116.5</c:v>
                </c:pt>
                <c:pt idx="2">
                  <c:v>154.1</c:v>
                </c:pt>
                <c:pt idx="3">
                  <c:v>107.1</c:v>
                </c:pt>
                <c:pt idx="4">
                  <c:v>123.3</c:v>
                </c:pt>
                <c:pt idx="5">
                  <c:v>179.6</c:v>
                </c:pt>
                <c:pt idx="6">
                  <c:v>82</c:v>
                </c:pt>
                <c:pt idx="7">
                  <c:v>111.6</c:v>
                </c:pt>
                <c:pt idx="8">
                  <c:v>86.7</c:v>
                </c:pt>
                <c:pt idx="9">
                  <c:v>18</c:v>
                </c:pt>
              </c:numCache>
            </c:numRef>
          </c:val>
          <c:extLst>
            <c:ext xmlns:c16="http://schemas.microsoft.com/office/drawing/2014/chart" uri="{C3380CC4-5D6E-409C-BE32-E72D297353CC}">
              <c16:uniqueId val="{00000014-033C-4E96-B84B-7797AAAF104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1.5393700787401578E-3"/>
          <c:y val="0.26099154272382613"/>
          <c:w val="0.51914326334208227"/>
          <c:h val="0.7019714202391368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Транспарентност</a:t>
            </a:r>
            <a:endParaRPr lang="en-US"/>
          </a:p>
        </c:rich>
      </c:tx>
      <c:layout>
        <c:manualLayout>
          <c:xMode val="edge"/>
          <c:yMode val="edge"/>
          <c:x val="0.41412969039426412"/>
          <c:y val="3.50300979567040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60290195396593182"/>
          <c:y val="0.23207439896316426"/>
          <c:w val="0.38593454346244466"/>
          <c:h val="0.6597008719253417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C6-4749-B8AD-A4F23E1DB8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C6-4749-B8AD-A4F23E1DB8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C6-4749-B8AD-A4F23E1DB8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C6-4749-B8AD-A4F23E1DB8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EC6-4749-B8AD-A4F23E1DB8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EC6-4749-B8AD-A4F23E1DB8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EC6-4749-B8AD-A4F23E1DB8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EC6-4749-B8AD-A4F23E1DB8D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EC6-4749-B8AD-A4F23E1DB8D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EC6-4749-B8AD-A4F23E1DB8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транспарентност!$A$3:$A$12</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транспарентност!$B$3:$B$12</c:f>
              <c:numCache>
                <c:formatCode>General</c:formatCode>
                <c:ptCount val="10"/>
                <c:pt idx="0">
                  <c:v>42.4</c:v>
                </c:pt>
                <c:pt idx="1">
                  <c:v>65.8</c:v>
                </c:pt>
                <c:pt idx="2">
                  <c:v>86</c:v>
                </c:pt>
                <c:pt idx="3">
                  <c:v>78.5</c:v>
                </c:pt>
                <c:pt idx="4">
                  <c:v>97</c:v>
                </c:pt>
                <c:pt idx="5">
                  <c:v>81.5</c:v>
                </c:pt>
                <c:pt idx="6">
                  <c:v>90</c:v>
                </c:pt>
                <c:pt idx="7">
                  <c:v>43.9</c:v>
                </c:pt>
                <c:pt idx="8">
                  <c:v>54.4</c:v>
                </c:pt>
                <c:pt idx="9">
                  <c:v>71.3</c:v>
                </c:pt>
              </c:numCache>
            </c:numRef>
          </c:val>
          <c:extLst>
            <c:ext xmlns:c16="http://schemas.microsoft.com/office/drawing/2014/chart" uri="{C3380CC4-5D6E-409C-BE32-E72D297353CC}">
              <c16:uniqueId val="{00000014-0EC6-4749-B8AD-A4F23E1DB8D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7.4674626284829968E-3"/>
          <c:y val="0.17831974825220154"/>
          <c:w val="0.51914326334208227"/>
          <c:h val="0.69031738441015844"/>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Управување со квалитет</a:t>
            </a:r>
            <a:endParaRPr lang="en-US"/>
          </a:p>
        </c:rich>
      </c:tx>
      <c:layout>
        <c:manualLayout>
          <c:xMode val="edge"/>
          <c:yMode val="edge"/>
          <c:x val="0.36837417075300261"/>
          <c:y val="2.5504773609989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9484727094173806"/>
          <c:y val="0.26789932508436437"/>
          <c:w val="0.31110698982277285"/>
          <c:h val="0.6147672697827666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C6A-4B7B-9862-16D56ED81F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C6A-4B7B-9862-16D56ED81F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C6A-4B7B-9862-16D56ED81F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C6A-4B7B-9862-16D56ED81F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C6A-4B7B-9862-16D56ED81F0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C6A-4B7B-9862-16D56ED81F0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C6A-4B7B-9862-16D56ED81F0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C6A-4B7B-9862-16D56ED81F0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C6A-4B7B-9862-16D56ED81F0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C6A-4B7B-9862-16D56ED81F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'управување со квалитет'!$A$3:$A$12</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'управување со квалитет'!$B$3:$B$12</c:f>
              <c:numCache>
                <c:formatCode>General</c:formatCode>
                <c:ptCount val="10"/>
                <c:pt idx="0">
                  <c:v>20</c:v>
                </c:pt>
                <c:pt idx="1">
                  <c:v>48.75</c:v>
                </c:pt>
                <c:pt idx="2">
                  <c:v>93.5</c:v>
                </c:pt>
                <c:pt idx="3">
                  <c:v>35</c:v>
                </c:pt>
                <c:pt idx="4">
                  <c:v>52.5</c:v>
                </c:pt>
                <c:pt idx="5">
                  <c:v>30</c:v>
                </c:pt>
                <c:pt idx="6">
                  <c:v>35</c:v>
                </c:pt>
                <c:pt idx="7">
                  <c:v>25</c:v>
                </c:pt>
                <c:pt idx="8">
                  <c:v>25</c:v>
                </c:pt>
                <c:pt idx="9">
                  <c:v>40</c:v>
                </c:pt>
              </c:numCache>
            </c:numRef>
          </c:val>
          <c:extLst>
            <c:ext xmlns:c16="http://schemas.microsoft.com/office/drawing/2014/chart" uri="{C3380CC4-5D6E-409C-BE32-E72D297353CC}">
              <c16:uniqueId val="{00000014-AC6A-4B7B-9862-16D56ED81F0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2942917801492851E-2"/>
          <c:y val="0.35362151996625429"/>
          <c:w val="0.511419668636103"/>
          <c:h val="0.4275608644757107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a:t>Евалуација</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0680524255421555"/>
          <c:y val="0.18097222222222226"/>
          <c:w val="0.45668920818356867"/>
          <c:h val="0.8190277777777778"/>
        </c:manualLayout>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'евалуација по вк бодови'!$A$2:$A$11</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'евалуација по вк бодови'!$B$2:$B$11</c:f>
            </c:numRef>
          </c:val>
          <c:extLst>
            <c:ext xmlns:c16="http://schemas.microsoft.com/office/drawing/2014/chart" uri="{C3380CC4-5D6E-409C-BE32-E72D297353CC}">
              <c16:uniqueId val="{00000000-E6BF-4CF1-B231-E736C28D7FF2}"/>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'евалуација по вк бодови'!$A$2:$A$11</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'евалуација по вк бодови'!$C$2:$C$11</c:f>
            </c:numRef>
          </c:val>
          <c:extLst>
            <c:ext xmlns:c16="http://schemas.microsoft.com/office/drawing/2014/chart" uri="{C3380CC4-5D6E-409C-BE32-E72D297353CC}">
              <c16:uniqueId val="{00000001-E6BF-4CF1-B231-E736C28D7FF2}"/>
            </c:ext>
          </c:extLst>
        </c:ser>
        <c:ser>
          <c:idx val="2"/>
          <c:order val="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'евалуација по вк бодови'!$A$2:$A$11</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'евалуација по вк бодови'!$D$2:$D$11</c:f>
            </c:numRef>
          </c:val>
          <c:extLst>
            <c:ext xmlns:c16="http://schemas.microsoft.com/office/drawing/2014/chart" uri="{C3380CC4-5D6E-409C-BE32-E72D297353CC}">
              <c16:uniqueId val="{00000002-E6BF-4CF1-B231-E736C28D7FF2}"/>
            </c:ext>
          </c:extLst>
        </c:ser>
        <c:ser>
          <c:idx val="3"/>
          <c:order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4-E6BF-4CF1-B231-E736C28D7F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E6BF-4CF1-B231-E736C28D7F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8-E6BF-4CF1-B231-E736C28D7F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A-E6BF-4CF1-B231-E736C28D7FF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C-E6BF-4CF1-B231-E736C28D7FF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E-E6BF-4CF1-B231-E736C28D7FF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0-E6BF-4CF1-B231-E736C28D7FF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2-E6BF-4CF1-B231-E736C28D7FF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4-E6BF-4CF1-B231-E736C28D7FF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6-E6BF-4CF1-B231-E736C28D7F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mk-MK"/>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'евалуација по вк бодови'!$A$2:$A$11</c:f>
              <c:strCache>
                <c:ptCount val="10"/>
                <c:pt idx="0">
                  <c:v>1. ЦСР-Битола </c:v>
                </c:pt>
                <c:pt idx="1">
                  <c:v>2. ПИОМ </c:v>
                </c:pt>
                <c:pt idx="2">
                  <c:v>3. ЦРМ </c:v>
                </c:pt>
                <c:pt idx="3">
                  <c:v>4. Министерство за култура и туризам (МКТ) </c:v>
                </c:pt>
                <c:pt idx="4">
                  <c:v>5. АВРМ </c:v>
                </c:pt>
                <c:pt idx="5">
                  <c:v>6. ФИНКИ </c:v>
                </c:pt>
                <c:pt idx="6">
                  <c:v>7. Општина Штип </c:v>
                </c:pt>
                <c:pt idx="7">
                  <c:v>8. Водовод и канализација-Прилеп (ВКП) </c:v>
                </c:pt>
                <c:pt idx="8">
                  <c:v>9. Министерство за европски прашања (МЕП) </c:v>
                </c:pt>
                <c:pt idx="9">
                  <c:v>10. Инспекторат за животна средина (ИЖС) </c:v>
                </c:pt>
              </c:strCache>
            </c:strRef>
          </c:cat>
          <c:val>
            <c:numRef>
              <c:f>'евалуација по вк бодови'!$E$2:$E$11</c:f>
              <c:numCache>
                <c:formatCode>General</c:formatCode>
                <c:ptCount val="10"/>
                <c:pt idx="0">
                  <c:v>451.71999999999997</c:v>
                </c:pt>
                <c:pt idx="1">
                  <c:v>584.61</c:v>
                </c:pt>
                <c:pt idx="2">
                  <c:v>749.87</c:v>
                </c:pt>
                <c:pt idx="3">
                  <c:v>617.9</c:v>
                </c:pt>
                <c:pt idx="4">
                  <c:v>673.75000000000011</c:v>
                </c:pt>
                <c:pt idx="5">
                  <c:v>662</c:v>
                </c:pt>
                <c:pt idx="6">
                  <c:v>549.76</c:v>
                </c:pt>
                <c:pt idx="7">
                  <c:v>554.4</c:v>
                </c:pt>
                <c:pt idx="8">
                  <c:v>430.01</c:v>
                </c:pt>
                <c:pt idx="9">
                  <c:v>371.67</c:v>
                </c:pt>
              </c:numCache>
            </c:numRef>
          </c:val>
          <c:extLst>
            <c:ext xmlns:c16="http://schemas.microsoft.com/office/drawing/2014/chart" uri="{C3380CC4-5D6E-409C-BE32-E72D297353CC}">
              <c16:uniqueId val="{00000017-E6BF-4CF1-B231-E736C28D7F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3.3190000186146941E-4"/>
          <c:y val="0.22158743314980364"/>
          <c:w val="0.51914326334208227"/>
          <c:h val="0.757526975794692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mk-M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k-M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7267-BBC5-482D-B415-DC572C78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78</TotalTime>
  <Pages>21</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Emilija Georgieva Gjoshevski</cp:lastModifiedBy>
  <cp:revision>14</cp:revision>
  <cp:lastPrinted>2024-06-28T08:36:00Z</cp:lastPrinted>
  <dcterms:created xsi:type="dcterms:W3CDTF">2025-01-15T00:00:00Z</dcterms:created>
  <dcterms:modified xsi:type="dcterms:W3CDTF">2025-01-15T14:34:00Z</dcterms:modified>
</cp:coreProperties>
</file>