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1F78C" w14:textId="77777777" w:rsidR="006B31F7" w:rsidRPr="004F566A" w:rsidRDefault="00EE613A">
      <w:pPr>
        <w:pStyle w:val="Picturecaption0"/>
        <w:framePr w:w="1550" w:h="542" w:wrap="none" w:hAnchor="page" w:x="4067" w:y="745"/>
      </w:pPr>
      <w:bookmarkStart w:id="0" w:name="_GoBack"/>
      <w:bookmarkEnd w:id="0"/>
      <w:r>
        <w:t>ЕВРОПСКA</w:t>
      </w:r>
    </w:p>
    <w:p w14:paraId="7F727073" w14:textId="77777777" w:rsidR="006B31F7" w:rsidRPr="004F566A" w:rsidRDefault="00EE613A">
      <w:pPr>
        <w:pStyle w:val="Picturecaption0"/>
        <w:framePr w:w="1550" w:h="542" w:wrap="none" w:hAnchor="page" w:x="4067" w:y="745"/>
      </w:pPr>
      <w:r>
        <w:t>КОМИСИЈА</w:t>
      </w:r>
    </w:p>
    <w:p w14:paraId="6450EDA0" w14:textId="77777777" w:rsidR="006B31F7" w:rsidRPr="004F566A" w:rsidRDefault="00EE613A">
      <w:pPr>
        <w:spacing w:line="360" w:lineRule="exact"/>
      </w:pPr>
      <w:r>
        <w:rPr>
          <w:noProof/>
          <w:lang w:val="en-US" w:bidi="ar-SA"/>
        </w:rPr>
        <w:lastRenderedPageBreak/>
        <w:drawing>
          <wp:anchor distT="0" distB="36830" distL="0" distR="1069975" simplePos="0" relativeHeight="62914690" behindDoc="1" locked="0" layoutInCell="1" allowOverlap="1" wp14:anchorId="34B6E11D" wp14:editId="66E6EE9F">
            <wp:simplePos x="0" y="0"/>
            <wp:positionH relativeFrom="page">
              <wp:posOffset>902335</wp:posOffset>
            </wp:positionH>
            <wp:positionV relativeFrom="margin">
              <wp:posOffset>0</wp:posOffset>
            </wp:positionV>
            <wp:extent cx="1597025" cy="7804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1597025" cy="780415"/>
                    </a:xfrm>
                    <a:prstGeom prst="rect">
                      <a:avLst/>
                    </a:prstGeom>
                  </pic:spPr>
                </pic:pic>
              </a:graphicData>
            </a:graphic>
          </wp:anchor>
        </w:drawing>
      </w:r>
    </w:p>
    <w:p w14:paraId="0FB90B17" w14:textId="77777777" w:rsidR="006B31F7" w:rsidRPr="004F566A" w:rsidRDefault="006B31F7">
      <w:pPr>
        <w:spacing w:line="360" w:lineRule="exact"/>
        <w:rPr>
          <w:lang w:val="en-GB"/>
        </w:rPr>
      </w:pPr>
    </w:p>
    <w:p w14:paraId="48EB1D6A" w14:textId="77777777" w:rsidR="006B31F7" w:rsidRPr="004F566A" w:rsidRDefault="006B31F7">
      <w:pPr>
        <w:spacing w:after="565" w:line="1" w:lineRule="exact"/>
        <w:rPr>
          <w:lang w:val="en-GB"/>
        </w:rPr>
      </w:pPr>
    </w:p>
    <w:p w14:paraId="7ED43DDA" w14:textId="77777777" w:rsidR="006B31F7" w:rsidRPr="004F566A" w:rsidRDefault="006B31F7">
      <w:pPr>
        <w:spacing w:line="1" w:lineRule="exact"/>
        <w:rPr>
          <w:lang w:val="en-GB"/>
        </w:rPr>
        <w:sectPr w:rsidR="006B31F7" w:rsidRPr="004F566A" w:rsidSect="001D538E">
          <w:headerReference w:type="default" r:id="rId10"/>
          <w:footerReference w:type="default" r:id="rId11"/>
          <w:pgSz w:w="11900" w:h="16840"/>
          <w:pgMar w:top="1484" w:right="548" w:bottom="492" w:left="562" w:header="284" w:footer="64" w:gutter="0"/>
          <w:pgNumType w:start="1"/>
          <w:cols w:space="720"/>
          <w:noEndnote/>
          <w:docGrid w:linePitch="360"/>
        </w:sectPr>
      </w:pPr>
    </w:p>
    <w:p w14:paraId="2F55C5F0" w14:textId="77777777" w:rsidR="006B31F7" w:rsidRPr="004F566A" w:rsidRDefault="006B31F7">
      <w:pPr>
        <w:spacing w:line="240" w:lineRule="exact"/>
        <w:rPr>
          <w:sz w:val="19"/>
          <w:szCs w:val="19"/>
          <w:lang w:val="en-GB"/>
        </w:rPr>
      </w:pPr>
    </w:p>
    <w:p w14:paraId="089757D7" w14:textId="77777777" w:rsidR="006B31F7" w:rsidRPr="004F566A" w:rsidRDefault="006B31F7">
      <w:pPr>
        <w:spacing w:line="240" w:lineRule="exact"/>
        <w:rPr>
          <w:sz w:val="19"/>
          <w:szCs w:val="19"/>
          <w:lang w:val="en-GB"/>
        </w:rPr>
      </w:pPr>
    </w:p>
    <w:p w14:paraId="311189CE" w14:textId="77777777" w:rsidR="006B31F7" w:rsidRPr="004F566A" w:rsidRDefault="006B31F7">
      <w:pPr>
        <w:spacing w:before="19" w:after="19" w:line="240" w:lineRule="exact"/>
        <w:rPr>
          <w:sz w:val="19"/>
          <w:szCs w:val="19"/>
          <w:lang w:val="en-GB"/>
        </w:rPr>
      </w:pPr>
    </w:p>
    <w:p w14:paraId="08E06E3E" w14:textId="77777777" w:rsidR="006B31F7" w:rsidRPr="004F566A" w:rsidRDefault="006B31F7">
      <w:pPr>
        <w:spacing w:line="1" w:lineRule="exact"/>
        <w:rPr>
          <w:lang w:val="en-GB"/>
        </w:rPr>
        <w:sectPr w:rsidR="006B31F7" w:rsidRPr="004F566A">
          <w:type w:val="continuous"/>
          <w:pgSz w:w="11900" w:h="16840"/>
          <w:pgMar w:top="1437" w:right="0" w:bottom="1629" w:left="0" w:header="0" w:footer="3" w:gutter="0"/>
          <w:cols w:space="720"/>
          <w:noEndnote/>
          <w:docGrid w:linePitch="360"/>
        </w:sectPr>
      </w:pPr>
    </w:p>
    <w:p w14:paraId="24F2022A" w14:textId="4487451D" w:rsidR="006B31F7" w:rsidRPr="004F566A" w:rsidRDefault="00EE613A">
      <w:pPr>
        <w:pStyle w:val="BodyText"/>
        <w:spacing w:after="0"/>
        <w:ind w:left="4820"/>
        <w:jc w:val="both"/>
      </w:pPr>
      <w:r>
        <w:lastRenderedPageBreak/>
        <w:t>Брисел, 24.7.2024 година</w:t>
      </w:r>
    </w:p>
    <w:p w14:paraId="7349BD3A" w14:textId="77777777" w:rsidR="006B31F7" w:rsidRPr="004F566A" w:rsidRDefault="00EE613A">
      <w:pPr>
        <w:pStyle w:val="BodyText"/>
        <w:spacing w:after="1440"/>
        <w:ind w:left="4820"/>
        <w:jc w:val="both"/>
      </w:pPr>
      <w:r>
        <w:t>СВД(2024) 830 последна верзија</w:t>
      </w:r>
    </w:p>
    <w:p w14:paraId="6EED4E35" w14:textId="77777777" w:rsidR="006B31F7" w:rsidRPr="004F566A" w:rsidRDefault="00EE613A">
      <w:pPr>
        <w:pStyle w:val="BodyText"/>
        <w:spacing w:after="340"/>
        <w:jc w:val="center"/>
      </w:pPr>
      <w:r>
        <w:rPr>
          <w:b/>
        </w:rPr>
        <w:t>РАБОТЕН ДОКУМЕНТ НА СЛУЖБИТЕ НА КОМИСИЈАТА</w:t>
      </w:r>
    </w:p>
    <w:p w14:paraId="20DE3613" w14:textId="77777777" w:rsidR="006B31F7" w:rsidRPr="004F566A" w:rsidRDefault="00EE613A">
      <w:pPr>
        <w:pStyle w:val="BodyText"/>
        <w:spacing w:after="340"/>
        <w:jc w:val="center"/>
      </w:pPr>
      <w:r>
        <w:rPr>
          <w:b/>
        </w:rPr>
        <w:t>Извештај за владеењето на правото за 2024 година</w:t>
      </w:r>
      <w:r>
        <w:rPr>
          <w:b/>
        </w:rPr>
        <w:cr/>
      </w:r>
      <w:r>
        <w:rPr>
          <w:b/>
        </w:rPr>
        <w:br/>
        <w:t>Поглавје за состојбата со владеењето на правото во Северна Македонија</w:t>
      </w:r>
    </w:p>
    <w:p w14:paraId="07CD4342" w14:textId="77777777" w:rsidR="006B31F7" w:rsidRPr="004F566A" w:rsidRDefault="00EE613A">
      <w:pPr>
        <w:pStyle w:val="BodyText"/>
        <w:spacing w:after="240"/>
        <w:jc w:val="center"/>
      </w:pPr>
      <w:r>
        <w:rPr>
          <w:b/>
          <w:i/>
        </w:rPr>
        <w:t>во прилог на</w:t>
      </w:r>
    </w:p>
    <w:p w14:paraId="6899F1F9" w14:textId="227CC79D" w:rsidR="006B31F7" w:rsidRPr="004F566A" w:rsidRDefault="00044163">
      <w:pPr>
        <w:pStyle w:val="BodyText"/>
        <w:spacing w:after="240"/>
        <w:jc w:val="center"/>
      </w:pPr>
      <w:r>
        <w:rPr>
          <w:b/>
        </w:rPr>
        <w:t xml:space="preserve">КОМУНИКАЦИЈАТА </w:t>
      </w:r>
      <w:r w:rsidR="00EE613A">
        <w:rPr>
          <w:b/>
        </w:rPr>
        <w:t>ОД КОМИСИЈАТА ДО ЕВРОПСКИОТ ПАРЛАМЕНТ, СОВЕТОТ, ЕВРОПСКИОТ ЕКОНОМСКО - СОЦИЈАЛЕН КОМИТЕТ И КОМИТЕТОТ НА РЕГИОНИТЕ</w:t>
      </w:r>
    </w:p>
    <w:p w14:paraId="74E4C3BB" w14:textId="77777777" w:rsidR="006B31F7" w:rsidRPr="004F566A" w:rsidRDefault="00EE613A">
      <w:pPr>
        <w:pStyle w:val="Heading21"/>
        <w:keepNext/>
        <w:keepLines/>
        <w:spacing w:after="240"/>
        <w:jc w:val="center"/>
      </w:pPr>
      <w:bookmarkStart w:id="1" w:name="bookmark6"/>
      <w:r>
        <w:t>Извештај за владеењето на правото за 2024 година</w:t>
      </w:r>
      <w:bookmarkEnd w:id="1"/>
    </w:p>
    <w:p w14:paraId="0735DAD1" w14:textId="77777777" w:rsidR="006B31F7" w:rsidRPr="004F566A" w:rsidRDefault="00EE613A">
      <w:pPr>
        <w:pStyle w:val="Heading21"/>
        <w:keepNext/>
        <w:keepLines/>
        <w:spacing w:after="340"/>
        <w:jc w:val="center"/>
      </w:pPr>
      <w:r>
        <w:t>Состојба со владеењето на правото во Европската Унија</w:t>
      </w:r>
    </w:p>
    <w:p w14:paraId="672BF71F" w14:textId="77777777" w:rsidR="006A4308" w:rsidRPr="006A4308" w:rsidRDefault="00FD119A" w:rsidP="006A4308">
      <w:pPr>
        <w:spacing w:line="276" w:lineRule="exact"/>
        <w:ind w:left="90" w:right="63"/>
        <w:jc w:val="center"/>
        <w:rPr>
          <w:rFonts w:ascii="Times New Roman" w:hAnsi="Times New Roman" w:cs="Times New Roman"/>
        </w:rPr>
      </w:pPr>
      <w:r>
        <w:rPr>
          <w:rFonts w:ascii="Times New Roman" w:hAnsi="Times New Roman"/>
        </w:rPr>
        <w:t xml:space="preserve"> {КОМ(2024) 800 последна верзија} - {СВД(2024) 801 последна верзија} - {СВД(2024) 802 последна верзија} -</w:t>
      </w:r>
    </w:p>
    <w:p w14:paraId="1CB43E9A"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803 последна верзија} - {СВД(2024) 804 последна верзија} - {СВД(2024) 805 последна верзија} -</w:t>
      </w:r>
    </w:p>
    <w:p w14:paraId="49D24CD2"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806 последна верзија} - {СВД(2024) 807 последна верзија} - {СВД(2024) 808 последна верзија} -</w:t>
      </w:r>
    </w:p>
    <w:p w14:paraId="23D9FAF1"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809 последна верзија} - {СВД(2024) 810 последна верзија} - {СВД(2024) 811 последна верзија} -</w:t>
      </w:r>
    </w:p>
    <w:p w14:paraId="7C7CC38B"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812 последна верзија} - {СВД(2024) 813 последна верзија} - {СВД(2024) 814 последна верзија} -</w:t>
      </w:r>
    </w:p>
    <w:p w14:paraId="59669D16"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815 последна верзија} - {СВД(2024) 816 последна верзија} - {СВД(2024) 817 последна верзија} -</w:t>
      </w:r>
    </w:p>
    <w:p w14:paraId="50A53CEB"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818 последна верзија} - {СВД(2024) 819 последна верзија} - {СВД(2024) 820 последна верзија} -</w:t>
      </w:r>
    </w:p>
    <w:p w14:paraId="6E1EDABC"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821 последна верзија} - {СВД(2024) 822 последна верзија} - {СВД(2024) 823 последна верзија} -</w:t>
      </w:r>
    </w:p>
    <w:p w14:paraId="30BA568F" w14:textId="77777777" w:rsidR="006A4308" w:rsidRPr="006A4308" w:rsidRDefault="006A4308" w:rsidP="006A4308">
      <w:pPr>
        <w:spacing w:line="275" w:lineRule="exact"/>
        <w:ind w:left="90"/>
        <w:jc w:val="center"/>
        <w:rPr>
          <w:rFonts w:ascii="Times New Roman" w:hAnsi="Times New Roman" w:cs="Times New Roman"/>
        </w:rPr>
      </w:pPr>
      <w:r>
        <w:rPr>
          <w:rFonts w:ascii="Times New Roman" w:hAnsi="Times New Roman"/>
        </w:rPr>
        <w:t>{СВД(2024) 824 последна верзија} - {СВД(2024) 825 последна верзија} - {СВД(2024) 826 последна верзија} -</w:t>
      </w:r>
    </w:p>
    <w:p w14:paraId="779773F4" w14:textId="77777777" w:rsidR="006A4308" w:rsidRPr="006A4308" w:rsidRDefault="006A4308" w:rsidP="006A4308">
      <w:pPr>
        <w:spacing w:line="276" w:lineRule="exact"/>
        <w:ind w:left="90"/>
        <w:jc w:val="center"/>
        <w:rPr>
          <w:rFonts w:ascii="Times New Roman" w:hAnsi="Times New Roman" w:cs="Times New Roman"/>
        </w:rPr>
      </w:pPr>
      <w:r>
        <w:rPr>
          <w:rFonts w:ascii="Times New Roman" w:hAnsi="Times New Roman"/>
        </w:rPr>
        <w:t>{СВД(2024) 827 последна верзија} - {СВД(2024) 828 последна верзија} - {СВД(2024) 829 последна верзија} -</w:t>
      </w:r>
    </w:p>
    <w:p w14:paraId="084846D7" w14:textId="77777777" w:rsidR="006A4308" w:rsidRPr="006A4308" w:rsidRDefault="006A4308" w:rsidP="006A4308">
      <w:pPr>
        <w:ind w:left="90" w:right="2"/>
        <w:jc w:val="center"/>
        <w:rPr>
          <w:rFonts w:ascii="Times New Roman" w:hAnsi="Times New Roman" w:cs="Times New Roman"/>
        </w:rPr>
      </w:pPr>
      <w:r>
        <w:rPr>
          <w:rFonts w:ascii="Times New Roman" w:hAnsi="Times New Roman"/>
        </w:rPr>
        <w:t>{СВД(2024) 831 последна верзија}</w:t>
      </w:r>
    </w:p>
    <w:p w14:paraId="215C99BA" w14:textId="01063BAC" w:rsidR="006B31F7" w:rsidRPr="004F566A" w:rsidRDefault="006B31F7" w:rsidP="006A4308">
      <w:pPr>
        <w:pStyle w:val="Tableofcontents0"/>
        <w:tabs>
          <w:tab w:val="center" w:pos="1843"/>
          <w:tab w:val="center" w:pos="2565"/>
          <w:tab w:val="center" w:pos="2977"/>
          <w:tab w:val="center" w:pos="4070"/>
          <w:tab w:val="right" w:pos="4934"/>
          <w:tab w:val="right" w:pos="5062"/>
          <w:tab w:val="center" w:pos="5702"/>
          <w:tab w:val="center" w:pos="6581"/>
          <w:tab w:val="right" w:pos="6804"/>
        </w:tabs>
        <w:ind w:hanging="426"/>
        <w:jc w:val="center"/>
        <w:rPr>
          <w:lang w:val="en-GB"/>
        </w:rPr>
      </w:pPr>
    </w:p>
    <w:p w14:paraId="7882335B" w14:textId="77777777" w:rsidR="006B31F7" w:rsidRPr="004F566A" w:rsidRDefault="00EE613A">
      <w:pPr>
        <w:spacing w:after="2891" w:line="1" w:lineRule="exact"/>
        <w:sectPr w:rsidR="006B31F7" w:rsidRPr="004F566A">
          <w:type w:val="continuous"/>
          <w:pgSz w:w="11900" w:h="16840"/>
          <w:pgMar w:top="1437" w:right="1361" w:bottom="1629" w:left="1371" w:header="0" w:footer="3" w:gutter="0"/>
          <w:cols w:space="720"/>
          <w:noEndnote/>
          <w:docGrid w:linePitch="360"/>
        </w:sectPr>
      </w:pPr>
      <w:r>
        <w:rPr>
          <w:noProof/>
          <w:lang w:val="en-US" w:bidi="ar-SA"/>
        </w:rPr>
        <mc:AlternateContent>
          <mc:Choice Requires="wps">
            <w:drawing>
              <wp:anchor distT="0" distB="0" distL="0" distR="0" simplePos="0" relativeHeight="62914691" behindDoc="1" locked="0" layoutInCell="1" allowOverlap="1" wp14:anchorId="445D48D7" wp14:editId="49C03C58">
                <wp:simplePos x="0" y="0"/>
                <wp:positionH relativeFrom="page">
                  <wp:posOffset>356870</wp:posOffset>
                </wp:positionH>
                <wp:positionV relativeFrom="paragraph">
                  <wp:posOffset>1473200</wp:posOffset>
                </wp:positionV>
                <wp:extent cx="435610" cy="362585"/>
                <wp:effectExtent l="0" t="0" r="0" b="0"/>
                <wp:wrapNone/>
                <wp:docPr id="3" name="Shape 3"/>
                <wp:cNvGraphicFramePr/>
                <a:graphic xmlns:a="http://schemas.openxmlformats.org/drawingml/2006/main">
                  <a:graphicData uri="http://schemas.microsoft.com/office/word/2010/wordprocessingShape">
                    <wps:wsp>
                      <wps:cNvSpPr txBox="1"/>
                      <wps:spPr>
                        <a:xfrm>
                          <a:off x="0" y="0"/>
                          <a:ext cx="435610" cy="362585"/>
                        </a:xfrm>
                        <a:prstGeom prst="rect">
                          <a:avLst/>
                        </a:prstGeom>
                        <a:noFill/>
                      </wps:spPr>
                      <wps:txbx>
                        <w:txbxContent>
                          <w:p w14:paraId="5BFC73A1" w14:textId="77777777" w:rsidR="008D523D" w:rsidRDefault="008D523D">
                            <w:pPr>
                              <w:pStyle w:val="Heading11"/>
                              <w:keepNext/>
                              <w:keepLines/>
                            </w:pPr>
                            <w:bookmarkStart w:id="2" w:name="bookmark0"/>
                            <w:r>
                              <w:t>МК</w:t>
                            </w:r>
                            <w:bookmarkEnd w:id="2"/>
                          </w:p>
                        </w:txbxContent>
                      </wps:txbx>
                      <wps:bodyPr wrap="none" lIns="0" tIns="0" rIns="0" bIns="0"/>
                    </wps:wsp>
                  </a:graphicData>
                </a:graphic>
              </wp:anchor>
            </w:drawing>
          </mc:Choice>
          <mc:Fallback xmlns:w15="http://schemas.microsoft.com/office/word/2012/wordml">
            <w:pict>
              <v:shapetype w14:anchorId="445D48D7" id="_x0000_t202" coordsize="21600,21600" o:spt="202" path="m,l,21600r21600,l21600,xe">
                <v:stroke joinstyle="miter"/>
                <v:path gradientshapeok="t" o:connecttype="rect"/>
              </v:shapetype>
              <v:shape id="Shape 3" o:spid="_x0000_s1026" type="#_x0000_t202" style="position:absolute;margin-left:28.1pt;margin-top:116pt;width:34.3pt;height:28.55pt;z-index:-44040178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" filled="f" stroked="f">
                <v:textbox inset="0,0,0,0">
                  <w:txbxContent>
                    <w:p w14:paraId="5BFC73A1" w14:textId="77777777" w:rsidR="008D523D" w:rsidRDefault="008D523D">
                      <w:pPr>
                        <w:pStyle w:val="Heading11"/>
                        <w:keepNext/>
                        <w:keepLines/>
                      </w:pPr>
                      <w:bookmarkStart w:id="2" w:name="bookmark0"/>
                      <w:r>
                        <w:t>МК</w:t>
                      </w:r>
                      <w:bookmarkEnd w:id="2"/>
                    </w:p>
                  </w:txbxContent>
                </v:textbox>
                <w10:wrap anchorx="page"/>
              </v:shape>
            </w:pict>
          </mc:Fallback>
        </mc:AlternateContent>
      </w:r>
      <w:r>
        <w:rPr>
          <w:noProof/>
          <w:lang w:val="en-US" w:bidi="ar-SA"/>
        </w:rPr>
        <mc:AlternateContent>
          <mc:Choice Requires="wps">
            <w:drawing>
              <wp:anchor distT="0" distB="0" distL="0" distR="0" simplePos="0" relativeHeight="62914693" behindDoc="1" locked="0" layoutInCell="1" allowOverlap="1" wp14:anchorId="6ED7C672" wp14:editId="66E4F261">
                <wp:simplePos x="0" y="0"/>
                <wp:positionH relativeFrom="page">
                  <wp:posOffset>6772910</wp:posOffset>
                </wp:positionH>
                <wp:positionV relativeFrom="paragraph">
                  <wp:posOffset>1473200</wp:posOffset>
                </wp:positionV>
                <wp:extent cx="435610" cy="362585"/>
                <wp:effectExtent l="0" t="0" r="0" b="0"/>
                <wp:wrapNone/>
                <wp:docPr id="5" name="Shape 5"/>
                <wp:cNvGraphicFramePr/>
                <a:graphic xmlns:a="http://schemas.openxmlformats.org/drawingml/2006/main">
                  <a:graphicData uri="http://schemas.microsoft.com/office/word/2010/wordprocessingShape">
                    <wps:wsp>
                      <wps:cNvSpPr txBox="1"/>
                      <wps:spPr>
                        <a:xfrm>
                          <a:off x="0" y="0"/>
                          <a:ext cx="435610" cy="362585"/>
                        </a:xfrm>
                        <a:prstGeom prst="rect">
                          <a:avLst/>
                        </a:prstGeom>
                        <a:noFill/>
                      </wps:spPr>
                      <wps:txbx>
                        <w:txbxContent>
                          <w:p w14:paraId="5F9B78D4" w14:textId="77777777" w:rsidR="008D523D" w:rsidRDefault="008D523D">
                            <w:pPr>
                              <w:pStyle w:val="Heading11"/>
                              <w:keepNext/>
                              <w:keepLines/>
                              <w:jc w:val="right"/>
                            </w:pPr>
                            <w:bookmarkStart w:id="3" w:name="bookmark2"/>
                            <w:r>
                              <w:t>МК</w:t>
                            </w:r>
                            <w:bookmarkEnd w:id="3"/>
                          </w:p>
                        </w:txbxContent>
                      </wps:txbx>
                      <wps:bodyPr wrap="none" lIns="0" tIns="0" rIns="0" bIns="0"/>
                    </wps:wsp>
                  </a:graphicData>
                </a:graphic>
              </wp:anchor>
            </w:drawing>
          </mc:Choice>
          <mc:Fallback xmlns:w15="http://schemas.microsoft.com/office/word/2012/wordml">
            <w:pict>
              <v:shape w14:anchorId="6ED7C672" id="Shape 5" o:spid="_x0000_s1027" type="#_x0000_t202" style="position:absolute;margin-left:533.3pt;margin-top:116pt;width:34.3pt;height:28.55pt;z-index:-44040178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" filled="f" stroked="f">
                <v:textbox inset="0,0,0,0">
                  <w:txbxContent>
                    <w:p w14:paraId="5F9B78D4" w14:textId="77777777" w:rsidR="008D523D" w:rsidRDefault="008D523D">
                      <w:pPr>
                        <w:pStyle w:val="Heading11"/>
                        <w:keepNext/>
                        <w:keepLines/>
                        <w:jc w:val="right"/>
                      </w:pPr>
                      <w:bookmarkStart w:id="4" w:name="bookmark2"/>
                      <w:r>
                        <w:t>МК</w:t>
                      </w:r>
                      <w:bookmarkEnd w:id="4"/>
                    </w:p>
                  </w:txbxContent>
                </v:textbox>
                <w10:wrap anchorx="page"/>
              </v:shape>
            </w:pict>
          </mc:Fallback>
        </mc:AlternateContent>
      </w:r>
    </w:p>
    <w:p w14:paraId="35F93281" w14:textId="77777777" w:rsidR="006B31F7" w:rsidRPr="004F566A" w:rsidRDefault="00EE613A">
      <w:pPr>
        <w:pStyle w:val="BodyText"/>
        <w:pBdr>
          <w:top w:val="single" w:sz="4" w:space="0" w:color="auto"/>
          <w:left w:val="single" w:sz="4" w:space="0" w:color="auto"/>
          <w:bottom w:val="single" w:sz="4" w:space="0" w:color="auto"/>
          <w:right w:val="single" w:sz="4" w:space="0" w:color="auto"/>
        </w:pBdr>
        <w:jc w:val="both"/>
        <w:rPr>
          <w:sz w:val="22"/>
          <w:szCs w:val="22"/>
        </w:rPr>
      </w:pPr>
      <w:r>
        <w:rPr>
          <w:b/>
          <w:smallCaps/>
          <w:u w:val="single"/>
        </w:rPr>
        <w:lastRenderedPageBreak/>
        <w:t>Апстракт</w:t>
      </w:r>
    </w:p>
    <w:p w14:paraId="34134FDD" w14:textId="3E1D1E2F" w:rsidR="006B31F7" w:rsidRPr="004F566A" w:rsidRDefault="00EE613A">
      <w:pPr>
        <w:pStyle w:val="BodyText"/>
        <w:pBdr>
          <w:top w:val="single" w:sz="4" w:space="0" w:color="auto"/>
          <w:left w:val="single" w:sz="4" w:space="0" w:color="auto"/>
          <w:bottom w:val="single" w:sz="4" w:space="0" w:color="auto"/>
          <w:right w:val="single" w:sz="4" w:space="0" w:color="auto"/>
        </w:pBdr>
        <w:jc w:val="both"/>
      </w:pPr>
      <w:r>
        <w:t>Северна Македонија претрпе неколку бранови реформи во правосудството и донесе нова стратегија за развој на правосудниот систем со цел да се подобри независноста, ефикасноста и професионалноста на судството. Сепак, независноста на судството и институционалниот капацитет да го заштитат од несоодветно влијание остануваат сериозна загриженост. Нивото на согледана независност на судството е многу ниско. Загриженоста останува и во однос на функционирањето и независноста на Судскиот совет, а чекори се преземени во овој поглед. Одлуките за именување јавни обвинители и судии се критикувани од граѓанското општество дека не се сеопфатно мотивирани или засновани на објективни критериуми. Преземени се мерки за подобрување на транспарентноста, особено под покровителство на претседателот на Врховниот суд и Судскиот совет. Воспоставени се етички кодекси и за обвинителите, и за судиите. Ограничените финансиски средства доделени на судството може да влијаат на неговата финансиска автономија, а дефицитот на човечки ресурси може да влијае на квалитетот и ефикасноста на правдата. Се развиваат дигитални алатки за управување со предмети. Ефикасноста на судството е намалена за првостепените граѓански, трговски и кривични предмети, додека таа остана стабилна за второстепените предмети.</w:t>
      </w:r>
    </w:p>
    <w:p w14:paraId="63EB9252" w14:textId="77777777" w:rsidR="006B31F7" w:rsidRPr="004F566A" w:rsidRDefault="00EE613A">
      <w:pPr>
        <w:pStyle w:val="BodyText"/>
        <w:pBdr>
          <w:top w:val="single" w:sz="4" w:space="0" w:color="auto"/>
          <w:left w:val="single" w:sz="4" w:space="0" w:color="auto"/>
          <w:bottom w:val="single" w:sz="4" w:space="0" w:color="auto"/>
          <w:right w:val="single" w:sz="4" w:space="0" w:color="auto"/>
        </w:pBdr>
        <w:jc w:val="both"/>
      </w:pPr>
      <w:r>
        <w:t>Воспоставена е сеопфатна национална антикорупциска стратегија, но нејзиното спроведување заостанува. Високиот ризик од корупција останува распространет во многу области. Неодамнешните измени на Кривичниот законик ја ослабеа правната рамка, негативно влијаејќи на гонењето на корупцијата, особено во случаите на корупција на високо ниво. Ограничувањата на ресурсите и недостатокот на соработка меѓу националните органи го попречуваат ефикасното гонење на корупцијата и го попречуваат воспоставувањето стабилна евиденција за предмети на корупција на високо ниво. Државната комисија за спречување корупција продолжи со напорите за исполнување на својот мандат и покрај ограничените ресурси. Иако постои законска рамка и регистри за лобирање, сè уште нема регистрирани лобисти. Постојат неколку недостатоци во однос на финансирањето на политичките партии. Северна Македонија го ажурира законот за заштита на укажувачите.</w:t>
      </w:r>
    </w:p>
    <w:p w14:paraId="5F59471A" w14:textId="77777777" w:rsidR="006B31F7" w:rsidRPr="004F566A" w:rsidRDefault="00EE613A">
      <w:pPr>
        <w:pStyle w:val="BodyText"/>
        <w:pBdr>
          <w:top w:val="single" w:sz="4" w:space="0" w:color="auto"/>
          <w:left w:val="single" w:sz="4" w:space="0" w:color="auto"/>
          <w:bottom w:val="single" w:sz="4" w:space="0" w:color="auto"/>
          <w:right w:val="single" w:sz="4" w:space="0" w:color="auto"/>
        </w:pBdr>
        <w:jc w:val="both"/>
      </w:pPr>
      <w:r>
        <w:t>Агенцијата за аудио и аудиовизуелни медиумски услуги ги исполнува своите задачи, а нејзината финансиска и институционална независност останува дополнително да се зајакне. Советот за етика во медиумите и понатаму е под притисок. Остануваат предизвиците во однос на транспарентноста на сопственоста на медиумите и се појави загриженост во врска со одредени елементи на повторното воведување на рекламирањето финансирано од државата. Јавниот радиодифузен сервис се соочува со предизвици. Агенцијата за заштита на правото на слободен пристап до информации од јавен карактер обезбедува пристап до информации од јавен карактер и покрај ограничените ресурси, додека останува загриженоста за одбивањата и одложувањата. Законските мерки ги зајакнаа законските гаранции за заштита на новинарите, но сепак забележани се закани и акти на насилство врз новинарите.</w:t>
      </w:r>
    </w:p>
    <w:p w14:paraId="7F099F30" w14:textId="0239C743" w:rsidR="006B31F7" w:rsidRPr="004F566A" w:rsidRDefault="00EE613A">
      <w:pPr>
        <w:pStyle w:val="BodyText"/>
        <w:pBdr>
          <w:top w:val="single" w:sz="4" w:space="0" w:color="auto"/>
          <w:left w:val="single" w:sz="4" w:space="0" w:color="auto"/>
          <w:bottom w:val="single" w:sz="4" w:space="0" w:color="auto"/>
          <w:right w:val="single" w:sz="4" w:space="0" w:color="auto"/>
        </w:pBdr>
        <w:jc w:val="both"/>
      </w:pPr>
      <w:r>
        <w:t xml:space="preserve">Политичката поларизација во Собранието предизвика доцнење во неговата работа и доведе до прекумерна, а понекогаш и несоодветна употреба на забрзани законодавни постапки. Остануваат недостатоци во спроведувањето на процесите за инклузивно </w:t>
      </w:r>
      <w:r w:rsidR="00C22A10">
        <w:t>создавање политики</w:t>
      </w:r>
      <w:r>
        <w:t xml:space="preserve"> и </w:t>
      </w:r>
      <w:r w:rsidR="00C22A10">
        <w:t>создавање политики</w:t>
      </w:r>
      <w:r>
        <w:t xml:space="preserve"> врз основа на докази. Канцеларијата на Народниот правобранител нема доволно ресурси, а предизвиците за систематско следење на нејзините наоди и препораки остануваат. Граѓанските организации работат во општо поволна средина, но остануваат предизвици за да се </w:t>
      </w:r>
      <w:r w:rsidR="005F6E0A">
        <w:t xml:space="preserve">осигури </w:t>
      </w:r>
      <w:r>
        <w:t xml:space="preserve">одржлив ангажман во </w:t>
      </w:r>
      <w:r w:rsidR="00EF410D">
        <w:t>создавањето политики</w:t>
      </w:r>
      <w:r>
        <w:t>.</w:t>
      </w:r>
      <w:r>
        <w:br w:type="page"/>
      </w:r>
    </w:p>
    <w:p w14:paraId="2F2CE01C" w14:textId="77777777" w:rsidR="006B31F7" w:rsidRPr="004F566A" w:rsidRDefault="00EE613A">
      <w:pPr>
        <w:spacing w:line="1" w:lineRule="exact"/>
      </w:pPr>
      <w:r>
        <w:rPr>
          <w:noProof/>
          <w:lang w:val="en-US" w:bidi="ar-SA"/>
        </w:rPr>
        <w:lastRenderedPageBreak/>
        <mc:AlternateContent>
          <mc:Choice Requires="wps">
            <w:drawing>
              <wp:anchor distT="0" distB="66040" distL="0" distR="0" simplePos="0" relativeHeight="125829378" behindDoc="0" locked="0" layoutInCell="1" allowOverlap="1" wp14:anchorId="783373E3" wp14:editId="68F1C6F2">
                <wp:simplePos x="0" y="0"/>
                <wp:positionH relativeFrom="page">
                  <wp:posOffset>899160</wp:posOffset>
                </wp:positionH>
                <wp:positionV relativeFrom="paragraph">
                  <wp:posOffset>0</wp:posOffset>
                </wp:positionV>
                <wp:extent cx="125095" cy="1892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5095" cy="189230"/>
                        </a:xfrm>
                        <a:prstGeom prst="rect">
                          <a:avLst/>
                        </a:prstGeom>
                        <a:noFill/>
                      </wps:spPr>
                      <wps:txbx>
                        <w:txbxContent>
                          <w:p w14:paraId="7B54F7A8" w14:textId="77777777" w:rsidR="008D523D" w:rsidRDefault="008D523D">
                            <w:pPr>
                              <w:pStyle w:val="Heading21"/>
                              <w:keepNext/>
                              <w:keepLines/>
                              <w:spacing w:after="0"/>
                            </w:pPr>
                            <w:bookmarkStart w:id="4" w:name="bookmark4"/>
                            <w:r>
                              <w:t>I.</w:t>
                            </w:r>
                            <w:bookmarkEnd w:id="4"/>
                          </w:p>
                        </w:txbxContent>
                      </wps:txbx>
                      <wps:bodyPr wrap="none" lIns="0" tIns="0" rIns="0" bIns="0"/>
                    </wps:wsp>
                  </a:graphicData>
                </a:graphic>
              </wp:anchor>
            </w:drawing>
          </mc:Choice>
          <mc:Fallback xmlns:w15="http://schemas.microsoft.com/office/word/2012/wordml">
            <w:pict>
              <v:shape w14:anchorId="783373E3" id="Shape 7" o:spid="_x0000_s1028" type="#_x0000_t202" style="position:absolute;margin-left:70.8pt;margin-top:0;width:9.85pt;height:14.9pt;z-index:125829378;visibility:visible;mso-wrap-style:none;mso-wrap-distance-left:0;mso-wrap-distance-top:0;mso-wrap-distance-right:0;mso-wrap-distance-bottom: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" filled="f" stroked="f">
                <v:textbox inset="0,0,0,0">
                  <w:txbxContent>
                    <w:p w14:paraId="7B54F7A8" w14:textId="77777777" w:rsidR="008D523D" w:rsidRDefault="008D523D">
                      <w:pPr>
                        <w:pStyle w:val="Heading21"/>
                        <w:keepNext/>
                        <w:keepLines/>
                        <w:spacing w:after="0"/>
                      </w:pPr>
                      <w:bookmarkStart w:id="6" w:name="bookmark4"/>
                      <w:r>
                        <w:t>I.</w:t>
                      </w:r>
                      <w:bookmarkEnd w:id="6"/>
                    </w:p>
                  </w:txbxContent>
                </v:textbox>
                <w10:wrap type="topAndBottom" anchorx="page"/>
              </v:shape>
            </w:pict>
          </mc:Fallback>
        </mc:AlternateContent>
      </w:r>
      <w:r>
        <w:rPr>
          <w:noProof/>
          <w:lang w:val="en-US" w:bidi="ar-SA"/>
        </w:rPr>
        <mc:AlternateContent>
          <mc:Choice Requires="wps">
            <w:drawing>
              <wp:anchor distT="3175" distB="62865" distL="0" distR="0" simplePos="0" relativeHeight="125829380" behindDoc="0" locked="0" layoutInCell="1" allowOverlap="1" wp14:anchorId="1E6A18F1" wp14:editId="674BA606">
                <wp:simplePos x="0" y="0"/>
                <wp:positionH relativeFrom="page">
                  <wp:posOffset>1356360</wp:posOffset>
                </wp:positionH>
                <wp:positionV relativeFrom="paragraph">
                  <wp:posOffset>3175</wp:posOffset>
                </wp:positionV>
                <wp:extent cx="1106170" cy="1892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06170" cy="189230"/>
                        </a:xfrm>
                        <a:prstGeom prst="rect">
                          <a:avLst/>
                        </a:prstGeom>
                        <a:noFill/>
                      </wps:spPr>
                      <wps:txbx>
                        <w:txbxContent>
                          <w:p w14:paraId="7BEC94F4" w14:textId="77777777" w:rsidR="008D523D" w:rsidRDefault="008D523D">
                            <w:pPr>
                              <w:pStyle w:val="BodyText"/>
                              <w:spacing w:after="0"/>
                              <w:rPr>
                                <w:sz w:val="22"/>
                                <w:szCs w:val="22"/>
                              </w:rPr>
                            </w:pPr>
                            <w:r>
                              <w:rPr>
                                <w:b/>
                                <w:smallCaps/>
                                <w:u w:val="single"/>
                              </w:rPr>
                              <w:t>Правосуден систем</w:t>
                            </w:r>
                          </w:p>
                        </w:txbxContent>
                      </wps:txbx>
                      <wps:bodyPr wrap="none" lIns="0" tIns="0" rIns="0" bIns="0"/>
                    </wps:wsp>
                  </a:graphicData>
                </a:graphic>
              </wp:anchor>
            </w:drawing>
          </mc:Choice>
          <mc:Fallback xmlns:w15="http://schemas.microsoft.com/office/word/2012/wordml">
            <w:pict>
              <v:shape w14:anchorId="1E6A18F1" id="Shape 9" o:spid="_x0000_s1029" type="#_x0000_t202" style="position:absolute;margin-left:106.8pt;margin-top:.25pt;width:87.1pt;height:14.9pt;z-index:125829380;visibility:visible;mso-wrap-style:none;mso-wrap-distance-left:0;mso-wrap-distance-top:.25pt;mso-wrap-distance-right:0;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" filled="f" stroked="f">
                <v:textbox inset="0,0,0,0">
                  <w:txbxContent>
                    <w:p w14:paraId="7BEC94F4" w14:textId="77777777" w:rsidR="008D523D" w:rsidRDefault="008D523D">
                      <w:pPr>
                        <w:pStyle w:val="BodyText"/>
                        <w:spacing w:after="0"/>
                        <w:rPr>
                          <w:sz w:val="22"/>
                          <w:szCs w:val="22"/>
                        </w:rPr>
                      </w:pPr>
                      <w:r>
                        <w:rPr>
                          <w:b/>
                          <w:smallCaps/>
                          <w:u w:val="single"/>
                        </w:rPr>
                        <w:t>Правосуден систем</w:t>
                      </w:r>
                    </w:p>
                  </w:txbxContent>
                </v:textbox>
                <w10:wrap type="topAndBottom" anchorx="page"/>
              </v:shape>
            </w:pict>
          </mc:Fallback>
        </mc:AlternateContent>
      </w:r>
    </w:p>
    <w:p w14:paraId="679E6CC2" w14:textId="2346BFE9" w:rsidR="006B31F7" w:rsidRPr="004F566A" w:rsidRDefault="00EE613A">
      <w:pPr>
        <w:pStyle w:val="BodyText"/>
        <w:jc w:val="both"/>
      </w:pPr>
      <w:r>
        <w:t>Северна Македонија има тристепен судски систем. Се состои од 27 првостепени судови, четири апелациони судови и Врховен суд. Последниот е највисоката инстанца во правосудниот систем со надлежности да осигури единствена примена на законите од страна на сите судови, да одлучува за правни лекови против одлуките на апелационите судови и за заштита на судење во разумен рок. Еден Управен суд и еден Виш управен суд вршат највисока контрола над законитоста на мерките на јавната администрација. Обвинителството е организирано околу Јавниот обвинител на Северна Македонија, четири виши јавни обвинителства и 22 основни јавни обвинителства (ОЈО). Уставниот суд не е дел од правосудството и, меѓу другото, ја преиспитува уставноста на законите. Уставот на Северна Македонија ја зацврстува независноста на судовите и автономијата на обвинителството</w:t>
      </w:r>
      <w:r w:rsidRPr="004F566A">
        <w:rPr>
          <w:vertAlign w:val="superscript"/>
          <w:lang w:val="en-GB"/>
        </w:rPr>
        <w:footnoteReference w:id="1"/>
      </w:r>
      <w:r>
        <w:t xml:space="preserve">. Судскиот совет и Советот на јавни обвинители се органи на управување кои се задолжени да гарантираат независност на судството и обвинителска автономија, соодветно, и </w:t>
      </w:r>
      <w:r w:rsidR="003E5A1D">
        <w:t xml:space="preserve">да </w:t>
      </w:r>
      <w:r>
        <w:t>донесуваат одлуки за вработување, управување со кариерата и дисциплински постапки на судиите и обвинителите. Работните активности со Европското јавно обвинителство (ЕППО) се воспоставени</w:t>
      </w:r>
      <w:r w:rsidRPr="004F566A">
        <w:rPr>
          <w:vertAlign w:val="superscript"/>
          <w:lang w:val="en-GB"/>
        </w:rPr>
        <w:footnoteReference w:id="2"/>
      </w:r>
      <w:r>
        <w:t>. Адвокатската комора е независна и непристрасна јавна служба која обезбедува правна помош и врши јавни овластувања.</w:t>
      </w:r>
    </w:p>
    <w:p w14:paraId="43BF3F78" w14:textId="77777777" w:rsidR="006B31F7" w:rsidRPr="004F566A" w:rsidRDefault="00EE613A">
      <w:pPr>
        <w:pStyle w:val="Heading21"/>
        <w:keepNext/>
        <w:keepLines/>
        <w:jc w:val="both"/>
      </w:pPr>
      <w:bookmarkStart w:id="5" w:name="bookmark9"/>
      <w:r>
        <w:t>Независност</w:t>
      </w:r>
      <w:bookmarkEnd w:id="5"/>
    </w:p>
    <w:p w14:paraId="1AF2B523" w14:textId="1A2876C5" w:rsidR="006B31F7" w:rsidRPr="004F566A" w:rsidRDefault="00EE613A">
      <w:pPr>
        <w:pStyle w:val="BodyText"/>
        <w:jc w:val="both"/>
      </w:pPr>
      <w:r>
        <w:rPr>
          <w:b/>
        </w:rPr>
        <w:t xml:space="preserve">Нивото на перципирана независност на правосудството во Северна Македонија е многу ниско и кај пошироката јавност, и кај компаниите. </w:t>
      </w:r>
      <w:r>
        <w:t>Севкупно, 25 % од општата популација и 20 % од компаниите сметаат дека нивото на независност на судовите и судиите е „прилично или многу добро“ во 2024</w:t>
      </w:r>
      <w:r w:rsidR="002B0E98">
        <w:rPr>
          <w:rStyle w:val="FootnoteReference"/>
        </w:rPr>
        <w:footnoteReference w:id="3"/>
      </w:r>
      <w:r>
        <w:t xml:space="preserve"> година. Главната причина што ја наведуваат и пошироката јавност и компаниите за недостатокот на независност на судовите и судиите е перцепцијата за мешање или притисок од Владата и политичарите.</w:t>
      </w:r>
    </w:p>
    <w:p w14:paraId="6C1BD1AF" w14:textId="7CB404AB" w:rsidR="006B31F7" w:rsidRPr="004F566A" w:rsidRDefault="00EE613A">
      <w:pPr>
        <w:pStyle w:val="BodyText"/>
        <w:spacing w:after="240"/>
        <w:jc w:val="both"/>
      </w:pPr>
      <w:r>
        <w:rPr>
          <w:b/>
        </w:rPr>
        <w:t xml:space="preserve">Донесена е нова стратегија за правосудство која има за цел да ја подобри независноста, ефикасноста и професионалноста на правосудството. </w:t>
      </w:r>
      <w:r>
        <w:t>Северна Македонија презеде серија судски реформи, особено во однос на „Итните реформски приоритети“ од 2015 година</w:t>
      </w:r>
      <w:r w:rsidRPr="004F566A">
        <w:rPr>
          <w:vertAlign w:val="superscript"/>
          <w:lang w:val="en-GB"/>
        </w:rPr>
        <w:footnoteReference w:id="4"/>
      </w:r>
      <w:r>
        <w:t>, препораките на Венецијанската комисија</w:t>
      </w:r>
      <w:r w:rsidRPr="004F566A">
        <w:rPr>
          <w:vertAlign w:val="superscript"/>
          <w:lang w:val="en-GB"/>
        </w:rPr>
        <w:footnoteReference w:id="5"/>
      </w:r>
      <w:r>
        <w:t>, и оние на Високата експертска група за системски прашања за владеењето на правото</w:t>
      </w:r>
      <w:r w:rsidRPr="004F566A">
        <w:rPr>
          <w:vertAlign w:val="superscript"/>
          <w:lang w:val="en-GB"/>
        </w:rPr>
        <w:footnoteReference w:id="6"/>
      </w:r>
      <w:r>
        <w:t>. Реформите опфатија измени на Законот за судови и Законот за Судски совет</w:t>
      </w:r>
      <w:r w:rsidRPr="004F566A">
        <w:rPr>
          <w:vertAlign w:val="superscript"/>
          <w:lang w:val="en-GB"/>
        </w:rPr>
        <w:footnoteReference w:id="7"/>
      </w:r>
      <w:r>
        <w:t>, што доведе до одреден степен на приближување кон европските стандарди во областа на правосудството</w:t>
      </w:r>
      <w:r w:rsidRPr="004F566A">
        <w:rPr>
          <w:vertAlign w:val="superscript"/>
          <w:lang w:val="en-GB"/>
        </w:rPr>
        <w:footnoteReference w:id="8"/>
      </w:r>
      <w:r>
        <w:t xml:space="preserve">. Во декември 2023 година, Владата донесе нова стратегија за правосудниот сектор со цел да се подобри независноста, ефикасноста и професионалноста на </w:t>
      </w:r>
      <w:r>
        <w:lastRenderedPageBreak/>
        <w:t>правосудството</w:t>
      </w:r>
      <w:r w:rsidRPr="004F566A">
        <w:rPr>
          <w:vertAlign w:val="superscript"/>
          <w:lang w:val="en-GB"/>
        </w:rPr>
        <w:footnoteReference w:id="9"/>
      </w:r>
      <w:r>
        <w:t>. Стратегијата го продолжува реформскиот процес иако беше донесена со значително доцнење. Покрај мерките кои допрва треба да се спроведат според претходната стратегија</w:t>
      </w:r>
      <w:r w:rsidRPr="004F566A">
        <w:rPr>
          <w:vertAlign w:val="superscript"/>
          <w:lang w:val="en-GB"/>
        </w:rPr>
        <w:footnoteReference w:id="10"/>
      </w:r>
      <w:r>
        <w:t>, новата стратегија вклучува дополнителни мерки насочени кон унапредување на усогласувањето со европските и меѓународните стандарди на правосудниот систем</w:t>
      </w:r>
      <w:r w:rsidRPr="004F566A">
        <w:rPr>
          <w:vertAlign w:val="superscript"/>
          <w:lang w:val="en-GB"/>
        </w:rPr>
        <w:footnoteReference w:id="11"/>
      </w:r>
      <w:r>
        <w:t xml:space="preserve">. Целите на стратегијата вклучуваат зајакнување на независноста и одговорноста на судството и неговата отпорност на внатрешни и надворешни влијанија, зголемување на квалитетот на правдата и </w:t>
      </w:r>
      <w:r w:rsidR="00C45F3F">
        <w:t xml:space="preserve">еднаква </w:t>
      </w:r>
      <w:r>
        <w:t xml:space="preserve">примена на законот, подобрување на ефикасноста, на пример со реорганизација на мрежата на судството и јавниот обвинител и примена на дигитални алатки и подобрување на пристапот до правда за оние кои живеат во сиромаштија и маргинализирани групи. </w:t>
      </w:r>
      <w:r w:rsidR="00941558">
        <w:t xml:space="preserve">Таа </w:t>
      </w:r>
      <w:r>
        <w:t>особено вклучува мерки за зајакнување на транспарентноста и достапност до јавноста за да се зголеми довербата на јавноста. Стратегијата е придружена со Акциски план кој ја одредува предвидената временска рамка за спроведување. Во март 2024 година, Владата формираше Совет за следење на спроведувањето на новата стратегија</w:t>
      </w:r>
      <w:r w:rsidRPr="004F566A">
        <w:rPr>
          <w:vertAlign w:val="superscript"/>
          <w:lang w:val="en-GB"/>
        </w:rPr>
        <w:footnoteReference w:id="12"/>
      </w:r>
      <w:r>
        <w:t>. Советот се состана на 23 мај 2024 година под претседателство на министерот за правда во заминување.</w:t>
      </w:r>
    </w:p>
    <w:p w14:paraId="02481BD7" w14:textId="4E24038E" w:rsidR="006B31F7" w:rsidRPr="004F566A" w:rsidRDefault="00EE613A" w:rsidP="00D070CF">
      <w:pPr>
        <w:pStyle w:val="BodyText"/>
        <w:jc w:val="both"/>
      </w:pPr>
      <w:r>
        <w:rPr>
          <w:b/>
        </w:rPr>
        <w:t xml:space="preserve">Независноста на правосудството и институционалниот капацитет да се заштити од несоодветно влијание продолжуваат да предизвикуваат сериозна загриженост. </w:t>
      </w:r>
      <w:r>
        <w:t>Повеќе од една третина од анкетираните судии изјавиле дека се соочиле со обиди за надворешно влијание, било од извршната власт или од претставници на политички партии</w:t>
      </w:r>
      <w:r w:rsidRPr="004F566A">
        <w:rPr>
          <w:vertAlign w:val="superscript"/>
          <w:lang w:val="en-GB"/>
        </w:rPr>
        <w:footnoteReference w:id="13"/>
      </w:r>
      <w:r>
        <w:t>. Зголемување на обидите за внатрешно влијание, исто така, беше забележано во споредба со резултатите од 2009 година, бидејќи речиси 46 % од анкетираните судии во 2023 година изјавиле дека доживеале некаков облик на притисок или обид за влијание од нивните колеги, додека 42 % изјавиле дека доживеале сличен притисок или влијание од судиите од повисок ранг, како претседатели на судови или судии на повисоки судови</w:t>
      </w:r>
      <w:r w:rsidRPr="004F566A">
        <w:rPr>
          <w:vertAlign w:val="superscript"/>
          <w:lang w:val="en-GB"/>
        </w:rPr>
        <w:footnoteReference w:id="14"/>
      </w:r>
      <w:r>
        <w:t xml:space="preserve">. Неколку високи судски претставници дадоа јавни изјави критикувајќи ја околината за несоодветно влијание, </w:t>
      </w:r>
      <w:r w:rsidR="00A3237E">
        <w:t>вклучително</w:t>
      </w:r>
      <w:r>
        <w:t xml:space="preserve"> и претседателот на Врховниот суд</w:t>
      </w:r>
      <w:r w:rsidRPr="004F566A">
        <w:rPr>
          <w:vertAlign w:val="superscript"/>
          <w:lang w:val="en-GB"/>
        </w:rPr>
        <w:footnoteReference w:id="15"/>
      </w:r>
      <w:r>
        <w:t xml:space="preserve">. Во однос на обвинителите, околу една третина пријавиле обиди за влијание, било од извршната власт </w:t>
      </w:r>
      <w:r>
        <w:lastRenderedPageBreak/>
        <w:t>или од политичките партии</w:t>
      </w:r>
      <w:r w:rsidRPr="004F566A">
        <w:rPr>
          <w:vertAlign w:val="superscript"/>
          <w:lang w:val="en-GB"/>
        </w:rPr>
        <w:footnoteReference w:id="16"/>
      </w:r>
      <w:r>
        <w:t xml:space="preserve">. Повеќе од една третина од јавните обвинители исто така изјавиле дека доживеале внатрешен директен или индиректен притисок, сугестии или обиди за несоодветно влијание, </w:t>
      </w:r>
      <w:r w:rsidR="00A3237E">
        <w:t>вклучително</w:t>
      </w:r>
      <w:r>
        <w:t xml:space="preserve"> и од високи јавни обвинители и колеги</w:t>
      </w:r>
      <w:r w:rsidRPr="004F566A">
        <w:rPr>
          <w:vertAlign w:val="superscript"/>
          <w:lang w:val="en-GB"/>
        </w:rPr>
        <w:footnoteReference w:id="17"/>
      </w:r>
      <w:r>
        <w:t xml:space="preserve">. Неколку судии (59 %) и (49 %) обвинители не веруваат дека </w:t>
      </w:r>
      <w:r w:rsidR="00A3237E">
        <w:t xml:space="preserve">постојните </w:t>
      </w:r>
      <w:r>
        <w:t>механизми за заштита на судската и обвинителската функција од надворешни притисоци или обиди за влијание се ефективни</w:t>
      </w:r>
      <w:r w:rsidRPr="004F566A">
        <w:rPr>
          <w:vertAlign w:val="superscript"/>
          <w:lang w:val="en-GB"/>
        </w:rPr>
        <w:footnoteReference w:id="18"/>
      </w:r>
      <w:r>
        <w:t>. Засегнатите страни укажаа дека воведувањето нови мерки, на пример, создавањето посебно одделение во канцеларијата на обвинителството, ќе помогне подобро да се заштити пријавувањето несоодветно влијание од страна на судиите и обвинителите и да се зајакне судскиот интегритет нашироко</w:t>
      </w:r>
      <w:r w:rsidRPr="004F566A">
        <w:rPr>
          <w:vertAlign w:val="superscript"/>
          <w:lang w:val="en-GB"/>
        </w:rPr>
        <w:footnoteReference w:id="19"/>
      </w:r>
      <w:r>
        <w:t>.</w:t>
      </w:r>
    </w:p>
    <w:p w14:paraId="2360C4EC" w14:textId="1D611B17" w:rsidR="006B31F7" w:rsidRPr="007A21FB" w:rsidRDefault="00EE613A">
      <w:pPr>
        <w:pStyle w:val="BodyText"/>
        <w:jc w:val="both"/>
      </w:pPr>
      <w:r>
        <w:rPr>
          <w:b/>
        </w:rPr>
        <w:t xml:space="preserve">Останува загриженоста за функционирањето и независноста на Судскиот совет, а чекори се преземени во овој поглед. </w:t>
      </w:r>
      <w:r>
        <w:t>Случувањата во Судскиот совет негативно се одразија на довербата на јавноста во правосудството. Претседателката на Судскиот совет беше разрешена од нејзината функција, а подоцна беше вратена на функцијата по одлуката на Управниот суд во декември 2023 година дека нејзиното разрешување е незаконско. Двајца членови на Судскиот совет, како и претходниот претседател на Советот, поднесоа оставка во јуни 2023 година поради несогласување со разрешувањето на претседателот и повикувајќи се на причини за несоодветно влијание во правосудството</w:t>
      </w:r>
      <w:r w:rsidRPr="004F566A">
        <w:rPr>
          <w:vertAlign w:val="superscript"/>
          <w:lang w:val="en-GB"/>
        </w:rPr>
        <w:footnoteReference w:id="20"/>
      </w:r>
      <w:r>
        <w:t>. Овие случувања предизвикаа сериозна загриженост за легитимноста и функционалноста на Советот</w:t>
      </w:r>
      <w:r w:rsidRPr="004F566A">
        <w:rPr>
          <w:vertAlign w:val="superscript"/>
          <w:lang w:val="en-GB"/>
        </w:rPr>
        <w:footnoteReference w:id="21"/>
      </w:r>
      <w:r>
        <w:t>. Покрај тоа, неговиот недостаток на транспарентност беше критикуван од засегнатите страни, бидејќи јавниот пристап до неколку клучни седници на Советот беше ограничен</w:t>
      </w:r>
      <w:r w:rsidRPr="004F566A">
        <w:rPr>
          <w:vertAlign w:val="superscript"/>
          <w:lang w:val="en-GB"/>
        </w:rPr>
        <w:footnoteReference w:id="22"/>
      </w:r>
      <w:r>
        <w:t>. Мнозинството судии не сметаат дека Судскиот совет може ефективно да ја заштити нивната независност</w:t>
      </w:r>
      <w:r w:rsidRPr="004F566A">
        <w:rPr>
          <w:vertAlign w:val="superscript"/>
          <w:lang w:val="en-GB"/>
        </w:rPr>
        <w:footnoteReference w:id="23"/>
      </w:r>
      <w:r>
        <w:t>. Дополнително, неколку одлуки за именување и дисциплински постапки, меѓу кои и одлуката за запирање на сите вакви постапки во Судскиот совет за време на парламентарните и претседателските избори</w:t>
      </w:r>
      <w:r w:rsidRPr="004F566A">
        <w:rPr>
          <w:vertAlign w:val="superscript"/>
          <w:lang w:val="en-GB"/>
        </w:rPr>
        <w:footnoteReference w:id="24"/>
      </w:r>
      <w:r>
        <w:t xml:space="preserve">, предизвикаа критики кај засегнатите страни за </w:t>
      </w:r>
      <w:r>
        <w:lastRenderedPageBreak/>
        <w:t>независноста на Советот</w:t>
      </w:r>
      <w:r w:rsidRPr="004F566A">
        <w:rPr>
          <w:vertAlign w:val="superscript"/>
          <w:lang w:val="en-GB"/>
        </w:rPr>
        <w:footnoteReference w:id="25"/>
      </w:r>
      <w:r>
        <w:t xml:space="preserve">. Пропорционалноста на дисциплинските мерки беше доведена во прашање од страна на </w:t>
      </w:r>
      <w:r w:rsidRPr="0046753E">
        <w:t>ГО</w:t>
      </w:r>
      <w:r>
        <w:t xml:space="preserve"> кои го следат Судскиот совет</w:t>
      </w:r>
      <w:r w:rsidRPr="004F566A">
        <w:rPr>
          <w:vertAlign w:val="superscript"/>
          <w:lang w:val="en-GB"/>
        </w:rPr>
        <w:footnoteReference w:id="26"/>
      </w:r>
      <w:r>
        <w:t>. На пример, релативно благите санкции наметнати за намерно одложување на предмет за корупција на високо ниво, ја разгорија јавната критика</w:t>
      </w:r>
      <w:r w:rsidRPr="004F566A">
        <w:rPr>
          <w:vertAlign w:val="superscript"/>
          <w:lang w:val="en-GB"/>
        </w:rPr>
        <w:footnoteReference w:id="27"/>
      </w:r>
      <w:r>
        <w:t>. Жалбениот процес против одлуките на Судскиот совет исто така беше предмет на критики поради недостиг на јасност во надлежностите</w:t>
      </w:r>
      <w:r w:rsidRPr="004F566A">
        <w:rPr>
          <w:vertAlign w:val="superscript"/>
          <w:lang w:val="en-GB"/>
        </w:rPr>
        <w:footnoteReference w:id="28"/>
      </w:r>
      <w:r>
        <w:t>. За да се подобри функционирањето на Советот и да се зајакне неговата независност, оценската мисија на ТАИЕКС</w:t>
      </w:r>
      <w:r w:rsidRPr="004F566A">
        <w:rPr>
          <w:vertAlign w:val="superscript"/>
          <w:lang w:val="en-GB"/>
        </w:rPr>
        <w:footnoteReference w:id="29"/>
      </w:r>
      <w:r>
        <w:t>, спроведена во септември 2023 година, даде неколку препораки. Меѓу другото, тие се фокусираа на појаснување на статусот, мандатот и барањата за квалификации на членовите на Судскиот совет, на зголемување на транспарентноста на Советот и на појаснување на одредбите во врска со назначувањето и дисциплинските постапки на судиите и членовите на Судскиот совет. Се преземаат првични чекори за спроведување на овие препораки. Работна група за спроведување на законските препораки во однос на Законот за Судскиот совет го објави својот предлог за измени на Законот за Судскиот совет во мај 2024 година</w:t>
      </w:r>
      <w:r w:rsidRPr="004F566A">
        <w:rPr>
          <w:vertAlign w:val="superscript"/>
          <w:lang w:val="en-GB"/>
        </w:rPr>
        <w:footnoteReference w:id="30"/>
      </w:r>
      <w:r>
        <w:t xml:space="preserve">. Судскиот совет донесе Акциски план за спроведување на препораките на оценската мисија, особено за зголемување на неговата транспарентност, и напредуваше во неговото спроведување, </w:t>
      </w:r>
      <w:r w:rsidR="00A3237E">
        <w:t>вклучително</w:t>
      </w:r>
      <w:r>
        <w:t xml:space="preserve"> и со измена на деловникот за работа</w:t>
      </w:r>
      <w:r w:rsidRPr="004F566A">
        <w:rPr>
          <w:vertAlign w:val="superscript"/>
          <w:lang w:val="en-GB"/>
        </w:rPr>
        <w:footnoteReference w:id="31"/>
      </w:r>
      <w:r>
        <w:t>. Во мај 2024 година, Судскиот совет брзо дејствуваше во предметот за наводен поткуп</w:t>
      </w:r>
      <w:r w:rsidRPr="004F566A">
        <w:rPr>
          <w:vertAlign w:val="superscript"/>
          <w:lang w:val="en-GB"/>
        </w:rPr>
        <w:footnoteReference w:id="32"/>
      </w:r>
      <w:r>
        <w:t>, а во јуни 2024 година, Судскиот совет повторно го постигна целосниот состав</w:t>
      </w:r>
      <w:r w:rsidRPr="004F566A">
        <w:rPr>
          <w:vertAlign w:val="superscript"/>
          <w:lang w:val="en-GB"/>
        </w:rPr>
        <w:footnoteReference w:id="33"/>
      </w:r>
      <w:r>
        <w:t>. Понатамошното спроведување на препораките на оценската мисија ќе го зајакне интегритетот на Советот и ќе го подобри неговото функционирање. Најави на идната влада за нејзината намера да ги „распушти“ Судскиот и Обвинителскиот совет</w:t>
      </w:r>
      <w:r w:rsidRPr="004F566A">
        <w:rPr>
          <w:vertAlign w:val="superscript"/>
          <w:lang w:val="en-GB"/>
        </w:rPr>
        <w:footnoteReference w:id="34"/>
      </w:r>
      <w:r>
        <w:t xml:space="preserve"> покренуваат сериозна загриженост, бидејќи </w:t>
      </w:r>
      <w:r w:rsidRPr="001D7110">
        <w:lastRenderedPageBreak/>
        <w:t>тоа би ја поткопало независноста на правосудството.</w:t>
      </w:r>
    </w:p>
    <w:p w14:paraId="16A738C8" w14:textId="31590BB0" w:rsidR="006B31F7" w:rsidRPr="004F566A" w:rsidRDefault="00EE613A" w:rsidP="00882F00">
      <w:pPr>
        <w:pStyle w:val="BodyText"/>
        <w:spacing w:before="120" w:after="120"/>
        <w:jc w:val="both"/>
      </w:pPr>
      <w:r w:rsidRPr="00243694">
        <w:rPr>
          <w:b/>
          <w:bCs/>
        </w:rPr>
        <w:t>Одлуките</w:t>
      </w:r>
      <w:r w:rsidRPr="00614DA1">
        <w:rPr>
          <w:b/>
          <w:bCs/>
        </w:rPr>
        <w:t xml:space="preserve"> за именување јавни обвинители од Советот на јавни обвинители и судии од Судскиот совет се</w:t>
      </w:r>
      <w:r w:rsidRPr="0057459F">
        <w:rPr>
          <w:b/>
          <w:bCs/>
        </w:rPr>
        <w:t xml:space="preserve"> критикувани од граѓанското општество дека не се сеопфатно мотивирани или засновани на објективни критериуми.</w:t>
      </w:r>
      <w:r w:rsidRPr="0057459F">
        <w:t xml:space="preserve"> Советот на јавни обвинител</w:t>
      </w:r>
      <w:r w:rsidRPr="00C11326">
        <w:t>и</w:t>
      </w:r>
      <w:r>
        <w:t xml:space="preserve"> избира јавни обвинители врз основа на ранг листи кои не се јавно достапни, а не се обезбедени образложени одлуки за конечниот избор на обвинителите</w:t>
      </w:r>
      <w:r w:rsidRPr="004F566A">
        <w:rPr>
          <w:vertAlign w:val="superscript"/>
          <w:lang w:val="en-GB"/>
        </w:rPr>
        <w:footnoteReference w:id="35"/>
      </w:r>
      <w:r>
        <w:t>. За именувања и унапредувања на судии, додека ранг листите на кандидатите и нивните критериуми се јавно достапни, засегнатите страни критикуваат дека Судскиот совет донел одлуки за избор на пониско рангирани кандидати наместо повисоко рангирани кандидати, без да обезбеди сеопфатно образложение</w:t>
      </w:r>
      <w:r w:rsidRPr="004F566A">
        <w:rPr>
          <w:vertAlign w:val="superscript"/>
          <w:lang w:val="en-GB"/>
        </w:rPr>
        <w:footnoteReference w:id="36"/>
      </w:r>
      <w:r>
        <w:t>, што предизвикува загриженост меѓу засегнатите страни дека овие назначувања и унапредувања не се засновани на заслуги</w:t>
      </w:r>
      <w:r w:rsidRPr="004F566A">
        <w:rPr>
          <w:vertAlign w:val="superscript"/>
          <w:lang w:val="en-GB"/>
        </w:rPr>
        <w:footnoteReference w:id="37"/>
      </w:r>
      <w:r>
        <w:t>. Судскиот совет вклучи мерки во својот</w:t>
      </w:r>
      <w:r w:rsidR="007A21FB">
        <w:t xml:space="preserve"> </w:t>
      </w:r>
      <w:r>
        <w:t>Акциски план за обезбедување сеопфатни образложени одлуки за состаноци</w:t>
      </w:r>
      <w:r w:rsidRPr="004F566A">
        <w:rPr>
          <w:vertAlign w:val="superscript"/>
          <w:lang w:val="en-GB"/>
        </w:rPr>
        <w:footnoteReference w:id="38"/>
      </w:r>
      <w:r>
        <w:t>. Во мај 2024 година, Судскиот совет го измени деловникот за работа и Правилникот за рангирање на кандидатите за унапредување во повисоките судови, спроведувајќи дел од препораката на оценската мисија од 2023 година.</w:t>
      </w:r>
    </w:p>
    <w:p w14:paraId="2839FCCA" w14:textId="4CBE277B" w:rsidR="006B31F7" w:rsidRPr="008261AB" w:rsidRDefault="00EE613A" w:rsidP="00882F00">
      <w:pPr>
        <w:pStyle w:val="BodyText"/>
        <w:spacing w:before="120" w:after="120"/>
        <w:jc w:val="both"/>
      </w:pPr>
      <w:r>
        <w:rPr>
          <w:b/>
        </w:rPr>
        <w:t xml:space="preserve">Преземени се мерки за подобрување на транспарентноста, особено под покровителство на претседателот на Врховниот суд и Судскиот совет. </w:t>
      </w:r>
      <w:r>
        <w:t>Советот за Отворено судство е формиран во март 2022 година и се собира под покровителство на претседателот на Врховниот суд</w:t>
      </w:r>
      <w:r w:rsidRPr="004F566A">
        <w:rPr>
          <w:vertAlign w:val="superscript"/>
          <w:lang w:val="en-GB"/>
        </w:rPr>
        <w:footnoteReference w:id="39"/>
      </w:r>
      <w:r>
        <w:t>. Во февруари 2024 година беше донесен Акциски план за Отворено судство (2024-2026 година)</w:t>
      </w:r>
      <w:r w:rsidRPr="004F566A">
        <w:rPr>
          <w:vertAlign w:val="superscript"/>
          <w:lang w:val="en-GB"/>
        </w:rPr>
        <w:footnoteReference w:id="40"/>
      </w:r>
      <w:r>
        <w:t xml:space="preserve">. Акцискиот план предвидува подобрување на односите со јавноста меѓу судовите и јавноста, </w:t>
      </w:r>
      <w:r w:rsidRPr="00622162">
        <w:t>унифицирање</w:t>
      </w:r>
      <w:r>
        <w:t xml:space="preserve"> на структурата на судските </w:t>
      </w:r>
      <w:r>
        <w:lastRenderedPageBreak/>
        <w:t>извештаи, зголемување на квалитетот и достапноста на податоците и информациите и зајакнување на надзорната функција на Судскиот совет за транспарентноста на судовите. Повеќето судови ги следат упатствата на Врховниот суд за објавување на нивните пресуди, без разлика дали се конечни или не, на нивните соодветни веб-страници</w:t>
      </w:r>
      <w:r w:rsidRPr="004F566A">
        <w:rPr>
          <w:vertAlign w:val="superscript"/>
          <w:lang w:val="en-GB"/>
        </w:rPr>
        <w:footnoteReference w:id="41"/>
      </w:r>
      <w:r>
        <w:t xml:space="preserve">. Во согласност со својот Акциски план за спроведување на препораките од оценската мисија од 2023 година, Судскиот совет презеде дополнителни мерки за подобрување на неговата транспарентност, </w:t>
      </w:r>
      <w:r w:rsidR="00A3237E">
        <w:t>вклучително</w:t>
      </w:r>
      <w:r>
        <w:t xml:space="preserve"> и со одржување јавни седници и објавување на евиденцијата и донесените одлуки</w:t>
      </w:r>
      <w:r w:rsidRPr="004F566A">
        <w:rPr>
          <w:vertAlign w:val="superscript"/>
          <w:lang w:val="en-GB"/>
        </w:rPr>
        <w:footnoteReference w:id="42"/>
      </w:r>
      <w:r>
        <w:t>. Имено, во јуни 2024 година, Судскиот совет ја донесе својата Комуникациска стратегија (2024-2028)</w:t>
      </w:r>
      <w:r w:rsidRPr="004F566A">
        <w:rPr>
          <w:vertAlign w:val="superscript"/>
          <w:lang w:val="en-GB"/>
        </w:rPr>
        <w:footnoteReference w:id="43"/>
      </w:r>
      <w:r>
        <w:t xml:space="preserve">. Советот на јавни обвинители, исто така, ја подобри својата транспарентност со посистематски медиумски ангажман, редовни изјави за медиумите и достапност на седниците на </w:t>
      </w:r>
      <w:r w:rsidRPr="00BF7595">
        <w:t>платформите на социјалните медиуми, но сепак треба да даде образложение за своите одлуки</w:t>
      </w:r>
      <w:r w:rsidRPr="00BF7595">
        <w:rPr>
          <w:vertAlign w:val="superscript"/>
          <w:lang w:val="en-GB"/>
        </w:rPr>
        <w:footnoteReference w:id="44"/>
      </w:r>
      <w:r w:rsidRPr="00BF7595">
        <w:t>.</w:t>
      </w:r>
    </w:p>
    <w:p w14:paraId="53A3AAB2" w14:textId="35FD7759" w:rsidR="006B31F7" w:rsidRPr="004F566A" w:rsidRDefault="00EE613A">
      <w:pPr>
        <w:pStyle w:val="BodyText"/>
        <w:jc w:val="both"/>
      </w:pPr>
      <w:r w:rsidRPr="00614DA1">
        <w:rPr>
          <w:b/>
        </w:rPr>
        <w:t xml:space="preserve">Воспоставени се етички кодекси и за обвинителите, и за судиите. </w:t>
      </w:r>
      <w:r w:rsidRPr="0057459F">
        <w:t>Беше воведен ревидиран Етички кодекс на јавните обвинители. Во ноември 2023 година Здружението на јавни обвинители го измени Етичкиот кодекс на јавните обвинители, осврнувајќи</w:t>
      </w:r>
      <w:r>
        <w:t xml:space="preserve"> се на препораките на ГРЕКО</w:t>
      </w:r>
      <w:r w:rsidRPr="004F566A">
        <w:rPr>
          <w:vertAlign w:val="superscript"/>
          <w:lang w:val="en-GB"/>
        </w:rPr>
        <w:footnoteReference w:id="45"/>
      </w:r>
      <w:r>
        <w:t>. Судскиот совет има воспоставено Етички кодекс за своите членови од 2022 година и Советодавното тело за судска етика</w:t>
      </w:r>
      <w:r w:rsidRPr="004F566A">
        <w:rPr>
          <w:vertAlign w:val="superscript"/>
          <w:lang w:val="en-GB"/>
        </w:rPr>
        <w:footnoteReference w:id="46"/>
      </w:r>
      <w:r>
        <w:t xml:space="preserve"> при Здружението на судии дава советодавно мислење за прашања од етиката при вршењето на судиската должност или за избегнување судир на интереси. Досега има дадено четири мислења, последен пат издадени во 2022 година.</w:t>
      </w:r>
    </w:p>
    <w:p w14:paraId="48D85C49" w14:textId="77777777" w:rsidR="006B31F7" w:rsidRPr="004F566A" w:rsidRDefault="00EE613A">
      <w:pPr>
        <w:pStyle w:val="Heading21"/>
        <w:keepNext/>
        <w:keepLines/>
        <w:jc w:val="both"/>
      </w:pPr>
      <w:bookmarkStart w:id="6" w:name="bookmark11"/>
      <w:r>
        <w:t>Квалитет</w:t>
      </w:r>
      <w:bookmarkEnd w:id="6"/>
    </w:p>
    <w:p w14:paraId="2F592C65" w14:textId="57D85DC2" w:rsidR="006B31F7" w:rsidRPr="004F566A" w:rsidRDefault="00EE613A">
      <w:pPr>
        <w:pStyle w:val="BodyText"/>
        <w:jc w:val="both"/>
      </w:pPr>
      <w:r>
        <w:rPr>
          <w:b/>
          <w:bCs/>
        </w:rPr>
        <w:t>Ограничените финансиски средства доделени на правосудството може да влијаат на неговата финансиска автономија.</w:t>
      </w:r>
      <w:r>
        <w:t xml:space="preserve"> Државниот буџет за 2024 година, донесен од Собранието, доделува средства во висина од 0,29 % од БДП за правосудниот систем</w:t>
      </w:r>
      <w:r w:rsidRPr="004F566A">
        <w:rPr>
          <w:vertAlign w:val="superscript"/>
          <w:lang w:val="en-GB"/>
        </w:rPr>
        <w:footnoteReference w:id="47"/>
      </w:r>
      <w:r>
        <w:t>. Ова и понатаму е значително помалку од законски пропишаните 0,8 % од БДП</w:t>
      </w:r>
      <w:r w:rsidRPr="004F566A">
        <w:rPr>
          <w:vertAlign w:val="superscript"/>
          <w:lang w:val="en-GB"/>
        </w:rPr>
        <w:footnoteReference w:id="48"/>
      </w:r>
      <w:r>
        <w:t xml:space="preserve">. Понатаму, обврската да се бара формално одобрение од Министерството за финансии за внатрешна распределба на буџетот од страна на судовите, </w:t>
      </w:r>
      <w:r w:rsidR="00A3237E">
        <w:t>вклучително</w:t>
      </w:r>
      <w:r>
        <w:t xml:space="preserve"> и за одлуките за ресурси и персонал, беше критикувана од судските засегнати страни како неефикасна и беше во спротивност со потребата за одлуките за распределба на ресурсите во судскиот систем да се автономни</w:t>
      </w:r>
      <w:r w:rsidRPr="004F566A">
        <w:rPr>
          <w:vertAlign w:val="superscript"/>
          <w:lang w:val="en-GB"/>
        </w:rPr>
        <w:footnoteReference w:id="49"/>
      </w:r>
      <w:r>
        <w:t xml:space="preserve">. </w:t>
      </w:r>
      <w:r>
        <w:lastRenderedPageBreak/>
        <w:t>Дополнително, предизвик остануваат соодветните плати во судството</w:t>
      </w:r>
      <w:r w:rsidRPr="004F566A">
        <w:rPr>
          <w:vertAlign w:val="superscript"/>
          <w:lang w:val="en-GB"/>
        </w:rPr>
        <w:footnoteReference w:id="50"/>
      </w:r>
      <w:r>
        <w:t xml:space="preserve"> особено по измените од февруари 2024 година на законите за плати на судиите и обвинителите со кои се намали претходното зголемување на нивните надоместоци</w:t>
      </w:r>
      <w:r w:rsidRPr="004F566A">
        <w:rPr>
          <w:vertAlign w:val="superscript"/>
          <w:lang w:val="en-GB"/>
        </w:rPr>
        <w:footnoteReference w:id="51"/>
      </w:r>
      <w:r>
        <w:t>. Врховниот суд, Судскиот совет, Здружението на судии и Советот на јавни обвинители дадоа јавни изјави во кои ги критикуваа измените и го оспорија законот пред Уставниот суд</w:t>
      </w:r>
      <w:r w:rsidRPr="004F566A">
        <w:rPr>
          <w:vertAlign w:val="superscript"/>
          <w:lang w:val="en-GB"/>
        </w:rPr>
        <w:footnoteReference w:id="52"/>
      </w:r>
      <w:r>
        <w:t>, кој го отфрли дејството во мај 2024 година.</w:t>
      </w:r>
    </w:p>
    <w:p w14:paraId="0B08EA4C" w14:textId="773D31C3" w:rsidR="006B31F7" w:rsidRPr="00D234A9" w:rsidRDefault="00EE613A">
      <w:pPr>
        <w:pStyle w:val="BodyText"/>
        <w:spacing w:after="240"/>
        <w:jc w:val="both"/>
        <w:rPr>
          <w:lang w:val="en-GB"/>
        </w:rPr>
      </w:pPr>
      <w:r w:rsidRPr="000E495D">
        <w:rPr>
          <w:b/>
        </w:rPr>
        <w:t>Дефицитот во човечки ресурси може да влијае на квалитетот и ефикасноста на правдата</w:t>
      </w:r>
      <w:r>
        <w:t>. Според европските стандарди, на судовите треба да им биде распределен доволен број судии и соодветно квалификуван помошен персонал</w:t>
      </w:r>
      <w:r w:rsidRPr="004F566A">
        <w:rPr>
          <w:vertAlign w:val="superscript"/>
          <w:lang w:val="en-GB"/>
        </w:rPr>
        <w:footnoteReference w:id="53"/>
      </w:r>
      <w:r>
        <w:t>. Сепак, сегашната стапка на именувања нови судии и обвинители е недоволна за да ги покрие тековните потреби и да ги пополни испразнетите места создадени од судии кои се пензионирале, поднеле оставка или биле разрешени</w:t>
      </w:r>
      <w:r w:rsidRPr="004F566A">
        <w:rPr>
          <w:vertAlign w:val="superscript"/>
          <w:lang w:val="en-GB"/>
        </w:rPr>
        <w:footnoteReference w:id="54"/>
      </w:r>
      <w:r>
        <w:t>. Стратегиите за човечки ресурси во судовите и во Јавното обвинителство беа донесени во 2020 година</w:t>
      </w:r>
      <w:r w:rsidRPr="004F566A">
        <w:rPr>
          <w:vertAlign w:val="superscript"/>
          <w:lang w:val="en-GB"/>
        </w:rPr>
        <w:footnoteReference w:id="55"/>
      </w:r>
      <w:r>
        <w:t>, но нивното спроведување останува одложено, а наведената цел и временски рокови во акциските планови не се исполнети</w:t>
      </w:r>
      <w:r w:rsidRPr="004F566A">
        <w:rPr>
          <w:vertAlign w:val="superscript"/>
          <w:lang w:val="en-GB"/>
        </w:rPr>
        <w:footnoteReference w:id="56"/>
      </w:r>
      <w:r>
        <w:t>. Судската администрација работи со само 40 % од оценетите потребни човечки ресурси</w:t>
      </w:r>
      <w:r w:rsidRPr="004F566A">
        <w:rPr>
          <w:vertAlign w:val="superscript"/>
          <w:lang w:val="en-GB"/>
        </w:rPr>
        <w:footnoteReference w:id="57"/>
      </w:r>
      <w:r>
        <w:t>. Две третини од сите судови во земјата беа оценети како „неефикасни“ од Судскиот совет во 2023 година</w:t>
      </w:r>
      <w:r w:rsidRPr="004F566A">
        <w:rPr>
          <w:vertAlign w:val="superscript"/>
          <w:lang w:val="en-GB"/>
        </w:rPr>
        <w:footnoteReference w:id="58"/>
      </w:r>
      <w:r>
        <w:t>. Во декември 2023 година, Советот на јавни обвинители процени дека со сегашните 179 јавни обвинители, се проценува дека има недостиг од 82 јавни обвинители во земјата</w:t>
      </w:r>
      <w:r w:rsidRPr="004F566A">
        <w:rPr>
          <w:vertAlign w:val="superscript"/>
          <w:lang w:val="en-GB"/>
        </w:rPr>
        <w:footnoteReference w:id="59"/>
      </w:r>
      <w:r>
        <w:t>. За да се реши недостигот од судии и обвинители, Академијата за судии и јавни обвинители започна постапка за најголемиот прием досега од 130 студенти за 2024 година</w:t>
      </w:r>
      <w:r w:rsidRPr="004F566A">
        <w:rPr>
          <w:vertAlign w:val="superscript"/>
          <w:lang w:val="en-GB"/>
        </w:rPr>
        <w:footnoteReference w:id="60"/>
      </w:r>
      <w:r w:rsidR="003961CA">
        <w:rPr>
          <w:lang w:val="en-GB"/>
        </w:rPr>
        <w:t>.</w:t>
      </w:r>
    </w:p>
    <w:p w14:paraId="701123A6" w14:textId="77777777" w:rsidR="006B31F7" w:rsidRPr="004F566A" w:rsidRDefault="00EE613A">
      <w:pPr>
        <w:pStyle w:val="BodyText"/>
        <w:jc w:val="both"/>
      </w:pPr>
      <w:r>
        <w:rPr>
          <w:b/>
        </w:rPr>
        <w:t xml:space="preserve">Новиот закон за Академијата за судии и јавни обвинители е во сила од јуни 2023 година. </w:t>
      </w:r>
      <w:r>
        <w:t>Ревидираниот закон ја потврдува Академијата како единствена влезна точка за вработување во судството и обвинителството и ја следеше препораката на Европската комисија да не се скратува почетната обука</w:t>
      </w:r>
      <w:r w:rsidRPr="004F566A">
        <w:rPr>
          <w:vertAlign w:val="superscript"/>
          <w:lang w:val="en-GB"/>
        </w:rPr>
        <w:footnoteReference w:id="61"/>
      </w:r>
      <w:r>
        <w:t xml:space="preserve">. </w:t>
      </w:r>
      <w:r>
        <w:lastRenderedPageBreak/>
        <w:t>Поради проблеми со обезбедување на софтверот за тестирање, процесот на приемен испит за прием на нова група во 2024 година наиде на одложувања</w:t>
      </w:r>
      <w:r w:rsidRPr="004F566A">
        <w:rPr>
          <w:vertAlign w:val="superscript"/>
          <w:lang w:val="en-GB"/>
        </w:rPr>
        <w:footnoteReference w:id="62"/>
      </w:r>
      <w:r>
        <w:t>. За да се надмине овој проблем, законот беше повторно изменет во февруари 2024 година, дозволувајќи квалификациски тестови во хартиена форма и менување на системот на бодување</w:t>
      </w:r>
      <w:r w:rsidRPr="004F566A">
        <w:rPr>
          <w:vertAlign w:val="superscript"/>
          <w:lang w:val="en-GB"/>
        </w:rPr>
        <w:footnoteReference w:id="63"/>
      </w:r>
      <w:r>
        <w:t>. Одложувањата и измените беа критикувани од засегнатите страни, а ревидираниот систем на бодување беше оспорен пред Уставниот суд, меѓу другото, и од самата Академија. Уставниот суд ја отфрли тужбата. Покрај тоа, Академијата продолжи да се соочува со предизвици во однос на недоволно кадар, техничка опрема и несоодветни простории</w:t>
      </w:r>
      <w:r w:rsidRPr="004F566A">
        <w:rPr>
          <w:vertAlign w:val="superscript"/>
          <w:lang w:val="en-GB"/>
        </w:rPr>
        <w:footnoteReference w:id="64"/>
      </w:r>
      <w:r>
        <w:t>.</w:t>
      </w:r>
    </w:p>
    <w:p w14:paraId="5C91806D" w14:textId="09C16E2B" w:rsidR="006B31F7" w:rsidRPr="004F566A" w:rsidRDefault="00EE613A">
      <w:pPr>
        <w:pStyle w:val="BodyText"/>
        <w:jc w:val="both"/>
      </w:pPr>
      <w:r w:rsidRPr="006664FE">
        <w:rPr>
          <w:b/>
        </w:rPr>
        <w:t>Се развиваат дигитални алатки за управување со предмети, судск</w:t>
      </w:r>
      <w:r w:rsidRPr="004E07F2">
        <w:rPr>
          <w:b/>
        </w:rPr>
        <w:t xml:space="preserve">а статистика и онлајн пристапност до судски одлуки, но недостатоците остануваат. </w:t>
      </w:r>
      <w:r w:rsidRPr="0057459F">
        <w:t xml:space="preserve">Процесот на дигитализација на судството се спроведува преку </w:t>
      </w:r>
      <w:r w:rsidRPr="00CF6CC4">
        <w:t xml:space="preserve">Советот за ИКТ </w:t>
      </w:r>
      <w:r w:rsidRPr="004E07F2">
        <w:t>во правосудните</w:t>
      </w:r>
      <w:r>
        <w:t xml:space="preserve"> органи, формиран од Министерството за правда</w:t>
      </w:r>
      <w:r w:rsidRPr="004F566A">
        <w:rPr>
          <w:vertAlign w:val="superscript"/>
          <w:lang w:val="en-GB"/>
        </w:rPr>
        <w:footnoteReference w:id="65"/>
      </w:r>
      <w:r>
        <w:t>. Функционален информациски систем за автоматско управување со судски предмети (АКМИС) обезбедува случајна распределба на случаите до судовите</w:t>
      </w:r>
      <w:r w:rsidRPr="004F566A">
        <w:rPr>
          <w:vertAlign w:val="superscript"/>
          <w:lang w:val="en-GB"/>
        </w:rPr>
        <w:footnoteReference w:id="66"/>
      </w:r>
      <w:r>
        <w:t>. Сепак, на АКМИС му треба подобрување за да се земе предвид степенот на сложеност на судските предмети и методот за оценување судии и претседатели на судови</w:t>
      </w:r>
      <w:r w:rsidRPr="004F566A">
        <w:rPr>
          <w:vertAlign w:val="superscript"/>
          <w:lang w:val="en-GB"/>
        </w:rPr>
        <w:footnoteReference w:id="67"/>
      </w:r>
      <w:r>
        <w:t>. Системот за управување со предмети за обвинителството во моментов се ревидира</w:t>
      </w:r>
      <w:r w:rsidRPr="004F566A">
        <w:rPr>
          <w:vertAlign w:val="superscript"/>
          <w:lang w:val="en-GB"/>
        </w:rPr>
        <w:footnoteReference w:id="68"/>
      </w:r>
      <w:r>
        <w:t xml:space="preserve">. И покрај </w:t>
      </w:r>
      <w:r w:rsidR="00A3237E">
        <w:t xml:space="preserve">постојниот </w:t>
      </w:r>
      <w:r>
        <w:t xml:space="preserve">механизам за случајна распределба на предметите, постои простор за </w:t>
      </w:r>
      <w:r w:rsidR="00996B85">
        <w:t>дискреционо</w:t>
      </w:r>
      <w:r w:rsidR="00595C03">
        <w:t xml:space="preserve"> право </w:t>
      </w:r>
      <w:r>
        <w:t>од страна на раководителите на јавните обвинителства за рачно распределување на предметите</w:t>
      </w:r>
      <w:r w:rsidRPr="004F566A">
        <w:rPr>
          <w:vertAlign w:val="superscript"/>
          <w:lang w:val="en-GB"/>
        </w:rPr>
        <w:footnoteReference w:id="69"/>
      </w:r>
      <w:r>
        <w:t>. Понатаму, постои значителен и постојан недостиг на квалификуван персонал за ИТ, а вработувањето е предизвик бидејќи работните услови не се сметаат за задоволителни</w:t>
      </w:r>
      <w:r w:rsidRPr="004F566A">
        <w:rPr>
          <w:vertAlign w:val="superscript"/>
          <w:lang w:val="en-GB"/>
        </w:rPr>
        <w:footnoteReference w:id="70"/>
      </w:r>
      <w:r>
        <w:t>.</w:t>
      </w:r>
    </w:p>
    <w:p w14:paraId="54F8CFCE" w14:textId="77777777" w:rsidR="006B31F7" w:rsidRPr="00D37CB6" w:rsidRDefault="00EE613A">
      <w:pPr>
        <w:pStyle w:val="Heading21"/>
        <w:keepNext/>
        <w:keepLines/>
        <w:jc w:val="both"/>
      </w:pPr>
      <w:bookmarkStart w:id="7" w:name="bookmark13"/>
      <w:r w:rsidRPr="00D37CB6">
        <w:t>Ефикасност</w:t>
      </w:r>
      <w:bookmarkEnd w:id="7"/>
    </w:p>
    <w:p w14:paraId="6848F57D" w14:textId="4518710D" w:rsidR="006B31F7" w:rsidRPr="004F566A" w:rsidRDefault="00EE613A">
      <w:pPr>
        <w:pStyle w:val="BodyText"/>
        <w:jc w:val="both"/>
      </w:pPr>
      <w:r w:rsidRPr="00D37CB6">
        <w:rPr>
          <w:b/>
        </w:rPr>
        <w:t>Ефикасноста на правосудството е намалена за првостепените граѓански, трговски и кривични предмети, додека</w:t>
      </w:r>
      <w:r>
        <w:rPr>
          <w:b/>
        </w:rPr>
        <w:t xml:space="preserve"> во целина е стабилна за второстепените предмети. </w:t>
      </w:r>
      <w:r>
        <w:t>Во 2022 година, стапката на решавање предмети беше под 100 % за сите категории во првостепени и второстепени предмети, освен за административни предмети. Во споредба со 2021 година, стапката на царинење за првостепените граѓански и трговски судски спорови се намали од 99 % на 85 % во 2022 година, а бројот на заостанатите се зголеми за 24,8 %</w:t>
      </w:r>
      <w:r w:rsidRPr="004F566A">
        <w:rPr>
          <w:vertAlign w:val="superscript"/>
          <w:lang w:val="en-GB"/>
        </w:rPr>
        <w:footnoteReference w:id="71"/>
      </w:r>
      <w:r>
        <w:t xml:space="preserve">. Спротивно на тоа, времето на диспозиција се зголеми за 23,1 % од 253 дена во 2021 година, 312 </w:t>
      </w:r>
      <w:r>
        <w:lastRenderedPageBreak/>
        <w:t>дена во 2022 година. За второстепените граѓански и трговски предмети, стапката на решавање се зголеми од 89 % на 97 %, додека времето на диспозиција, сепак, се зголеми за 16,7 % од 142 дена во 2021 година на 166 дена во 2022 година. Кај првостепените кривични предмети трендот е негативен, при што времето на диспозиција се зголеми за 20,5 % од 132 дена во 2021 година на 159 дена во 2022 година, а бројот на нерешени предмети се зголеми за 17,5 %. Стапката на решавање предмети се намали од 103 % во 2021 година на 94 % во 2022 година. Во второстепените кривични предмети, показателите за ефикасност останаа стабилни во однос на 2021 година</w:t>
      </w:r>
      <w:r w:rsidRPr="004F566A">
        <w:rPr>
          <w:vertAlign w:val="superscript"/>
          <w:lang w:val="en-GB"/>
        </w:rPr>
        <w:footnoteReference w:id="72"/>
      </w:r>
      <w:r>
        <w:t>. Исто така, се забележува дека не е развиена стандардизирана методологија за собирање точни и веродостојни статистички податоци во согласност со Европската комисија за ефикасност на правдата (CEPEJ) на Советот на Европа.</w:t>
      </w:r>
    </w:p>
    <w:p w14:paraId="51FEAC94" w14:textId="0986D23E" w:rsidR="006B31F7" w:rsidRPr="004F566A" w:rsidRDefault="00EE613A">
      <w:pPr>
        <w:pStyle w:val="BodyText"/>
        <w:numPr>
          <w:ilvl w:val="0"/>
          <w:numId w:val="1"/>
        </w:numPr>
        <w:tabs>
          <w:tab w:val="left" w:pos="703"/>
          <w:tab w:val="left" w:pos="715"/>
        </w:tabs>
        <w:jc w:val="both"/>
        <w:rPr>
          <w:sz w:val="22"/>
          <w:szCs w:val="22"/>
        </w:rPr>
      </w:pPr>
      <w:r>
        <w:rPr>
          <w:b/>
          <w:smallCaps/>
          <w:u w:val="single"/>
        </w:rPr>
        <w:t>Антикорупциска рамка</w:t>
      </w:r>
    </w:p>
    <w:p w14:paraId="322F8062" w14:textId="77777777" w:rsidR="006B31F7" w:rsidRPr="004F566A" w:rsidRDefault="00EE613A">
      <w:pPr>
        <w:pStyle w:val="BodyText"/>
        <w:jc w:val="both"/>
      </w:pPr>
      <w:r>
        <w:t>Државната комисија за спречување корупција (ДКСК) е координативно тело за следење на спроведувањето на мерките од Националната стратегија за спречување на корупцијата, проверката на имотот, судирот на интереси и некомпатибилност. ДКСК подготвува годишни извештаи и ги доставува до Собранието. Клучни институции вклучени во репресијата на корупцијата се Специјализираното одделение за организиран криминал и корупција при Кривичниот суд Скопје, Основното јавно обвинителство за гонење организиран криминал и корупција (ОЈОГОКК), Специјализираната полициска единица при Министерството за внатрешни работи, Управата за финансиска полиција, Царинската управа и Управата за финансиско разузнавање. ОЈОГОКК е главен орган за спроведување на законот за спроведување истраги, додека Специјализираното одделение за организиран криминал и корупција при Кривичниот суд Скопје има надлежност за судење случаи на корупција. Има седум општи јавни обвинителства кои постапуваат за дела за кои е предвидена казна затвор до пет години и 15 со проширени овластувања постапуваат за дела за кои е предвидена казна затвор над пет години. Едно специјализирано основно јавно обвинителство ги гони организираниот криминал и корупцијата</w:t>
      </w:r>
      <w:r w:rsidRPr="004F566A">
        <w:rPr>
          <w:vertAlign w:val="superscript"/>
          <w:lang w:val="en-GB"/>
        </w:rPr>
        <w:footnoteReference w:id="73"/>
      </w:r>
      <w:r>
        <w:t>.</w:t>
      </w:r>
    </w:p>
    <w:p w14:paraId="635D088A" w14:textId="44646BEC" w:rsidR="006B31F7" w:rsidRPr="004F566A" w:rsidRDefault="00EE613A">
      <w:pPr>
        <w:pStyle w:val="BodyText"/>
        <w:jc w:val="both"/>
      </w:pPr>
      <w:r>
        <w:rPr>
          <w:b/>
        </w:rPr>
        <w:t xml:space="preserve">Перцепцијата меѓу </w:t>
      </w:r>
      <w:r w:rsidR="0057459F">
        <w:rPr>
          <w:b/>
        </w:rPr>
        <w:t>стручните лица</w:t>
      </w:r>
      <w:r>
        <w:rPr>
          <w:b/>
        </w:rPr>
        <w:t xml:space="preserve"> и </w:t>
      </w:r>
      <w:r w:rsidRPr="000E495D">
        <w:rPr>
          <w:b/>
        </w:rPr>
        <w:t>бизнисите</w:t>
      </w:r>
      <w:r>
        <w:rPr>
          <w:b/>
        </w:rPr>
        <w:t xml:space="preserve"> е дека нивото на корупција во јавниот сектор е високо. </w:t>
      </w:r>
      <w:r>
        <w:t xml:space="preserve">Во Индексот на перцепција на корупцијата за 2023 година на Транспаренси </w:t>
      </w:r>
      <w:r w:rsidR="00F23A1D">
        <w:t>и</w:t>
      </w:r>
      <w:r>
        <w:t>нтернешнл, Северна Македонија, со 42 поени од 100, се рангира на 76-то место на глобално ниво</w:t>
      </w:r>
      <w:r w:rsidRPr="004F566A">
        <w:rPr>
          <w:vertAlign w:val="superscript"/>
          <w:lang w:val="en-GB"/>
        </w:rPr>
        <w:footnoteReference w:id="74"/>
      </w:r>
      <w:r>
        <w:t>. Оваа перцепција е подобрена во текот на изминатите пет години</w:t>
      </w:r>
      <w:r w:rsidRPr="004F566A">
        <w:rPr>
          <w:vertAlign w:val="superscript"/>
          <w:lang w:val="en-GB"/>
        </w:rPr>
        <w:footnoteReference w:id="75"/>
      </w:r>
      <w:r>
        <w:t>.</w:t>
      </w:r>
    </w:p>
    <w:p w14:paraId="031D8747" w14:textId="4562E3E5" w:rsidR="006B31F7" w:rsidRPr="004F566A" w:rsidRDefault="00EE613A">
      <w:pPr>
        <w:pStyle w:val="BodyText"/>
        <w:jc w:val="both"/>
      </w:pPr>
      <w:r>
        <w:rPr>
          <w:b/>
        </w:rPr>
        <w:t xml:space="preserve">Воспоставена е сеопфатна национална антикорупциска стратегија, но нејзиното спроведување заостанува. </w:t>
      </w:r>
      <w:r>
        <w:t>Националната стратегија за спречување на корупцијата за периодот 2021-2025 година</w:t>
      </w:r>
      <w:r w:rsidRPr="004F566A">
        <w:rPr>
          <w:vertAlign w:val="superscript"/>
          <w:lang w:val="en-GB"/>
        </w:rPr>
        <w:footnoteReference w:id="76"/>
      </w:r>
      <w:r>
        <w:t xml:space="preserve"> се заснова на анализа на ризиците од корупција и процес на консултации со претставници на јавниот и приватниот сектор, медиумите, здруженијата и фондациите на граѓанското општество, </w:t>
      </w:r>
      <w:r w:rsidR="0057459F">
        <w:t>стручните лица</w:t>
      </w:r>
      <w:r>
        <w:t xml:space="preserve"> и претставниците на релевантните меѓународни организации. Стратегијата беше донесена од Собранието во </w:t>
      </w:r>
      <w:r>
        <w:lastRenderedPageBreak/>
        <w:t>април 2021 година. ДКСК извести во својот годишен извештај за 2024 година</w:t>
      </w:r>
      <w:r w:rsidRPr="004F566A">
        <w:rPr>
          <w:vertAlign w:val="superscript"/>
          <w:lang w:val="en-GB"/>
        </w:rPr>
        <w:footnoteReference w:id="77"/>
      </w:r>
      <w:r>
        <w:t xml:space="preserve"> дека од 166 активности планирани за 2023 година, само 22 активности (13 %) се целосно спроведени, 55 активности (33 %) се во процес на спроведување, додека 89 (54 %) од активностите сѐ уште не се спроведени. Ова претставува многу ограничен пораст во споредба со претходната година кога 10 % од активностите планирани за 2022 година беа спроведени во целост, 35 % беа во тек и 55 % не беа спроведени. Бавната стапка на спроведување на Стратегијата укажува на севкупен недостаток на политичка посветеност и сопственост на засегнатите државни институции</w:t>
      </w:r>
      <w:r w:rsidRPr="004F566A">
        <w:rPr>
          <w:vertAlign w:val="superscript"/>
          <w:lang w:val="en-GB"/>
        </w:rPr>
        <w:footnoteReference w:id="78"/>
      </w:r>
      <w:r>
        <w:t>. Извештајот за спроведување на стратегијата во 2023 година е доставен до Собранието</w:t>
      </w:r>
      <w:r w:rsidRPr="004F566A">
        <w:rPr>
          <w:vertAlign w:val="superscript"/>
          <w:lang w:val="en-GB"/>
        </w:rPr>
        <w:footnoteReference w:id="79"/>
      </w:r>
      <w:r>
        <w:t>.</w:t>
      </w:r>
    </w:p>
    <w:p w14:paraId="1EDB6CE9" w14:textId="47A0D010" w:rsidR="006B31F7" w:rsidRPr="004F566A" w:rsidRDefault="00EE613A">
      <w:pPr>
        <w:pStyle w:val="BodyText"/>
        <w:spacing w:after="240"/>
        <w:jc w:val="both"/>
      </w:pPr>
      <w:r>
        <w:rPr>
          <w:b/>
        </w:rPr>
        <w:t xml:space="preserve">Неодамнешните измени на Кривичниот законик ја ослабеа правната рамка, негативно влијаејќи на гонењето на корупцијата, особено во случаите на корупција на високо ниво. </w:t>
      </w:r>
      <w:r>
        <w:t>Северна Македонија ја ратификуваше Конвенцијата на Обединетите нации против корупција (УНКАК)</w:t>
      </w:r>
      <w:r w:rsidRPr="004F566A">
        <w:rPr>
          <w:vertAlign w:val="superscript"/>
          <w:lang w:val="en-GB"/>
        </w:rPr>
        <w:footnoteReference w:id="80"/>
      </w:r>
      <w:r>
        <w:t>, но не е потписничка на Конвенцијата на ОЕЦД за борба против поткуп. Кривичниот законик често се менува, со ризик од намалување на правната сигурност</w:t>
      </w:r>
      <w:r w:rsidRPr="004F566A">
        <w:rPr>
          <w:vertAlign w:val="superscript"/>
          <w:lang w:val="en-GB"/>
        </w:rPr>
        <w:footnoteReference w:id="81"/>
      </w:r>
      <w:r>
        <w:t xml:space="preserve">. Работна група под покровителство на Министерството за правда работи на нов Кривичен законик од декември 2020 година, преку инклузивен процес со релевантни засегнати страни, </w:t>
      </w:r>
      <w:r w:rsidR="00A3237E">
        <w:t>вклучително</w:t>
      </w:r>
      <w:r>
        <w:t xml:space="preserve"> и граѓански организации</w:t>
      </w:r>
      <w:r w:rsidRPr="004F566A">
        <w:rPr>
          <w:vertAlign w:val="superscript"/>
          <w:lang w:val="en-GB"/>
        </w:rPr>
        <w:footnoteReference w:id="82"/>
      </w:r>
      <w:r>
        <w:t>. Но, беше подготвен нов пакет измени надвор од Работната група и беа донесени од Собранието</w:t>
      </w:r>
      <w:r w:rsidRPr="004F566A">
        <w:rPr>
          <w:vertAlign w:val="superscript"/>
          <w:lang w:val="en-GB"/>
        </w:rPr>
        <w:footnoteReference w:id="83"/>
      </w:r>
      <w:r>
        <w:t xml:space="preserve"> во септември 2023 година преку забрзана постапка и без претходни консултации со релевантните засегнати страни. Некои од овие измени, кои се за кривични дела поврзани со корупција, предизвикуваат загриженост бидејќи ги намалуваат максималните казни за конкретни кривични дела поврзани со корупција како што се злосторничко здружување и злоупотреба на службената положба, имаат импликации врз застареноста и применливите кривични постапки, и отстрануваат од Кривичниот законик одредена категорија дела, особено злоупотреба на службената положба при јавните набавки</w:t>
      </w:r>
      <w:r w:rsidRPr="004F566A">
        <w:rPr>
          <w:vertAlign w:val="superscript"/>
          <w:lang w:val="en-GB"/>
        </w:rPr>
        <w:footnoteReference w:id="84"/>
      </w:r>
      <w:r>
        <w:t>. Прикривањето на делото „злоупотреба на службена должност при јавни набавки“</w:t>
      </w:r>
      <w:r w:rsidRPr="004F566A">
        <w:rPr>
          <w:vertAlign w:val="superscript"/>
          <w:lang w:val="en-GB"/>
        </w:rPr>
        <w:footnoteReference w:id="85"/>
      </w:r>
      <w:r>
        <w:t xml:space="preserve"> се смета за особено проблематично и создава ризици на неказнивост. Јавните обвинители истакнаа дека овие измени негативно влијаат на задачата на обвинителството, особено во сложените случаи на корупција на високо ниво</w:t>
      </w:r>
      <w:r w:rsidRPr="004F566A">
        <w:rPr>
          <w:vertAlign w:val="superscript"/>
          <w:lang w:val="en-GB"/>
        </w:rPr>
        <w:footnoteReference w:id="86"/>
      </w:r>
      <w:r>
        <w:t xml:space="preserve">, бидејќи влијаат на важечките кривични постапки. Поради структурата на Законот за кривична постапка, намалените максимални санкции резултираат со скратени кривични постапки кои ги ограничуваат алатките и опсегот на истрагите, со што ја попречуваат способноста на </w:t>
      </w:r>
      <w:r>
        <w:lastRenderedPageBreak/>
        <w:t>властите ефективно да ги гонат случаите на корупција на високо ниво</w:t>
      </w:r>
      <w:r w:rsidRPr="004F566A">
        <w:rPr>
          <w:vertAlign w:val="superscript"/>
          <w:lang w:val="en-GB"/>
        </w:rPr>
        <w:footnoteReference w:id="87"/>
      </w:r>
      <w:r>
        <w:t>. Како резултат на стапувањето во сила на новата законска рамка, голем број тековни предмети од поранешното Специјално јавно обвинителство (СЈО)</w:t>
      </w:r>
      <w:r w:rsidRPr="004F566A">
        <w:rPr>
          <w:vertAlign w:val="superscript"/>
          <w:lang w:val="en-GB"/>
        </w:rPr>
        <w:footnoteReference w:id="88"/>
      </w:r>
      <w:r>
        <w:t xml:space="preserve"> се прекинати поради застареност или поради тоа што кривичното дело злоупотреба на службената положба при јавните набавки веќе не постои</w:t>
      </w:r>
      <w:r w:rsidRPr="004F566A">
        <w:rPr>
          <w:vertAlign w:val="superscript"/>
          <w:lang w:val="en-GB"/>
        </w:rPr>
        <w:footnoteReference w:id="89"/>
      </w:r>
      <w:r>
        <w:t xml:space="preserve">. Следењето на случаите на корупција на високо ниво покажа дека на јавните обвинители им било особено тешко да ги преквалификуваат обвиненијата за да </w:t>
      </w:r>
      <w:r w:rsidR="00A6306E">
        <w:t xml:space="preserve">осигурат </w:t>
      </w:r>
      <w:r>
        <w:t>одговорност за случаите на поранешните СЈО</w:t>
      </w:r>
      <w:r w:rsidRPr="004F566A">
        <w:rPr>
          <w:vertAlign w:val="superscript"/>
          <w:lang w:val="en-GB"/>
        </w:rPr>
        <w:footnoteReference w:id="90"/>
      </w:r>
      <w:r>
        <w:t>. Измените во Кривичниот законик беа критикувани од Европската комисија и од различни засегнати страни</w:t>
      </w:r>
      <w:r w:rsidRPr="004F566A">
        <w:rPr>
          <w:vertAlign w:val="superscript"/>
          <w:lang w:val="en-GB"/>
        </w:rPr>
        <w:footnoteReference w:id="91"/>
      </w:r>
      <w:r>
        <w:t xml:space="preserve"> дека водат кон неказнивост.</w:t>
      </w:r>
    </w:p>
    <w:p w14:paraId="62EDF060" w14:textId="3A5D1286" w:rsidR="006B31F7" w:rsidRPr="004F566A" w:rsidRDefault="00EE613A">
      <w:pPr>
        <w:pStyle w:val="BodyText"/>
        <w:spacing w:after="240"/>
        <w:jc w:val="both"/>
      </w:pPr>
      <w:r>
        <w:rPr>
          <w:b/>
        </w:rPr>
        <w:t xml:space="preserve">Ограничувањата на ресурсите и недостатокот на соработка меѓу националните власти го попречуваат ефикасното гонење на корупцијата и го спречуваат воспоставувањето стабилна евиденција за случаи на корупција на високо ниво. </w:t>
      </w:r>
      <w:r>
        <w:t>Основното јавно обвинителство за гонење организиран криминал и корупција (ОЈОГОКК) има недоволно вработени</w:t>
      </w:r>
      <w:r w:rsidRPr="004F566A">
        <w:rPr>
          <w:vertAlign w:val="superscript"/>
          <w:lang w:val="en-GB"/>
        </w:rPr>
        <w:footnoteReference w:id="92"/>
      </w:r>
      <w:r>
        <w:t>. Во 2023 година беа отворени осум истраги за случаи на корупција на високо ниво, беше формулирано едно обвинение и беа изречени четири првостепени пресуди. Немаше правосилни пресуди за предмети на корупција на високо ниво во 2023 година</w:t>
      </w:r>
      <w:r w:rsidRPr="004F566A">
        <w:rPr>
          <w:vertAlign w:val="superscript"/>
          <w:lang w:val="en-GB"/>
        </w:rPr>
        <w:footnoteReference w:id="93"/>
      </w:r>
      <w:r>
        <w:t>. Истражните центри во рамките на Јавното обвинителство немаат потребни човечки и финансиски ресурси за зголемување на севкупниот квалитет и ефикасност на истрагите и систематски преземаат паралелни криминални и финансиски истраги, проследени со заплена и конфискација на криминален имот</w:t>
      </w:r>
      <w:r w:rsidRPr="004F566A">
        <w:rPr>
          <w:vertAlign w:val="superscript"/>
          <w:lang w:val="en-GB"/>
        </w:rPr>
        <w:footnoteReference w:id="94"/>
      </w:r>
      <w:r w:rsidR="004A3312">
        <w:t>.</w:t>
      </w:r>
      <w:r>
        <w:t xml:space="preserve"> Засегнатите страни забележаа дека недоволната соработка помеѓу ОЈО, ДКСК и Државниот завод за ревизија го попречува воспоставувањето стабилна евиденција за борба против корупцијата, особено во однос на финансиските истраги</w:t>
      </w:r>
      <w:r w:rsidRPr="004F566A">
        <w:rPr>
          <w:vertAlign w:val="superscript"/>
          <w:lang w:val="en-GB"/>
        </w:rPr>
        <w:footnoteReference w:id="95"/>
      </w:r>
      <w:r>
        <w:t>. Тие истакнаа дека некоординацијата меѓу државните институции и институционалната архитектура се генерално главните предизвици во борбата против корупцијата</w:t>
      </w:r>
      <w:r w:rsidRPr="004F566A">
        <w:rPr>
          <w:vertAlign w:val="superscript"/>
          <w:lang w:val="en-GB"/>
        </w:rPr>
        <w:footnoteReference w:id="96"/>
      </w:r>
      <w:r w:rsidR="004A3312">
        <w:t>.</w:t>
      </w:r>
      <w:r>
        <w:t xml:space="preserve"> За унапредување на меѓуинституционалната соработка во борбата против корупцијата, во јули 2023 година Владата го реактивираше</w:t>
      </w:r>
      <w:r w:rsidRPr="004F566A">
        <w:rPr>
          <w:vertAlign w:val="superscript"/>
          <w:lang w:val="en-GB"/>
        </w:rPr>
        <w:footnoteReference w:id="97"/>
      </w:r>
      <w:r>
        <w:t xml:space="preserve"> Меѓуресорското тело за координација на активностите против корупцијата</w:t>
      </w:r>
      <w:r w:rsidRPr="004F566A">
        <w:rPr>
          <w:vertAlign w:val="superscript"/>
          <w:lang w:val="en-GB"/>
        </w:rPr>
        <w:footnoteReference w:id="98"/>
      </w:r>
      <w:r>
        <w:t>.</w:t>
      </w:r>
    </w:p>
    <w:p w14:paraId="5D2B7986" w14:textId="5527738D" w:rsidR="006B31F7" w:rsidRPr="004F566A" w:rsidRDefault="00EE613A">
      <w:pPr>
        <w:pStyle w:val="BodyText"/>
        <w:jc w:val="both"/>
      </w:pPr>
      <w:r w:rsidRPr="0024455C">
        <w:rPr>
          <w:b/>
        </w:rPr>
        <w:t>Државната комисија за спречување на</w:t>
      </w:r>
      <w:r>
        <w:rPr>
          <w:b/>
        </w:rPr>
        <w:t xml:space="preserve"> корупцијата (ДКСК) продолжи со напорите за исполнување </w:t>
      </w:r>
      <w:r>
        <w:rPr>
          <w:b/>
        </w:rPr>
        <w:lastRenderedPageBreak/>
        <w:t xml:space="preserve">на својот мандат и покрај ограничените ресурси. </w:t>
      </w:r>
      <w:r>
        <w:t xml:space="preserve">Државната комисија иницираше неколку нови случаи, </w:t>
      </w:r>
      <w:r w:rsidR="00A3237E">
        <w:t>вклучително</w:t>
      </w:r>
      <w:r>
        <w:t xml:space="preserve"> и во врска со судир на интереси, спречување на корупција во политиката, непријавување имот и интереси и беше проактивна во нудење насоки за политиките на јавните институции за спречување на корупцијата</w:t>
      </w:r>
      <w:r w:rsidRPr="004F566A">
        <w:rPr>
          <w:vertAlign w:val="superscript"/>
          <w:lang w:val="en-GB"/>
        </w:rPr>
        <w:footnoteReference w:id="99"/>
      </w:r>
      <w:r>
        <w:t xml:space="preserve">. По нејзиното назначување од страна на Собранието, Државната комисија ја одржа конститутивната седница на 16 февруари 2024 година во својот нов состав, потврдувајќи ја својата посветеност на одржување на независноста на телото и отфрлајќи секаков надворешен притисок или влијание. Понатаму, ДКСК изрази заложба за зајакнување на соработката со Јавното обвинителство и другите национални органи за да се </w:t>
      </w:r>
      <w:r w:rsidR="008678B3">
        <w:t xml:space="preserve">осигури </w:t>
      </w:r>
      <w:r>
        <w:t>ефективно следење на нејзините иницијативи</w:t>
      </w:r>
      <w:r w:rsidRPr="004F566A">
        <w:rPr>
          <w:vertAlign w:val="superscript"/>
          <w:lang w:val="en-GB"/>
        </w:rPr>
        <w:footnoteReference w:id="100"/>
      </w:r>
      <w:r>
        <w:t>. Постапките во изјавите за имотна состојба</w:t>
      </w:r>
      <w:r w:rsidRPr="004F566A">
        <w:rPr>
          <w:vertAlign w:val="superscript"/>
          <w:lang w:val="en-GB"/>
        </w:rPr>
        <w:footnoteReference w:id="101"/>
      </w:r>
      <w:r>
        <w:t xml:space="preserve"> и судирите на интереси се важен дел од работата на ДКСК. Нејзиниот капацитет да ги верификува изјавите за интерес и имотна состојба се зголеми со текот на времето, како што исто така забележа и ГРЕКО</w:t>
      </w:r>
      <w:r w:rsidRPr="004F566A">
        <w:rPr>
          <w:vertAlign w:val="superscript"/>
          <w:lang w:val="en-GB"/>
        </w:rPr>
        <w:footnoteReference w:id="102"/>
      </w:r>
      <w:r>
        <w:t>. Сепак, ѝ недостига специјализиран кадар со истражувачко искуство</w:t>
      </w:r>
      <w:r w:rsidRPr="004F566A">
        <w:rPr>
          <w:vertAlign w:val="superscript"/>
          <w:lang w:val="en-GB"/>
        </w:rPr>
        <w:footnoteReference w:id="103"/>
      </w:r>
      <w:r>
        <w:t>. Интероперабилноста на базите на податоци од релевантните институции сè уште не е целосно оперативна, што ја попречува таквата верификација</w:t>
      </w:r>
      <w:r w:rsidRPr="004F566A">
        <w:rPr>
          <w:vertAlign w:val="superscript"/>
          <w:lang w:val="en-GB"/>
        </w:rPr>
        <w:footnoteReference w:id="104"/>
      </w:r>
      <w:r>
        <w:t>. На ефикасноста на ДКСК во вршењето надзор над политичките кампањи негативно влијае и недостатокот на ресурси и релевантна професионална стручност, како и фактот што податоците се обработуваат рачно</w:t>
      </w:r>
      <w:r w:rsidRPr="004F566A">
        <w:rPr>
          <w:vertAlign w:val="superscript"/>
          <w:lang w:val="en-GB"/>
        </w:rPr>
        <w:footnoteReference w:id="105"/>
      </w:r>
      <w:r>
        <w:t>. ДКСК има тенденција да биде реактивна наместо проактивна, а заклучоците од нејзините извештаи честопати не се целосно спроведени</w:t>
      </w:r>
      <w:r w:rsidRPr="004F566A">
        <w:rPr>
          <w:vertAlign w:val="superscript"/>
          <w:lang w:val="en-GB"/>
        </w:rPr>
        <w:footnoteReference w:id="106"/>
      </w:r>
      <w:r>
        <w:t>. Севкупно, практичната примена на системот на санкции во однос на прекршување на судирот на интереси, интегритет и антикорупциско законодавство и потребата да се осигури дека овие санкции се ефективни, пропорционални и разубедувачки</w:t>
      </w:r>
      <w:r w:rsidRPr="004F566A">
        <w:rPr>
          <w:vertAlign w:val="superscript"/>
          <w:lang w:val="en-GB"/>
        </w:rPr>
        <w:footnoteReference w:id="107"/>
      </w:r>
      <w:r>
        <w:t xml:space="preserve"> сè уште треба да се спроведат како што е наведено од ГРЕКО</w:t>
      </w:r>
      <w:r w:rsidRPr="004F566A">
        <w:rPr>
          <w:vertAlign w:val="superscript"/>
          <w:lang w:val="en-GB"/>
        </w:rPr>
        <w:footnoteReference w:id="108"/>
      </w:r>
      <w:r>
        <w:t>.</w:t>
      </w:r>
    </w:p>
    <w:p w14:paraId="67E20409" w14:textId="77777777" w:rsidR="006B31F7" w:rsidRPr="004F566A" w:rsidRDefault="00EE613A">
      <w:pPr>
        <w:pStyle w:val="BodyText"/>
        <w:jc w:val="both"/>
      </w:pPr>
      <w:r>
        <w:rPr>
          <w:b/>
        </w:rPr>
        <w:t xml:space="preserve">Иако е воспоставена законска рамка и регистри за лобирање, сè уште нема регистрирани лобисти. </w:t>
      </w:r>
      <w:r>
        <w:t>Законот за лобирање беше донесен во јуни 2021 година</w:t>
      </w:r>
      <w:r w:rsidRPr="004F566A">
        <w:rPr>
          <w:vertAlign w:val="superscript"/>
          <w:lang w:val="en-GB"/>
        </w:rPr>
        <w:footnoteReference w:id="109"/>
      </w:r>
      <w:r>
        <w:t xml:space="preserve"> и ги регулира условите за стекнување статус на лобист и лоби организација, регистрација, како и процесите на подготвување, донесување и изменување на јавните политики. Исто така, ги прошири надлежностите на ДКСК, додавајќи ја одговорноста да води </w:t>
      </w:r>
      <w:r>
        <w:lastRenderedPageBreak/>
        <w:t>регистар на лобисти и лоби организации</w:t>
      </w:r>
      <w:r w:rsidRPr="004F566A">
        <w:rPr>
          <w:vertAlign w:val="superscript"/>
          <w:lang w:val="en-GB"/>
        </w:rPr>
        <w:footnoteReference w:id="110"/>
      </w:r>
      <w:r>
        <w:t>. Сепак, засега нема регистрирани лобисти</w:t>
      </w:r>
      <w:r w:rsidRPr="004F566A">
        <w:rPr>
          <w:vertAlign w:val="superscript"/>
          <w:lang w:val="en-GB"/>
        </w:rPr>
        <w:footnoteReference w:id="111"/>
      </w:r>
      <w:r>
        <w:t>.</w:t>
      </w:r>
    </w:p>
    <w:p w14:paraId="64C1BEDC" w14:textId="4E21F682" w:rsidR="006B31F7" w:rsidRPr="004F566A" w:rsidRDefault="00EE613A">
      <w:pPr>
        <w:pStyle w:val="BodyText"/>
        <w:jc w:val="both"/>
      </w:pPr>
      <w:r>
        <w:rPr>
          <w:b/>
        </w:rPr>
        <w:t>Постојат неколку недостатоци во однос на финансирањето на политичките партии</w:t>
      </w:r>
      <w:r>
        <w:t>. Законот за финансирање на политичките партии</w:t>
      </w:r>
      <w:r w:rsidRPr="004F566A">
        <w:rPr>
          <w:vertAlign w:val="superscript"/>
          <w:lang w:val="en-GB"/>
        </w:rPr>
        <w:footnoteReference w:id="112"/>
      </w:r>
      <w:r>
        <w:t xml:space="preserve"> предвидува како може да се обезбеди финансирање и политичките партии да го управуваат истото. Изборниот законик</w:t>
      </w:r>
      <w:r w:rsidRPr="004F566A">
        <w:rPr>
          <w:vertAlign w:val="superscript"/>
          <w:lang w:val="en-GB"/>
        </w:rPr>
        <w:footnoteReference w:id="113"/>
      </w:r>
      <w:r>
        <w:t xml:space="preserve"> ги утврдува правилата за финансирање на изборните кампањи</w:t>
      </w:r>
      <w:r w:rsidRPr="004F566A">
        <w:rPr>
          <w:vertAlign w:val="superscript"/>
          <w:lang w:val="en-GB"/>
        </w:rPr>
        <w:footnoteReference w:id="114"/>
      </w:r>
      <w:r>
        <w:t>. Треба да се развие конкретна регулатива за висината на банкарските кредити и можноста за донирање по изборите, како и за финансирање од трета страна. Законодавството не ги усогласува ограничувањата за донации со ограничувањата за трошење, со што се остава отворена можноста за локални избори, во помали општини, еден поединец целосно да може да финансира кампања</w:t>
      </w:r>
      <w:r w:rsidRPr="004F566A">
        <w:rPr>
          <w:vertAlign w:val="superscript"/>
          <w:lang w:val="en-GB"/>
        </w:rPr>
        <w:footnoteReference w:id="115"/>
      </w:r>
      <w:r>
        <w:t xml:space="preserve">. Во однос на финансирањето на изборната кампања, новиот Изборен законик од март 2024 година го стесни опсегот на привремено известување за финансирање на кампањата, го скрати рокот за поднесување на финалниот финансиски извештај и дефинираше одредени </w:t>
      </w:r>
      <w:r w:rsidR="005D412B">
        <w:t xml:space="preserve">ограничувања </w:t>
      </w:r>
      <w:r>
        <w:t xml:space="preserve">за донации. Сепак, тој не се </w:t>
      </w:r>
      <w:r w:rsidR="008C2FA0">
        <w:t>осврна на</w:t>
      </w:r>
      <w:r>
        <w:t xml:space="preserve"> долгогодишни системски прашања, како што претходно препорача ОДИХР. Тие вклучуваат регулирање на финансирањето на кампањите од трета страна, известување за придонеси и заеми во натура, усогласување на временските рамки и роковите за прием и објавување извештаи за да се овозможи значајно испитување, како и обезбедување соодветни овластувања, ресурси и моќ за санкционирање на надзорните органи</w:t>
      </w:r>
      <w:r w:rsidRPr="004F566A">
        <w:rPr>
          <w:vertAlign w:val="superscript"/>
          <w:lang w:val="en-GB"/>
        </w:rPr>
        <w:footnoteReference w:id="116"/>
      </w:r>
      <w:r>
        <w:t>. Не постои механизам за електронско доставување на финансиските извештаи за кампањата.</w:t>
      </w:r>
    </w:p>
    <w:p w14:paraId="77C3E5D8" w14:textId="07FAC01B" w:rsidR="006B31F7" w:rsidRPr="004F566A" w:rsidRDefault="00EE613A">
      <w:pPr>
        <w:pStyle w:val="BodyText"/>
        <w:jc w:val="both"/>
      </w:pPr>
      <w:r w:rsidRPr="00F211FF">
        <w:rPr>
          <w:b/>
        </w:rPr>
        <w:t xml:space="preserve">Владата го ажурира Законот за заштита на укажувачите. </w:t>
      </w:r>
      <w:r w:rsidRPr="00F211FF">
        <w:t>Законот за заштита на укажувачите</w:t>
      </w:r>
      <w:r w:rsidRPr="00F211FF">
        <w:rPr>
          <w:vertAlign w:val="superscript"/>
          <w:lang w:val="en-GB"/>
        </w:rPr>
        <w:footnoteReference w:id="117"/>
      </w:r>
      <w:r w:rsidRPr="00F211FF">
        <w:t xml:space="preserve"> влезе во сила во март 2016 година. Надзорот на неговото спроведување го врши Министерството за правда, а ДКСК собира податоци, пишува извештаи</w:t>
      </w:r>
      <w:r w:rsidRPr="0057346A">
        <w:t xml:space="preserve"> и дава годишна оцена за спроведувањето. Заштитата на укажувачите треба дополнително да се усогласи со европските стандарди</w:t>
      </w:r>
      <w:r w:rsidRPr="00F211FF">
        <w:rPr>
          <w:vertAlign w:val="superscript"/>
          <w:lang w:val="en-GB"/>
        </w:rPr>
        <w:footnoteReference w:id="118"/>
      </w:r>
      <w:r w:rsidRPr="00F211FF">
        <w:t>. ГРЕКО ѝ препорача на Северна Македонија значително да ги зајакне мерките за практично</w:t>
      </w:r>
      <w:r>
        <w:t xml:space="preserve"> спроведување на законот во полиција и да овозможи поврзаните информации да се достапни за јавноста</w:t>
      </w:r>
      <w:r w:rsidRPr="004F566A">
        <w:rPr>
          <w:vertAlign w:val="superscript"/>
          <w:lang w:val="en-GB"/>
        </w:rPr>
        <w:footnoteReference w:id="119"/>
      </w:r>
      <w:r>
        <w:t>. Во мај 2023 година беше формирана работна група за подготовка на нов предлог-закон за заштитено објавување и заштита на укажувачите. Работната група вклучува претставници од државните органи, академската заедница и граѓанското општество</w:t>
      </w:r>
      <w:r w:rsidRPr="004F566A">
        <w:rPr>
          <w:vertAlign w:val="superscript"/>
          <w:lang w:val="en-GB"/>
        </w:rPr>
        <w:footnoteReference w:id="120"/>
      </w:r>
      <w:r>
        <w:t>. Исто така, ќе продолжи експертската поддршка за подготовка на предлог-законот преку Проектот против економски криминал, во рамките на третата фаза од програмата на Хоризонталниот инструмент на Европската Унија и Советот на Европа</w:t>
      </w:r>
      <w:r w:rsidRPr="004F566A">
        <w:rPr>
          <w:vertAlign w:val="superscript"/>
          <w:lang w:val="en-GB"/>
        </w:rPr>
        <w:footnoteReference w:id="121"/>
      </w:r>
      <w:r>
        <w:t>.</w:t>
      </w:r>
    </w:p>
    <w:p w14:paraId="31558D33" w14:textId="39A88E58" w:rsidR="006B31F7" w:rsidRPr="004F566A" w:rsidRDefault="00EE613A">
      <w:pPr>
        <w:pStyle w:val="BodyText"/>
        <w:jc w:val="both"/>
      </w:pPr>
      <w:r>
        <w:rPr>
          <w:b/>
          <w:bCs/>
        </w:rPr>
        <w:t xml:space="preserve">Високиот ризик од корупција останува распространет во многу области, при што јавните набавки и </w:t>
      </w:r>
      <w:r>
        <w:rPr>
          <w:b/>
          <w:bCs/>
        </w:rPr>
        <w:lastRenderedPageBreak/>
        <w:t>вработувањето во јавниот сектор се изложени на посебен ризик</w:t>
      </w:r>
      <w:r w:rsidRPr="004F566A">
        <w:rPr>
          <w:vertAlign w:val="superscript"/>
          <w:lang w:val="en-GB"/>
        </w:rPr>
        <w:footnoteReference w:id="122"/>
      </w:r>
      <w:r>
        <w:t>. Генерално, антикорупциските мерки продолжуваат да имаат ограничено влијание во особено ранливите сектори</w:t>
      </w:r>
      <w:r w:rsidRPr="004F566A">
        <w:rPr>
          <w:vertAlign w:val="superscript"/>
          <w:lang w:val="en-GB"/>
        </w:rPr>
        <w:footnoteReference w:id="123"/>
      </w:r>
      <w:r>
        <w:t>. Недостига систематски пристап во справувањето со корупцијата за решавање на заедничките именители на факторите на ризик. Овие именители вклучуваат силно политичко влијание во јавниот сектор; ниска стапка на санкционирање коруптивно однесување; неконзистентни прописи; ниско ниво на спроведување на мерките за интегритет; недоволна транспарентност, систем за надзор и контролни механизми во јавниот сектор</w:t>
      </w:r>
      <w:r w:rsidRPr="004F566A">
        <w:rPr>
          <w:vertAlign w:val="superscript"/>
          <w:lang w:val="en-GB"/>
        </w:rPr>
        <w:footnoteReference w:id="124"/>
      </w:r>
      <w:r>
        <w:t xml:space="preserve">. Непочитувањето на законите за вработување во јавниот сектор е забележано како релевантна област за корупција бидејќи овозможува различни </w:t>
      </w:r>
      <w:r w:rsidR="00F211FF">
        <w:t xml:space="preserve">облици </w:t>
      </w:r>
      <w:r>
        <w:t>на влијание, како што се влијание на политичките партии, непотизам, кронизам и клиентелизам</w:t>
      </w:r>
      <w:r w:rsidRPr="004F566A">
        <w:rPr>
          <w:vertAlign w:val="superscript"/>
          <w:lang w:val="en-GB"/>
        </w:rPr>
        <w:footnoteReference w:id="125"/>
      </w:r>
      <w:r>
        <w:t>. Граѓанските организации, исто така, укажуваат дека партиските и семејните врски често влијаат на назначувањето во јавниот сектор</w:t>
      </w:r>
      <w:r w:rsidRPr="004F566A">
        <w:rPr>
          <w:vertAlign w:val="superscript"/>
          <w:lang w:val="en-GB"/>
        </w:rPr>
        <w:footnoteReference w:id="126"/>
      </w:r>
      <w:r>
        <w:t>.</w:t>
      </w:r>
    </w:p>
    <w:p w14:paraId="3A16AF93" w14:textId="77777777" w:rsidR="006B31F7" w:rsidRPr="00ED488D" w:rsidRDefault="00EE613A">
      <w:pPr>
        <w:pStyle w:val="BodyText"/>
        <w:numPr>
          <w:ilvl w:val="0"/>
          <w:numId w:val="1"/>
        </w:numPr>
        <w:tabs>
          <w:tab w:val="left" w:pos="686"/>
          <w:tab w:val="left" w:pos="715"/>
        </w:tabs>
        <w:jc w:val="both"/>
        <w:rPr>
          <w:sz w:val="22"/>
          <w:szCs w:val="22"/>
        </w:rPr>
      </w:pPr>
      <w:r w:rsidRPr="00ED488D">
        <w:rPr>
          <w:b/>
          <w:smallCaps/>
          <w:u w:val="single"/>
        </w:rPr>
        <w:t>Медиумски плурализам и слобода на медиумите</w:t>
      </w:r>
    </w:p>
    <w:p w14:paraId="135A7046" w14:textId="1269AB33" w:rsidR="006B31F7" w:rsidRPr="004F566A" w:rsidRDefault="00EE613A">
      <w:pPr>
        <w:pStyle w:val="BodyText"/>
        <w:spacing w:after="240"/>
        <w:jc w:val="both"/>
      </w:pPr>
      <w:r>
        <w:t>Уставот го предвидува правото на слобода на изразување, како и правото на пристап до информации од јавен интерес</w:t>
      </w:r>
      <w:r w:rsidRPr="004F566A">
        <w:rPr>
          <w:vertAlign w:val="superscript"/>
          <w:lang w:val="en-GB"/>
        </w:rPr>
        <w:footnoteReference w:id="127"/>
      </w:r>
      <w:r>
        <w:t xml:space="preserve">. Задачите, организациската структура и функционирањето на националното регулаторно тело за аудиовизуелни медиуми, Агенцијата за аудио и аудиовизуелни медиумски услуги и јавниот радиодифузер, </w:t>
      </w:r>
      <w:r>
        <w:rPr>
          <w:i/>
          <w:iCs/>
        </w:rPr>
        <w:t>Македонската радио телевизија</w:t>
      </w:r>
      <w:r>
        <w:t>, се пропишани во Законот за аудио и аудиовизуелни медиумски услуги</w:t>
      </w:r>
      <w:r w:rsidRPr="004F566A">
        <w:rPr>
          <w:vertAlign w:val="superscript"/>
          <w:lang w:val="en-GB"/>
        </w:rPr>
        <w:footnoteReference w:id="128"/>
      </w:r>
      <w:r>
        <w:t>.</w:t>
      </w:r>
    </w:p>
    <w:p w14:paraId="0F91E70E" w14:textId="3857B3DD" w:rsidR="006B31F7" w:rsidRPr="004F566A" w:rsidRDefault="00EE613A">
      <w:pPr>
        <w:pStyle w:val="BodyText"/>
        <w:spacing w:after="240"/>
        <w:jc w:val="both"/>
      </w:pPr>
      <w:r>
        <w:rPr>
          <w:b/>
        </w:rPr>
        <w:t xml:space="preserve">Агенцијата за аудио и аудиовизуелни медиумски услуги ги исполнува своите задачи, а нејзината финансиска и институционална независност останува дополнително да се зајакне. </w:t>
      </w:r>
      <w:r>
        <w:t>Како дел од своите законски обврски, регулаторот врши надзор над радиодифузерите, операторите на јавни електронски комуникациски мрежи, давателите на медиумски услуги по барање, како и редовно ја следи сопственоста на медиумите, ја регулира недозволената медиумска концентрација, транспарентноста на сопственоста и води регистар на радиодифузни и печатени медиуми</w:t>
      </w:r>
      <w:r w:rsidRPr="004F566A">
        <w:rPr>
          <w:vertAlign w:val="superscript"/>
          <w:lang w:val="en-GB"/>
        </w:rPr>
        <w:footnoteReference w:id="129"/>
      </w:r>
      <w:r>
        <w:t>. Во 2023 година, и покрај законските одредби</w:t>
      </w:r>
      <w:r w:rsidRPr="004F566A">
        <w:rPr>
          <w:vertAlign w:val="superscript"/>
          <w:lang w:val="en-GB"/>
        </w:rPr>
        <w:footnoteReference w:id="130"/>
      </w:r>
      <w:r>
        <w:t>, Владата продолжи да префрла нецелосно финансирање на радиодифузниот сектор, со што се загрозува неговата финансиска и институционална независност</w:t>
      </w:r>
      <w:r w:rsidRPr="004F566A">
        <w:rPr>
          <w:vertAlign w:val="superscript"/>
          <w:lang w:val="en-GB"/>
        </w:rPr>
        <w:footnoteReference w:id="131"/>
      </w:r>
      <w:r>
        <w:t>. Недостатокот на назначувања од Парламентот во Советот на регулаторот за медиуми е извор на загриженост бидејќи тие се во тек од декември 2018 година</w:t>
      </w:r>
      <w:r w:rsidRPr="004F566A">
        <w:rPr>
          <w:vertAlign w:val="superscript"/>
          <w:lang w:val="en-GB"/>
        </w:rPr>
        <w:footnoteReference w:id="132"/>
      </w:r>
      <w:r>
        <w:t>. Причината е немањето политички консензус, бидејќи потребно е двотретинско парламентарно мнозинство</w:t>
      </w:r>
      <w:r w:rsidRPr="004F566A">
        <w:rPr>
          <w:vertAlign w:val="superscript"/>
          <w:lang w:val="en-GB"/>
        </w:rPr>
        <w:footnoteReference w:id="133"/>
      </w:r>
      <w:r>
        <w:t>. Треба да се зајакне независноста на медиумскиот регулатор</w:t>
      </w:r>
      <w:r w:rsidRPr="004F566A">
        <w:rPr>
          <w:vertAlign w:val="superscript"/>
          <w:lang w:val="en-GB"/>
        </w:rPr>
        <w:footnoteReference w:id="134"/>
      </w:r>
      <w:r>
        <w:t>. И покрај овие предизвици, работата на Агенцијата за аудио и аудиовизуелни медиумски услуги е позитивно оценета од страна на медиумските здруженија</w:t>
      </w:r>
      <w:r w:rsidRPr="004F566A">
        <w:rPr>
          <w:vertAlign w:val="superscript"/>
          <w:lang w:val="en-GB"/>
        </w:rPr>
        <w:footnoteReference w:id="135"/>
      </w:r>
      <w:r>
        <w:t xml:space="preserve">. Мониторот на Медиумскиот Плурализам (ММП) 2024 смета дека независноста </w:t>
      </w:r>
      <w:r>
        <w:lastRenderedPageBreak/>
        <w:t>и ефективноста на медиумската власт е област со низок ризик</w:t>
      </w:r>
      <w:r w:rsidRPr="004F566A">
        <w:rPr>
          <w:vertAlign w:val="superscript"/>
          <w:lang w:val="en-GB"/>
        </w:rPr>
        <w:footnoteReference w:id="136"/>
      </w:r>
      <w:r>
        <w:t>.</w:t>
      </w:r>
    </w:p>
    <w:p w14:paraId="6B59AB59" w14:textId="77777777" w:rsidR="006B31F7" w:rsidRPr="004F566A" w:rsidRDefault="00EE613A">
      <w:pPr>
        <w:pStyle w:val="BodyText"/>
        <w:spacing w:after="240"/>
        <w:jc w:val="both"/>
      </w:pPr>
      <w:r>
        <w:rPr>
          <w:b/>
        </w:rPr>
        <w:t xml:space="preserve">Советот за етика во медиумите и понатаму е под притисок. </w:t>
      </w:r>
      <w:r>
        <w:t>Советот за етика во медиумите е саморегулаторно тело составено од различни медиумски здруженија кои ги застапуваат традиционалните и новите медиуми на доброволна основа. Се справува со поплаки за прекршување на професионалните и етичките стандарди. Во 2023 година, Советот за етика во медиумите примил 132 претставки за вакви прекршувања, од кои 110 се однесуваат на прекршувања извршени од онлајн медиуми</w:t>
      </w:r>
      <w:r w:rsidRPr="004F566A">
        <w:rPr>
          <w:vertAlign w:val="superscript"/>
          <w:lang w:val="en-GB"/>
        </w:rPr>
        <w:footnoteReference w:id="137"/>
      </w:r>
      <w:r>
        <w:t>. Прегледот на пристигнатите претставки покажува четирикратно зголемување на претставките поврзани со говор на омраза во однос на претходната година</w:t>
      </w:r>
      <w:r w:rsidRPr="004F566A">
        <w:rPr>
          <w:vertAlign w:val="superscript"/>
          <w:lang w:val="en-GB"/>
        </w:rPr>
        <w:footnoteReference w:id="138"/>
      </w:r>
      <w:r>
        <w:t>. Институцијата претрпе зголемен притисок врз нејзината работа од политичките и економските актери, но и од претставниците на медиумите</w:t>
      </w:r>
      <w:r w:rsidRPr="004F566A">
        <w:rPr>
          <w:vertAlign w:val="superscript"/>
          <w:lang w:val="en-GB"/>
        </w:rPr>
        <w:footnoteReference w:id="139"/>
      </w:r>
      <w:r>
        <w:t>.</w:t>
      </w:r>
    </w:p>
    <w:p w14:paraId="6A0F5610" w14:textId="654A06B4" w:rsidR="006B31F7" w:rsidRPr="004F566A" w:rsidRDefault="00EE613A">
      <w:pPr>
        <w:pStyle w:val="BodyText"/>
        <w:spacing w:after="240"/>
        <w:jc w:val="both"/>
      </w:pPr>
      <w:r>
        <w:rPr>
          <w:b/>
          <w:bCs/>
        </w:rPr>
        <w:t>Остануваат предизвиците во однос на транспарентноста на сопственоста на медиумите и медиумската концентрација.</w:t>
      </w:r>
      <w:r>
        <w:t xml:space="preserve"> Печатените и радиодифузните медиуми имаат законски обврски да ги откријат деталите за нивната сопственост на регулаторното тело за аудиовизуелни медиуми</w:t>
      </w:r>
      <w:r w:rsidRPr="004F566A">
        <w:rPr>
          <w:vertAlign w:val="superscript"/>
          <w:lang w:val="en-GB"/>
        </w:rPr>
        <w:footnoteReference w:id="140"/>
      </w:r>
      <w:r>
        <w:t xml:space="preserve"> но не постои конкретен закон за медиуми кој ја опфаќа сопственоста и финансиското известување на дигиталните национални медиуми</w:t>
      </w:r>
      <w:r w:rsidRPr="004F566A">
        <w:rPr>
          <w:vertAlign w:val="superscript"/>
          <w:lang w:val="en-GB"/>
        </w:rPr>
        <w:footnoteReference w:id="141"/>
      </w:r>
      <w:r>
        <w:t>. Регистарот на сопственост за дигитални национални медиуми е саморегулирачка мерка. ММП 2024 укажува на среден ризик во однос на транспарентноста на сопственоста на медиумите и плуралноста на медиумските даватели</w:t>
      </w:r>
      <w:r w:rsidRPr="004F566A">
        <w:rPr>
          <w:vertAlign w:val="superscript"/>
          <w:lang w:val="en-GB"/>
        </w:rPr>
        <w:footnoteReference w:id="142"/>
      </w:r>
      <w:r>
        <w:t>, врз основа на неговиот наод дека недостигаат податоци за хоризонтални и вкрстени медиумски варијабли на концентрација. Имено, нема доволно податоци за уделот на пазарот и публиката за дигиталните изворни медиуми, печатените медиуми и радио станиците. Спротивно на тоа, креаторите на политиките и засегнатите страни во Северна Македонија имаат пристап до веродостојни податоци за мерење на уделот на најголемите играчи во концентрацијата на аудиовизуелниот медиумски сектор</w:t>
      </w:r>
      <w:r w:rsidRPr="004F566A">
        <w:rPr>
          <w:vertAlign w:val="superscript"/>
          <w:lang w:val="en-GB"/>
        </w:rPr>
        <w:footnoteReference w:id="143"/>
      </w:r>
      <w:r>
        <w:t xml:space="preserve">. Северна Македонија има законска регулатива, која </w:t>
      </w:r>
      <w:r w:rsidR="003755A6">
        <w:t xml:space="preserve">во моментов </w:t>
      </w:r>
      <w:r>
        <w:t>се разгледува како дел од помошта на ЕУ, за да се спречи хоризонтална концентрација на сопственоста на радиодифузните медиуми</w:t>
      </w:r>
      <w:r w:rsidRPr="004F566A">
        <w:rPr>
          <w:vertAlign w:val="superscript"/>
          <w:lang w:val="en-GB"/>
        </w:rPr>
        <w:footnoteReference w:id="144"/>
      </w:r>
      <w:r>
        <w:t>. Засегнатите страни во медиумскиот сектор објавија дека блиските врски меѓу одредени сопственици на медиуми и политички актери во Северна Македонија доведуваат до самоцензура и неподготвеност да известуваат за прашања кои може да бидат неповолни за политичкото и деловното раководство</w:t>
      </w:r>
      <w:r w:rsidRPr="004F566A">
        <w:rPr>
          <w:vertAlign w:val="superscript"/>
          <w:lang w:val="en-GB"/>
        </w:rPr>
        <w:footnoteReference w:id="145"/>
      </w:r>
      <w:r>
        <w:t>.</w:t>
      </w:r>
    </w:p>
    <w:p w14:paraId="696590D5" w14:textId="0C65C3D6" w:rsidR="006B31F7" w:rsidRPr="004F566A" w:rsidRDefault="00EE613A" w:rsidP="003755A6">
      <w:pPr>
        <w:pStyle w:val="BodyText"/>
        <w:spacing w:after="240"/>
        <w:jc w:val="both"/>
      </w:pPr>
      <w:r>
        <w:rPr>
          <w:b/>
        </w:rPr>
        <w:t xml:space="preserve">Постои загриженост во врска со одредени елементи од повторното воведување рекламирање финансирано од државата. </w:t>
      </w:r>
      <w:r>
        <w:t>Законот за аудио и аудиовизуелни медиумски услуги беше изменет во јули 2023 година</w:t>
      </w:r>
      <w:r w:rsidRPr="004F566A">
        <w:rPr>
          <w:vertAlign w:val="superscript"/>
          <w:lang w:val="en-GB"/>
        </w:rPr>
        <w:footnoteReference w:id="146"/>
      </w:r>
      <w:r>
        <w:t xml:space="preserve"> да се осигури усогласување со правото на ЕУ</w:t>
      </w:r>
      <w:r w:rsidRPr="004F566A">
        <w:rPr>
          <w:vertAlign w:val="superscript"/>
          <w:lang w:val="en-GB"/>
        </w:rPr>
        <w:footnoteReference w:id="147"/>
      </w:r>
      <w:r>
        <w:t xml:space="preserve">. Сепак, на 28 февруари 2024 година, </w:t>
      </w:r>
      <w:r>
        <w:lastRenderedPageBreak/>
        <w:t>Парламентот донесе нов сет измени, со користење брза законодавна постапка</w:t>
      </w:r>
      <w:r w:rsidRPr="004F566A">
        <w:rPr>
          <w:vertAlign w:val="superscript"/>
          <w:lang w:val="en-GB"/>
        </w:rPr>
        <w:footnoteReference w:id="148"/>
      </w:r>
      <w:r>
        <w:t xml:space="preserve">. </w:t>
      </w:r>
      <w:r w:rsidR="003755A6">
        <w:t xml:space="preserve">Една </w:t>
      </w:r>
      <w:r>
        <w:t>од овие измени се соочи со значителни критики од медиумскиот регулатор и од новинарските здруженија</w:t>
      </w:r>
      <w:r w:rsidRPr="004F566A">
        <w:rPr>
          <w:vertAlign w:val="superscript"/>
          <w:lang w:val="en-GB"/>
        </w:rPr>
        <w:footnoteReference w:id="149"/>
      </w:r>
      <w:r>
        <w:t>. Примарната загриженост беше насочена околу заканата за медиумскиот плурализам предизвикана од одредени елементи од повторното воведување на рекламирањето финансирано од државата, кое претходно беше укинато во 2018 година</w:t>
      </w:r>
      <w:r w:rsidRPr="004F566A">
        <w:rPr>
          <w:vertAlign w:val="superscript"/>
          <w:lang w:val="en-GB"/>
        </w:rPr>
        <w:footnoteReference w:id="150"/>
      </w:r>
      <w:r>
        <w:t xml:space="preserve">. Додека </w:t>
      </w:r>
      <w:r w:rsidR="00BA47DE">
        <w:t xml:space="preserve">органите </w:t>
      </w:r>
      <w:r>
        <w:t>спроведоа процес на консултации за нацрт-законот, клучните засегнати страни се пожалија дека нивните ставови не се одразени во конечната верзија на законот</w:t>
      </w:r>
      <w:r w:rsidRPr="004F566A">
        <w:rPr>
          <w:vertAlign w:val="superscript"/>
          <w:lang w:val="en-GB"/>
        </w:rPr>
        <w:footnoteReference w:id="151"/>
      </w:r>
      <w:r>
        <w:t xml:space="preserve">. Беа издадени и предупредувања за потенцијалот за политичка злоупотреба на средства, имајќи предвид дека се предлага </w:t>
      </w:r>
      <w:r>
        <w:rPr>
          <w:i/>
          <w:iCs/>
        </w:rPr>
        <w:t>ад хок</w:t>
      </w:r>
      <w:r>
        <w:t xml:space="preserve"> парламентарно тело да ја одреди распределбата за „државните кампањи“, кои немаат јасна дефиниција</w:t>
      </w:r>
      <w:r w:rsidRPr="004F566A">
        <w:rPr>
          <w:vertAlign w:val="superscript"/>
          <w:lang w:val="en-GB"/>
        </w:rPr>
        <w:footnoteReference w:id="152"/>
      </w:r>
      <w:r>
        <w:t>.</w:t>
      </w:r>
    </w:p>
    <w:p w14:paraId="7872203B" w14:textId="28CBF9EE" w:rsidR="006B31F7" w:rsidRPr="004F566A" w:rsidRDefault="00EE613A">
      <w:pPr>
        <w:pStyle w:val="BodyText"/>
        <w:spacing w:after="240"/>
        <w:jc w:val="both"/>
      </w:pPr>
      <w:r>
        <w:rPr>
          <w:b/>
        </w:rPr>
        <w:t xml:space="preserve">Јавниот радиодифузен сервис се соочува со предизвици. </w:t>
      </w:r>
      <w:r>
        <w:t xml:space="preserve">Мандатот на јавниот сервис, </w:t>
      </w:r>
      <w:r>
        <w:rPr>
          <w:i/>
          <w:iCs/>
        </w:rPr>
        <w:t>Македонската радио телевизија</w:t>
      </w:r>
      <w:r>
        <w:t>, е наведен во Законот за аудио и аудиовизуелни медиумски услуги</w:t>
      </w:r>
      <w:r w:rsidRPr="004F566A">
        <w:rPr>
          <w:vertAlign w:val="superscript"/>
          <w:lang w:val="en-GB"/>
        </w:rPr>
        <w:footnoteReference w:id="153"/>
      </w:r>
      <w:r>
        <w:t>. Се емитува преку пет различни канали</w:t>
      </w:r>
      <w:r w:rsidRPr="004F566A">
        <w:rPr>
          <w:vertAlign w:val="superscript"/>
          <w:lang w:val="en-GB"/>
        </w:rPr>
        <w:footnoteReference w:id="154"/>
      </w:r>
      <w:r>
        <w:t>. ММП 2024 укажува на среден ризик во однос на политичката независност на медиумите и уредувачката автономија</w:t>
      </w:r>
      <w:r w:rsidRPr="004F566A">
        <w:rPr>
          <w:vertAlign w:val="superscript"/>
          <w:lang w:val="en-GB"/>
        </w:rPr>
        <w:footnoteReference w:id="155"/>
      </w:r>
      <w:r w:rsidR="00BA47DE">
        <w:t>. Н</w:t>
      </w:r>
      <w:r>
        <w:t>едостигот на именувања во Програмскиот совет на јавниот сервис и понатаму е извор на загриженост, бидејќи тие се чекаат од декември 2018 година, со оглед на неуспехот на Парламентот да постигне политички консензус, бидејќи е потребно двотретинско парламентарно мнозинство</w:t>
      </w:r>
      <w:r w:rsidRPr="004F566A">
        <w:rPr>
          <w:vertAlign w:val="superscript"/>
          <w:lang w:val="en-GB"/>
        </w:rPr>
        <w:footnoteReference w:id="156"/>
      </w:r>
      <w:r>
        <w:t xml:space="preserve">. Потребна е реформа на јавниот радиодифузен сервис за да биде помодерен и поконкурентен и да се зајакне неговата независност, професионални стандарди и финансиска одржливост </w:t>
      </w:r>
      <w:r w:rsidRPr="004F566A">
        <w:rPr>
          <w:vertAlign w:val="superscript"/>
          <w:lang w:val="en-GB"/>
        </w:rPr>
        <w:footnoteReference w:id="157"/>
      </w:r>
      <w:r>
        <w:t>. Финансирањето на организацијата не беше стабилно, создавајќи несигурност во планирањето</w:t>
      </w:r>
      <w:r w:rsidRPr="004F566A">
        <w:rPr>
          <w:vertAlign w:val="superscript"/>
          <w:lang w:val="en-GB"/>
        </w:rPr>
        <w:footnoteReference w:id="158"/>
      </w:r>
      <w:r>
        <w:t>. Засега не е најдено решение за долгогодишните долгови на организацијата кон државата што ја загрозува одржливоста на радиодифузерот</w:t>
      </w:r>
      <w:r w:rsidRPr="004F566A">
        <w:rPr>
          <w:vertAlign w:val="superscript"/>
          <w:lang w:val="en-GB"/>
        </w:rPr>
        <w:footnoteReference w:id="159"/>
      </w:r>
      <w:r>
        <w:t>.</w:t>
      </w:r>
    </w:p>
    <w:p w14:paraId="4D4B6401" w14:textId="7C735F7B" w:rsidR="006B31F7" w:rsidRPr="004F566A" w:rsidRDefault="00EE613A">
      <w:pPr>
        <w:pStyle w:val="BodyText"/>
        <w:spacing w:after="240"/>
        <w:jc w:val="both"/>
      </w:pPr>
      <w:r>
        <w:rPr>
          <w:b/>
          <w:bCs/>
        </w:rPr>
        <w:t>Агенцијата за заштита на правото на слободен пристап до информациите од јавен карактер обезбедува пристап до информации од јавен карактер и покрај ограничените ресурси, додека постои загриженост во врска со одбивањата и одложувањата.</w:t>
      </w:r>
      <w:r>
        <w:rPr>
          <w:color w:val="2B579A"/>
        </w:rPr>
        <w:t xml:space="preserve"> </w:t>
      </w:r>
      <w:r>
        <w:t xml:space="preserve">Правото на граѓаните на пристап до информации </w:t>
      </w:r>
      <w:r>
        <w:lastRenderedPageBreak/>
        <w:t xml:space="preserve">од јавен карактер е вградено во Уставот и </w:t>
      </w:r>
      <w:r w:rsidR="00AF1883">
        <w:t>секундарното законодавство</w:t>
      </w:r>
      <w:r w:rsidRPr="004F566A">
        <w:rPr>
          <w:vertAlign w:val="superscript"/>
          <w:lang w:val="en-GB"/>
        </w:rPr>
        <w:footnoteReference w:id="160"/>
      </w:r>
      <w:r>
        <w:t>. Агенцијата за заштита на правото на слободен пристап до информациите од јавен карактер поднесе жалби и ги следи имателите на информации, и покрај ограниченото финансирање</w:t>
      </w:r>
      <w:r w:rsidRPr="004F566A">
        <w:rPr>
          <w:vertAlign w:val="superscript"/>
          <w:lang w:val="en-GB"/>
        </w:rPr>
        <w:footnoteReference w:id="161"/>
      </w:r>
      <w:r>
        <w:t xml:space="preserve">. </w:t>
      </w:r>
      <w:r w:rsidR="00AF1883">
        <w:t>Во просек</w:t>
      </w:r>
      <w:r>
        <w:t>, во изминатите три години годишно имало 8</w:t>
      </w:r>
      <w:r w:rsidR="00AF1883">
        <w:t>.</w:t>
      </w:r>
      <w:r>
        <w:t>500 барања за информации од јавен карактер</w:t>
      </w:r>
      <w:r w:rsidRPr="004F566A">
        <w:rPr>
          <w:vertAlign w:val="superscript"/>
          <w:lang w:val="en-GB"/>
        </w:rPr>
        <w:footnoteReference w:id="162"/>
      </w:r>
      <w:r>
        <w:t>. Засегнатите страни изразија загриженост дека заштитата на личните податоци често се користи како целосна причина за одбивање пристап до документи и доцнењето за добивање информации е предолго, особено за новинарите кои работат во тесни рокови</w:t>
      </w:r>
      <w:r w:rsidRPr="004F566A">
        <w:rPr>
          <w:vertAlign w:val="superscript"/>
          <w:lang w:val="en-GB"/>
        </w:rPr>
        <w:footnoteReference w:id="163"/>
      </w:r>
      <w:r>
        <w:t>. ММП 2024 потврдува дека иако правната заштита на правото на информирање носи низок ризик, јавната администрација не е доволно подготвена за давање пристап до информации во пракса</w:t>
      </w:r>
      <w:r w:rsidRPr="004F566A">
        <w:rPr>
          <w:vertAlign w:val="superscript"/>
          <w:lang w:val="en-GB"/>
        </w:rPr>
        <w:footnoteReference w:id="164"/>
      </w:r>
      <w:r>
        <w:t>.</w:t>
      </w:r>
    </w:p>
    <w:p w14:paraId="60485BD8" w14:textId="6669AED5" w:rsidR="006B31F7" w:rsidRDefault="00EE613A">
      <w:pPr>
        <w:pStyle w:val="BodyText"/>
        <w:spacing w:after="0"/>
        <w:jc w:val="both"/>
      </w:pPr>
      <w:r>
        <w:rPr>
          <w:b/>
          <w:bCs/>
        </w:rPr>
        <w:t>Законските мерки ги зајакнаа законските заштитни мерки за заштита</w:t>
      </w:r>
      <w:r w:rsidR="00AF1883">
        <w:rPr>
          <w:b/>
          <w:bCs/>
        </w:rPr>
        <w:t>та</w:t>
      </w:r>
      <w:r>
        <w:rPr>
          <w:b/>
          <w:bCs/>
        </w:rPr>
        <w:t xml:space="preserve"> на новинарите, но забележани се закани и акти на насилство врз новинарите.</w:t>
      </w:r>
      <w:r>
        <w:t xml:space="preserve"> Платформата на Советот на Европа за заштита на новинарството и безбедноста на новинарите има објавено 99 предупредувања од јули 2023 година. Со реформата на Кривичниот законик во февруари 2023 година</w:t>
      </w:r>
      <w:r w:rsidRPr="004F566A">
        <w:rPr>
          <w:vertAlign w:val="superscript"/>
          <w:lang w:val="en-GB"/>
        </w:rPr>
        <w:footnoteReference w:id="165"/>
      </w:r>
      <w:r>
        <w:t>, на новинарите им е доделена посебна заштита преку нивното идентификување како заштитена група, слично на јавните функционери, а со тоа му дава овластување на Јавното обвинителство самоиницијативно да покрене постапка кога е нападнат новинар или медиумски работник. Назначен е надлежен јавен обвинител</w:t>
      </w:r>
      <w:r w:rsidRPr="004F566A">
        <w:rPr>
          <w:vertAlign w:val="superscript"/>
          <w:lang w:val="en-GB"/>
        </w:rPr>
        <w:footnoteReference w:id="166"/>
      </w:r>
      <w:r>
        <w:t xml:space="preserve">. Оние кои се осудени за физичко насилство или акти на заплашување врз новинари сега </w:t>
      </w:r>
      <w:r w:rsidR="00AF1883">
        <w:t>подложат</w:t>
      </w:r>
      <w:r>
        <w:t xml:space="preserve"> на построги казни. За понатамошна поддршка на новинарите кои се соочуваат со дигитални закани, Министерството за внатрешни работи назначи Офицер за врска во Единицата за компјутерски криминал</w:t>
      </w:r>
      <w:r w:rsidRPr="004F566A">
        <w:rPr>
          <w:vertAlign w:val="superscript"/>
          <w:lang w:val="en-GB"/>
        </w:rPr>
        <w:footnoteReference w:id="167"/>
      </w:r>
      <w:r>
        <w:t>. Во 2023 година, органите регистрирале седум случаи во кои новинари или медиумски работници се појавуваат како повредени лица и биле преземени судски мерки</w:t>
      </w:r>
      <w:r w:rsidRPr="004F566A">
        <w:rPr>
          <w:vertAlign w:val="superscript"/>
          <w:lang w:val="en-GB"/>
        </w:rPr>
        <w:footnoteReference w:id="168"/>
      </w:r>
      <w:r>
        <w:t>. Понатаму, новинарите и уредниците повеќе не ги доживуваат законите за граѓанска клевета како значителен ризик за истражувачко новинарство по измените на Законот за граѓанска одговорност за навреда и клевета од 2022 година, со што значително се намалија потенцијалната нематеријална штета наметната на медиумите и новинарите при тужби за клевета</w:t>
      </w:r>
      <w:r w:rsidRPr="004F566A">
        <w:rPr>
          <w:vertAlign w:val="superscript"/>
          <w:lang w:val="en-GB"/>
        </w:rPr>
        <w:footnoteReference w:id="169"/>
      </w:r>
      <w:r>
        <w:t>. Овие измени ја ограничуваат способноста на влијателните поединци да иницираат Стратешки тужби против учеството на јавноста (СЛАПП) против медиумски организации и новинари и ги намалија казните што се применуваат во случаи на клевета. Сепак, недостасува механизам за поддршка на целите на СЛАПП</w:t>
      </w:r>
      <w:r w:rsidRPr="004F566A">
        <w:rPr>
          <w:vertAlign w:val="superscript"/>
          <w:lang w:val="en-GB"/>
        </w:rPr>
        <w:footnoteReference w:id="170"/>
      </w:r>
      <w:r>
        <w:t>. Во 2023 година Здружението на новинари регистрираше шест случаи на тужби за СЛАПП</w:t>
      </w:r>
      <w:r w:rsidRPr="004F566A">
        <w:rPr>
          <w:vertAlign w:val="superscript"/>
          <w:lang w:val="en-GB"/>
        </w:rPr>
        <w:footnoteReference w:id="171"/>
      </w:r>
      <w:r>
        <w:t>. Надвор од безбедноста</w:t>
      </w:r>
      <w:r w:rsidRPr="004F566A">
        <w:rPr>
          <w:vertAlign w:val="superscript"/>
          <w:lang w:val="en-GB"/>
        </w:rPr>
        <w:footnoteReference w:id="172"/>
      </w:r>
      <w:r>
        <w:t xml:space="preserve">, севкупните несигурни работни и економски услови на новинарите и медиумските </w:t>
      </w:r>
      <w:r>
        <w:lastRenderedPageBreak/>
        <w:t>работници се идентификувани како причина за загриженост</w:t>
      </w:r>
      <w:r w:rsidRPr="004F566A">
        <w:rPr>
          <w:vertAlign w:val="superscript"/>
          <w:lang w:val="en-GB"/>
        </w:rPr>
        <w:footnoteReference w:id="173"/>
      </w:r>
      <w:r>
        <w:t>. ММП 2024 известува за среден ризик за новинарската професија, стандардите и заштитата</w:t>
      </w:r>
      <w:r w:rsidRPr="004F566A">
        <w:rPr>
          <w:vertAlign w:val="superscript"/>
          <w:lang w:val="en-GB"/>
        </w:rPr>
        <w:footnoteReference w:id="174"/>
      </w:r>
      <w:r>
        <w:t>.</w:t>
      </w:r>
    </w:p>
    <w:p w14:paraId="04F65979" w14:textId="77777777" w:rsidR="00861785" w:rsidRPr="004F566A" w:rsidRDefault="00861785">
      <w:pPr>
        <w:pStyle w:val="BodyText"/>
        <w:spacing w:after="0"/>
        <w:jc w:val="both"/>
        <w:rPr>
          <w:lang w:val="en-GB"/>
        </w:rPr>
      </w:pPr>
    </w:p>
    <w:p w14:paraId="52F8535F" w14:textId="77777777" w:rsidR="006B31F7" w:rsidRPr="004F566A" w:rsidRDefault="00EE613A">
      <w:pPr>
        <w:pStyle w:val="BodyText"/>
        <w:numPr>
          <w:ilvl w:val="0"/>
          <w:numId w:val="1"/>
        </w:numPr>
        <w:tabs>
          <w:tab w:val="left" w:pos="718"/>
          <w:tab w:val="left" w:pos="720"/>
        </w:tabs>
        <w:jc w:val="both"/>
        <w:rPr>
          <w:sz w:val="22"/>
          <w:szCs w:val="22"/>
        </w:rPr>
      </w:pPr>
      <w:r>
        <w:rPr>
          <w:b/>
          <w:smallCaps/>
          <w:u w:val="single"/>
        </w:rPr>
        <w:t>Други институционални прашања поврзани со проверки и рамнотежа</w:t>
      </w:r>
    </w:p>
    <w:p w14:paraId="1BA33E8D" w14:textId="01F89D00" w:rsidR="006B31F7" w:rsidRPr="004F566A" w:rsidRDefault="00EE613A">
      <w:pPr>
        <w:pStyle w:val="BodyText"/>
        <w:jc w:val="both"/>
      </w:pPr>
      <w:r>
        <w:t>Северна Македонија е еднодомна парламентарна демократија каде што Парламентот ја има законодавната власт и ја избира Владата и другите високи функционери</w:t>
      </w:r>
      <w:r w:rsidRPr="004F566A">
        <w:rPr>
          <w:vertAlign w:val="superscript"/>
          <w:lang w:val="en-GB"/>
        </w:rPr>
        <w:footnoteReference w:id="175"/>
      </w:r>
      <w:r>
        <w:t>. Извршната власт</w:t>
      </w:r>
      <w:r w:rsidRPr="004F566A">
        <w:rPr>
          <w:vertAlign w:val="superscript"/>
          <w:lang w:val="en-GB"/>
        </w:rPr>
        <w:footnoteReference w:id="176"/>
      </w:r>
      <w:r>
        <w:t xml:space="preserve"> е предводена од премиерот. Претседателот, кој директно се избира на секои пет години, потпишува закони и има суспензивно право на вето</w:t>
      </w:r>
      <w:r w:rsidRPr="004F566A">
        <w:rPr>
          <w:vertAlign w:val="superscript"/>
          <w:lang w:val="en-GB"/>
        </w:rPr>
        <w:footnoteReference w:id="177"/>
      </w:r>
      <w:r>
        <w:t>, што може да биде отфрлено од парламентарно мнозинство</w:t>
      </w:r>
      <w:r w:rsidRPr="004F566A">
        <w:rPr>
          <w:vertAlign w:val="superscript"/>
          <w:lang w:val="en-GB"/>
        </w:rPr>
        <w:footnoteReference w:id="178"/>
      </w:r>
      <w:r>
        <w:t xml:space="preserve">. Секој пратеник, Владата или </w:t>
      </w:r>
      <w:r w:rsidR="00A3237E">
        <w:t xml:space="preserve">најмалку </w:t>
      </w:r>
      <w:r>
        <w:t>10</w:t>
      </w:r>
      <w:r w:rsidR="006603E0">
        <w:t>.</w:t>
      </w:r>
      <w:r>
        <w:t>000 граѓани имаат право да предложат закон за донесување. Уставниот суд е надлежен да ја оценува уставноста и законитоста на актите</w:t>
      </w:r>
      <w:r w:rsidRPr="004F566A">
        <w:rPr>
          <w:vertAlign w:val="superscript"/>
          <w:lang w:val="en-GB"/>
        </w:rPr>
        <w:footnoteReference w:id="179"/>
      </w:r>
      <w:r>
        <w:t>. Народниот правобранител, кој го избира Парламентот, има задача да ги унапредува и штити човековите права и основните слободи и ја презема функцијата на Националната институција за човекови права</w:t>
      </w:r>
      <w:r w:rsidRPr="004F566A">
        <w:rPr>
          <w:vertAlign w:val="superscript"/>
          <w:lang w:val="en-GB"/>
        </w:rPr>
        <w:footnoteReference w:id="180"/>
      </w:r>
      <w:r>
        <w:t>. Други независни и регулаторни тела во областа на човековите права се Комисијата за спречување и заштита од дискриминација и Агенцијата за заштита на личните податоци.</w:t>
      </w:r>
    </w:p>
    <w:p w14:paraId="60A3754C" w14:textId="7AD98636" w:rsidR="006B31F7" w:rsidRPr="004F566A" w:rsidRDefault="00EE613A">
      <w:pPr>
        <w:pStyle w:val="BodyText"/>
        <w:jc w:val="both"/>
      </w:pPr>
      <w:r>
        <w:rPr>
          <w:b/>
        </w:rPr>
        <w:t xml:space="preserve">Политичката поларизација во Парламентот предизвика одложување на неговата работа и доведе до прекумерна, а понекогаш и несоодветна употреба на забрзани законодавни постапки. </w:t>
      </w:r>
      <w:r>
        <w:t xml:space="preserve">Со оглед на силната поларизација, остануваат предизвиците во однос на ефикасното планирање во процесот на донесување закони. Блокирањето на работата на парламентот, </w:t>
      </w:r>
      <w:r w:rsidR="00A3237E">
        <w:t>вклучително</w:t>
      </w:r>
      <w:r>
        <w:t xml:space="preserve"> и поради недостаток на дијалог, доведе до одложување на законодавната агенда на парламентот и на важните назначувања, </w:t>
      </w:r>
      <w:r w:rsidR="00A3237E">
        <w:t>вклучително</w:t>
      </w:r>
      <w:r>
        <w:t xml:space="preserve"> и за судии во Уставниот суд и замениците народни правобранители</w:t>
      </w:r>
      <w:r w:rsidRPr="004F566A">
        <w:rPr>
          <w:vertAlign w:val="superscript"/>
          <w:lang w:val="en-GB"/>
        </w:rPr>
        <w:footnoteReference w:id="181"/>
      </w:r>
      <w:r>
        <w:t>. Истовремено, забележано е загрижувачко зголемување на употребата на забрзаните парламентарни постапки, а особено, т.н. постапка „ЕУ знаменце“</w:t>
      </w:r>
      <w:r w:rsidRPr="004F566A">
        <w:rPr>
          <w:vertAlign w:val="superscript"/>
          <w:lang w:val="en-GB"/>
        </w:rPr>
        <w:footnoteReference w:id="182"/>
      </w:r>
      <w:r>
        <w:t>. Иако постапката „ЕУ знаменце“ треба да се применува само на законски измени со примарна цел да се усогласат со правото на ЕУ, таа исто така се применува и на законодавни иницијативи кои не го исполнуваат овој критериум</w:t>
      </w:r>
      <w:r w:rsidRPr="004F566A">
        <w:rPr>
          <w:vertAlign w:val="superscript"/>
          <w:lang w:val="en-GB"/>
        </w:rPr>
        <w:footnoteReference w:id="183"/>
      </w:r>
      <w:r>
        <w:t xml:space="preserve">. Ова значеше дека опсежните законски измени беа донесени во рок </w:t>
      </w:r>
      <w:r>
        <w:lastRenderedPageBreak/>
        <w:t xml:space="preserve">од неколку дена по поднесувањето во Парламентот, и без јавна консултација или процена на влијанието, со што се ограничува јавната и парламентарната контрола и се поткопува квалитетот и легитимноста на законодавството. За да се решат некои од овие прашања, </w:t>
      </w:r>
      <w:r w:rsidR="00CF0DD5">
        <w:t xml:space="preserve">донесен </w:t>
      </w:r>
      <w:r>
        <w:t>е нов Деловник за работа на Собранието, кој вклучува одредби насочени кон зајакнување на парламентарниот надзор и ефикасност, како и зајакнување на улогата на Парламентот во одлучувањето за употребата на забрзаните постапки. По изборите во мај 2024 година, новиот деловник за работа влезе во сила со конститутивната седница на новиот парламент</w:t>
      </w:r>
      <w:r w:rsidRPr="004F566A">
        <w:rPr>
          <w:vertAlign w:val="superscript"/>
          <w:lang w:val="en-GB"/>
        </w:rPr>
        <w:footnoteReference w:id="184"/>
      </w:r>
      <w:r>
        <w:t>.</w:t>
      </w:r>
    </w:p>
    <w:p w14:paraId="79D7C8C9" w14:textId="1DE7CE54" w:rsidR="006B31F7" w:rsidRPr="004F566A" w:rsidRDefault="00EE613A">
      <w:pPr>
        <w:pStyle w:val="BodyText"/>
        <w:jc w:val="both"/>
      </w:pPr>
      <w:r>
        <w:rPr>
          <w:b/>
        </w:rPr>
        <w:t xml:space="preserve">Остануваат недостатоци во спроведувањето на процесите за инклузивно </w:t>
      </w:r>
      <w:r w:rsidR="000F130C">
        <w:rPr>
          <w:b/>
        </w:rPr>
        <w:t>создавање политики</w:t>
      </w:r>
      <w:r>
        <w:rPr>
          <w:b/>
        </w:rPr>
        <w:t xml:space="preserve"> и </w:t>
      </w:r>
      <w:r w:rsidR="000F130C">
        <w:rPr>
          <w:b/>
        </w:rPr>
        <w:t>создавање политики</w:t>
      </w:r>
      <w:r>
        <w:rPr>
          <w:b/>
        </w:rPr>
        <w:t xml:space="preserve"> засновани на докази. </w:t>
      </w:r>
      <w:r>
        <w:t xml:space="preserve">Воспоставен е национален електронски систем за консултации кој им овозможува на засегнатите страни да учествуваат во јавни консултации, но само ограничен број </w:t>
      </w:r>
      <w:r w:rsidR="000F130C">
        <w:t>предлог</w:t>
      </w:r>
      <w:r>
        <w:t>-закони се објавени на платформата</w:t>
      </w:r>
      <w:r w:rsidRPr="004F566A">
        <w:rPr>
          <w:vertAlign w:val="superscript"/>
          <w:lang w:val="en-GB"/>
        </w:rPr>
        <w:footnoteReference w:id="185"/>
      </w:r>
      <w:r>
        <w:t xml:space="preserve">. Процените на влијанието се законски потребни, но нивното спроведување останува недоследно и со ограничен квалитет. Во 2022 година, 54% од предлог-законите поднесени од Владата до Собранието биле подложени на </w:t>
      </w:r>
      <w:r w:rsidR="000F130C">
        <w:t>пр</w:t>
      </w:r>
      <w:r>
        <w:t>оцена на влијанието, а од нив само 37 % биле објавени на платформата за електронски консултации</w:t>
      </w:r>
      <w:r w:rsidRPr="004F566A">
        <w:rPr>
          <w:vertAlign w:val="superscript"/>
          <w:lang w:val="en-GB"/>
        </w:rPr>
        <w:footnoteReference w:id="186"/>
      </w:r>
      <w:r>
        <w:t>. Засегнатите страни укажаа дека процените на влијанието се вршат како формалност наместо како вистинска евалуација на потенцијалните влијанија, при што напорите за подобрување се фокусирани на буџетското влијание</w:t>
      </w:r>
      <w:r w:rsidRPr="004F566A">
        <w:rPr>
          <w:vertAlign w:val="superscript"/>
          <w:lang w:val="en-GB"/>
        </w:rPr>
        <w:footnoteReference w:id="187"/>
      </w:r>
      <w:r>
        <w:t>. Остануваат недостатоци и во однос на квалитетот на подготовката на законодавството и доследноста во законодавната рамка</w:t>
      </w:r>
      <w:r w:rsidRPr="004F566A">
        <w:rPr>
          <w:vertAlign w:val="superscript"/>
          <w:lang w:val="en-GB"/>
        </w:rPr>
        <w:footnoteReference w:id="188"/>
      </w:r>
      <w:r>
        <w:t>. Високата фреквенција на измени на истите закони доведува до правна несигурност и го попречува нивното спроведување</w:t>
      </w:r>
      <w:r w:rsidRPr="004F566A">
        <w:rPr>
          <w:vertAlign w:val="superscript"/>
          <w:lang w:val="en-GB"/>
        </w:rPr>
        <w:footnoteReference w:id="189"/>
      </w:r>
      <w:r>
        <w:t>.</w:t>
      </w:r>
    </w:p>
    <w:p w14:paraId="663EC19A" w14:textId="2BA34940" w:rsidR="006B31F7" w:rsidRPr="004F566A" w:rsidRDefault="00EE613A">
      <w:pPr>
        <w:pStyle w:val="BodyText"/>
        <w:spacing w:after="240"/>
        <w:jc w:val="both"/>
      </w:pPr>
      <w:r>
        <w:rPr>
          <w:b/>
        </w:rPr>
        <w:t>На 1 јануари 2024 година, Северна Македонија имаше 13 водечки пресуди на Европскиот суд за човекови права во очекување на спроведување</w:t>
      </w:r>
      <w:r w:rsidRPr="00D234A9">
        <w:rPr>
          <w:bCs/>
          <w:vertAlign w:val="superscript"/>
          <w:lang w:val="en-GB"/>
        </w:rPr>
        <w:footnoteReference w:id="190"/>
      </w:r>
      <w:r>
        <w:rPr>
          <w:b/>
        </w:rPr>
        <w:t xml:space="preserve">. </w:t>
      </w:r>
      <w:r>
        <w:t>Во тоа време, стапката на водечки пресуди во Северна Македонија од изминатите десет години што останаа на чекање беше 29 %, а просечното време во кое пресудите чекаа на спроведување беше 3 години и 9 месеци</w:t>
      </w:r>
      <w:r w:rsidRPr="004F566A">
        <w:rPr>
          <w:vertAlign w:val="superscript"/>
          <w:lang w:val="en-GB"/>
        </w:rPr>
        <w:footnoteReference w:id="191"/>
      </w:r>
      <w:r>
        <w:t>. Најстарата водечка пресуда, во очекување на спроведување повеќе од 14 години, се однесува на повреди на правото на слобода на подносителот поради недостаток на конкретни и доволни основи за негов притвор</w:t>
      </w:r>
      <w:r w:rsidRPr="004F566A">
        <w:rPr>
          <w:vertAlign w:val="superscript"/>
          <w:lang w:val="en-GB"/>
        </w:rPr>
        <w:footnoteReference w:id="192"/>
      </w:r>
      <w:r>
        <w:t xml:space="preserve">. Што се однесува до почитувањето на роковите за плаќање, на 31 декември 2023 година имало вкупно 9 случаи кои чекале потврда за плаќањата </w:t>
      </w:r>
      <w:r>
        <w:lastRenderedPageBreak/>
        <w:t>(во споредба со 3 во 2022 година)</w:t>
      </w:r>
      <w:r w:rsidRPr="004F566A">
        <w:rPr>
          <w:vertAlign w:val="superscript"/>
          <w:lang w:val="en-GB"/>
        </w:rPr>
        <w:footnoteReference w:id="193"/>
      </w:r>
      <w:r>
        <w:t>. На 1 јули 2024 година, бројот на водечки пресуди во очекување на спроведување се зголеми на 17</w:t>
      </w:r>
      <w:r w:rsidRPr="004F566A">
        <w:rPr>
          <w:vertAlign w:val="superscript"/>
          <w:lang w:val="en-GB"/>
        </w:rPr>
        <w:footnoteReference w:id="194"/>
      </w:r>
      <w:r>
        <w:t>.</w:t>
      </w:r>
    </w:p>
    <w:p w14:paraId="10961115" w14:textId="6BD3BAE1" w:rsidR="006B31F7" w:rsidRPr="004F566A" w:rsidRDefault="00EE613A">
      <w:pPr>
        <w:pStyle w:val="BodyText"/>
        <w:spacing w:after="240"/>
        <w:jc w:val="both"/>
      </w:pPr>
      <w:r>
        <w:rPr>
          <w:b/>
        </w:rPr>
        <w:t xml:space="preserve">Канцеларијата на Народниот правобранител нема доволно ресурси, а предизвиците за систематско следење на нејзините наоди и препораки остануваат. </w:t>
      </w:r>
      <w:r>
        <w:t>И покрај нејзиниот продолжен мандат</w:t>
      </w:r>
      <w:r w:rsidRPr="004F566A">
        <w:rPr>
          <w:vertAlign w:val="superscript"/>
          <w:lang w:val="en-GB"/>
        </w:rPr>
        <w:footnoteReference w:id="195"/>
      </w:r>
      <w:r>
        <w:t>, Канцеларијата нема финансиски и човечки ресурси за самостојно и ефективно функционирање</w:t>
      </w:r>
      <w:r w:rsidRPr="004F566A">
        <w:rPr>
          <w:vertAlign w:val="superscript"/>
          <w:lang w:val="en-GB"/>
        </w:rPr>
        <w:footnoteReference w:id="196"/>
      </w:r>
      <w:r>
        <w:t>. Буџетот на Канцеларијата на Народниот правобранител го одобрува извршната власт, што беше посочено од Канцеларијата дека има негативно влијание врз нејзината независност. Само четири од десетте предвидени заменици се на функција</w:t>
      </w:r>
      <w:r w:rsidRPr="004F566A">
        <w:rPr>
          <w:vertAlign w:val="superscript"/>
          <w:lang w:val="en-GB"/>
        </w:rPr>
        <w:footnoteReference w:id="197"/>
      </w:r>
      <w:r>
        <w:t>. Канцеларијата имаше недостаток на помошен персонал и не можеше да ги пополни слободните работни места, веројатно како последица на ниските плати</w:t>
      </w:r>
      <w:r w:rsidRPr="004F566A">
        <w:rPr>
          <w:vertAlign w:val="superscript"/>
          <w:lang w:val="en-GB"/>
        </w:rPr>
        <w:footnoteReference w:id="198"/>
      </w:r>
      <w:r>
        <w:t>. Во 2022 година, Канцеларијата постапила по 3</w:t>
      </w:r>
      <w:r w:rsidR="00C07A80">
        <w:t>.</w:t>
      </w:r>
      <w:r>
        <w:t>482 претставки, а упатила 120 предмети до судските органи и сè уште чекала одговор за околу половина од овие случаи</w:t>
      </w:r>
      <w:r w:rsidRPr="004F566A">
        <w:rPr>
          <w:vertAlign w:val="superscript"/>
          <w:lang w:val="en-GB"/>
        </w:rPr>
        <w:footnoteReference w:id="199"/>
      </w:r>
      <w:r>
        <w:t>. И Собранието, и Владата забележаа одложувања во следењето на препораките на Народниот правобранител</w:t>
      </w:r>
      <w:r w:rsidRPr="004F566A">
        <w:rPr>
          <w:vertAlign w:val="superscript"/>
          <w:lang w:val="en-GB"/>
        </w:rPr>
        <w:footnoteReference w:id="200"/>
      </w:r>
      <w:r>
        <w:t>.</w:t>
      </w:r>
    </w:p>
    <w:p w14:paraId="681A07D3" w14:textId="78F6C511" w:rsidR="006A4308" w:rsidRDefault="00EE613A">
      <w:pPr>
        <w:pStyle w:val="BodyText"/>
        <w:spacing w:after="0"/>
        <w:jc w:val="both"/>
      </w:pPr>
      <w:r>
        <w:rPr>
          <w:b/>
        </w:rPr>
        <w:t xml:space="preserve">Граѓанските организации севкупно функционираат во поволна средина, но остануваат предизвиците за да се обезбеди одржлив ангажман на граѓанското општество во </w:t>
      </w:r>
      <w:r w:rsidR="00C07A80">
        <w:rPr>
          <w:b/>
        </w:rPr>
        <w:t>создавањето политики</w:t>
      </w:r>
      <w:r>
        <w:rPr>
          <w:b/>
        </w:rPr>
        <w:t xml:space="preserve">. </w:t>
      </w:r>
      <w:r>
        <w:t>Додека граѓанскиот простор е оценет како „стеснет“</w:t>
      </w:r>
      <w:r w:rsidRPr="004F566A">
        <w:rPr>
          <w:vertAlign w:val="superscript"/>
          <w:lang w:val="en-GB"/>
        </w:rPr>
        <w:footnoteReference w:id="201"/>
      </w:r>
      <w:r>
        <w:t>, граѓанското општество е признаено од државните институции како клучна компонента на демократскиот систем</w:t>
      </w:r>
      <w:r w:rsidRPr="004F566A">
        <w:rPr>
          <w:vertAlign w:val="superscript"/>
          <w:lang w:val="en-GB"/>
        </w:rPr>
        <w:footnoteReference w:id="202"/>
      </w:r>
      <w:r>
        <w:t>, и Стратегија за соработка и развој на граѓанското општество и нејзиниот придружен Акциски план за 2022-2024</w:t>
      </w:r>
      <w:r w:rsidR="00C07A80">
        <w:t xml:space="preserve"> година</w:t>
      </w:r>
      <w:r>
        <w:t xml:space="preserve"> беа донесени за зајакнување на секторот и обезбедување средства за поддршка на вклучувањето на граѓанските организации (ГО) во </w:t>
      </w:r>
      <w:r w:rsidR="00C07A80">
        <w:t>создавањето политики</w:t>
      </w:r>
      <w:r>
        <w:t>. Сепак, остануваат недостатоци во однос на нивното спроведување. Советот за соработка меѓу Владата и граѓанското општество</w:t>
      </w:r>
      <w:r w:rsidRPr="004F566A">
        <w:rPr>
          <w:vertAlign w:val="superscript"/>
          <w:lang w:val="en-GB"/>
        </w:rPr>
        <w:footnoteReference w:id="203"/>
      </w:r>
      <w:r>
        <w:t xml:space="preserve">, кој е примарен структурен </w:t>
      </w:r>
      <w:r>
        <w:lastRenderedPageBreak/>
        <w:t>канал за консултации и вклучување на граѓанското општество во дијалогот за политиките и донесувањето одлуки</w:t>
      </w:r>
      <w:r w:rsidRPr="004F566A">
        <w:rPr>
          <w:vertAlign w:val="superscript"/>
          <w:lang w:val="en-GB"/>
        </w:rPr>
        <w:footnoteReference w:id="204"/>
      </w:r>
      <w:r>
        <w:t>, се состана четири пати во 2022 година, но неговиот состав сè уште е нецелосен, бидејќи граѓанските организации ја бојкотираат работата на Советот од март 2022 година</w:t>
      </w:r>
      <w:r w:rsidRPr="004F566A">
        <w:rPr>
          <w:vertAlign w:val="superscript"/>
          <w:lang w:val="en-GB"/>
        </w:rPr>
        <w:footnoteReference w:id="205"/>
      </w:r>
      <w:r>
        <w:t>. Нивното одбивање да учествуваат произлегува од владината одлука за префрлање на надлежностите за распределба на средства за ГО од Генералниот секретаријат на Министерството за политички систем и односи меѓу заедниците, што значеше намалување на финансирањето на граѓанските организации кои се надвор од мандатот на ова министерство. Граѓанските организации го критикуваат недостатокот на транспарентност во одлуката на Владата и сметаат дека не е во согласност со целта на стратегијата да се зголеми поддршката и да се обезбеди јасен и објективен механизам за доделување јавни средства на ГО</w:t>
      </w:r>
      <w:r w:rsidRPr="004F566A">
        <w:rPr>
          <w:vertAlign w:val="superscript"/>
          <w:lang w:val="en-GB"/>
        </w:rPr>
        <w:footnoteReference w:id="206"/>
      </w:r>
      <w:r>
        <w:t>.</w:t>
      </w:r>
    </w:p>
    <w:p w14:paraId="700EAD50" w14:textId="77777777" w:rsidR="006A4308" w:rsidRDefault="006A4308">
      <w:pPr>
        <w:rPr>
          <w:rFonts w:ascii="Times New Roman" w:eastAsia="Times New Roman" w:hAnsi="Times New Roman" w:cs="Times New Roman"/>
        </w:rPr>
      </w:pPr>
      <w:r>
        <w:br w:type="page"/>
      </w:r>
    </w:p>
    <w:p w14:paraId="58BCF805" w14:textId="77777777" w:rsidR="006A4308" w:rsidRPr="00B11E7B" w:rsidRDefault="006A4308" w:rsidP="00B11E7B">
      <w:pPr>
        <w:pStyle w:val="Heading1"/>
        <w:jc w:val="both"/>
        <w:rPr>
          <w:sz w:val="22"/>
          <w:szCs w:val="22"/>
        </w:rPr>
      </w:pPr>
      <w:r w:rsidRPr="00B11E7B">
        <w:rPr>
          <w:sz w:val="22"/>
          <w:szCs w:val="22"/>
        </w:rPr>
        <w:lastRenderedPageBreak/>
        <w:t>Анекс I: Список на извори по азбучен ред*</w:t>
      </w:r>
    </w:p>
    <w:p w14:paraId="6483C908" w14:textId="1DB1F5C7" w:rsidR="006A4308" w:rsidRPr="00B11E7B" w:rsidRDefault="006A4308" w:rsidP="00B11E7B">
      <w:pPr>
        <w:spacing w:before="147"/>
        <w:ind w:left="980" w:right="976"/>
        <w:jc w:val="both"/>
        <w:rPr>
          <w:rFonts w:ascii="Times New Roman" w:hAnsi="Times New Roman" w:cs="Times New Roman"/>
          <w:i/>
          <w:sz w:val="22"/>
          <w:szCs w:val="22"/>
        </w:rPr>
      </w:pPr>
      <w:r w:rsidRPr="00B11E7B">
        <w:rPr>
          <w:rFonts w:ascii="Times New Roman" w:hAnsi="Times New Roman" w:cs="Times New Roman"/>
          <w:i/>
          <w:sz w:val="22"/>
          <w:szCs w:val="22"/>
        </w:rPr>
        <w:t xml:space="preserve">* Списокот на придонеси добиени во контекст на консултациите за извештајот за владеењето на правото за 2024 година може да се најде на </w:t>
      </w:r>
      <w:hyperlink r:id="rId12">
        <w:r w:rsidRPr="00B11E7B">
          <w:rPr>
            <w:rFonts w:ascii="Times New Roman" w:hAnsi="Times New Roman" w:cs="Times New Roman"/>
            <w:i/>
            <w:color w:val="0462C1"/>
            <w:sz w:val="22"/>
            <w:szCs w:val="22"/>
            <w:u w:val="single" w:color="0462C1"/>
          </w:rPr>
          <w:t>https://commission.europa.eu/publications/2024-rule-law-report-targeted-</w:t>
        </w:r>
      </w:hyperlink>
      <w:hyperlink r:id="rId13">
        <w:r w:rsidRPr="00B11E7B">
          <w:rPr>
            <w:rFonts w:ascii="Times New Roman" w:hAnsi="Times New Roman" w:cs="Times New Roman"/>
            <w:i/>
            <w:color w:val="0462C1"/>
            <w:sz w:val="22"/>
            <w:szCs w:val="22"/>
            <w:u w:val="single" w:color="0462C1"/>
          </w:rPr>
          <w:t>stakeholder-consultation_en</w:t>
        </w:r>
        <w:r w:rsidRPr="00B11E7B">
          <w:rPr>
            <w:rFonts w:ascii="Times New Roman" w:hAnsi="Times New Roman" w:cs="Times New Roman"/>
            <w:i/>
            <w:sz w:val="22"/>
            <w:szCs w:val="22"/>
          </w:rPr>
          <w:t>.</w:t>
        </w:r>
      </w:hyperlink>
    </w:p>
    <w:p w14:paraId="2EC4235B" w14:textId="77777777" w:rsidR="006A4308" w:rsidRPr="00B11E7B" w:rsidRDefault="006A4308" w:rsidP="00B11E7B">
      <w:pPr>
        <w:spacing w:before="122" w:line="242" w:lineRule="auto"/>
        <w:ind w:left="980" w:right="972"/>
        <w:jc w:val="both"/>
        <w:rPr>
          <w:rFonts w:ascii="Times New Roman" w:hAnsi="Times New Roman" w:cs="Times New Roman"/>
          <w:sz w:val="22"/>
          <w:szCs w:val="22"/>
        </w:rPr>
      </w:pPr>
      <w:r w:rsidRPr="00B11E7B">
        <w:rPr>
          <w:rFonts w:ascii="Times New Roman" w:hAnsi="Times New Roman" w:cs="Times New Roman"/>
          <w:i/>
          <w:iCs/>
          <w:sz w:val="22"/>
          <w:szCs w:val="22"/>
        </w:rPr>
        <w:t>Здружение на новинари на Македонија</w:t>
      </w:r>
      <w:r w:rsidRPr="00B11E7B">
        <w:rPr>
          <w:rFonts w:ascii="Times New Roman" w:hAnsi="Times New Roman" w:cs="Times New Roman"/>
          <w:sz w:val="22"/>
          <w:szCs w:val="22"/>
        </w:rPr>
        <w:t xml:space="preserve"> (2023), </w:t>
      </w:r>
      <w:r w:rsidRPr="00B11E7B">
        <w:rPr>
          <w:rFonts w:ascii="Times New Roman" w:hAnsi="Times New Roman" w:cs="Times New Roman"/>
          <w:i/>
          <w:sz w:val="22"/>
          <w:szCs w:val="22"/>
        </w:rPr>
        <w:t>Слобода на медиумите во Северна Македонија: Напредок на стаклени нозе…</w:t>
      </w:r>
      <w:r w:rsidRPr="00B11E7B">
        <w:rPr>
          <w:rFonts w:ascii="Times New Roman" w:hAnsi="Times New Roman" w:cs="Times New Roman"/>
          <w:sz w:val="22"/>
          <w:szCs w:val="22"/>
        </w:rPr>
        <w:t xml:space="preserve">, </w:t>
      </w:r>
      <w:hyperlink r:id="rId14">
        <w:r w:rsidRPr="00B11E7B">
          <w:rPr>
            <w:rFonts w:ascii="Times New Roman" w:hAnsi="Times New Roman" w:cs="Times New Roman"/>
            <w:color w:val="0000FF"/>
            <w:sz w:val="22"/>
            <w:szCs w:val="22"/>
            <w:u w:val="single" w:color="0000FF"/>
          </w:rPr>
          <w:t>https://ipi.media/wp-content/uploads/2023/10/EN-Fact-Finding-PFM-Report-251023-</w:t>
        </w:r>
      </w:hyperlink>
      <w:r w:rsidRPr="00B11E7B">
        <w:rPr>
          <w:rFonts w:ascii="Times New Roman" w:hAnsi="Times New Roman" w:cs="Times New Roman"/>
          <w:color w:val="0000FF"/>
          <w:sz w:val="22"/>
          <w:szCs w:val="22"/>
        </w:rPr>
        <w:t xml:space="preserve"> </w:t>
      </w:r>
      <w:hyperlink r:id="rId15">
        <w:r w:rsidRPr="00B11E7B">
          <w:rPr>
            <w:rFonts w:ascii="Times New Roman" w:hAnsi="Times New Roman" w:cs="Times New Roman"/>
            <w:color w:val="0000FF"/>
            <w:sz w:val="22"/>
            <w:szCs w:val="22"/>
            <w:u w:val="single" w:color="0000FF"/>
          </w:rPr>
          <w:t>web-1.pdf</w:t>
        </w:r>
        <w:r w:rsidRPr="00B11E7B">
          <w:rPr>
            <w:rFonts w:ascii="Times New Roman" w:hAnsi="Times New Roman" w:cs="Times New Roman"/>
            <w:sz w:val="22"/>
            <w:szCs w:val="22"/>
          </w:rPr>
          <w:t>.</w:t>
        </w:r>
      </w:hyperlink>
    </w:p>
    <w:p w14:paraId="358D1FAB" w14:textId="41D1B800" w:rsidR="006A4308" w:rsidRPr="00B11E7B" w:rsidRDefault="006A4308" w:rsidP="00B11E7B">
      <w:pPr>
        <w:spacing w:before="111" w:line="242" w:lineRule="auto"/>
        <w:ind w:left="980" w:right="974"/>
        <w:jc w:val="both"/>
        <w:rPr>
          <w:rFonts w:ascii="Times New Roman" w:hAnsi="Times New Roman" w:cs="Times New Roman"/>
          <w:sz w:val="22"/>
          <w:szCs w:val="22"/>
        </w:rPr>
      </w:pPr>
      <w:r w:rsidRPr="00B11E7B">
        <w:rPr>
          <w:rFonts w:ascii="Times New Roman" w:hAnsi="Times New Roman" w:cs="Times New Roman"/>
          <w:i/>
          <w:iCs/>
          <w:sz w:val="22"/>
          <w:szCs w:val="22"/>
        </w:rPr>
        <w:t>Здружение на новинари на Македонија (2023), Како да се осигури поефикасна заштита од стратешки тужби против јавното дејствување (СЛАПП)?</w:t>
      </w:r>
      <w:r w:rsidRPr="00B11E7B">
        <w:rPr>
          <w:rFonts w:ascii="Times New Roman" w:hAnsi="Times New Roman" w:cs="Times New Roman"/>
          <w:sz w:val="22"/>
          <w:szCs w:val="22"/>
        </w:rPr>
        <w:t xml:space="preserve">, </w:t>
      </w:r>
      <w:hyperlink r:id="rId16">
        <w:r w:rsidRPr="00B11E7B">
          <w:rPr>
            <w:rFonts w:ascii="Times New Roman" w:hAnsi="Times New Roman" w:cs="Times New Roman"/>
            <w:color w:val="0000FF"/>
            <w:sz w:val="22"/>
            <w:szCs w:val="22"/>
            <w:u w:val="single" w:color="0000FF"/>
          </w:rPr>
          <w:t>https://znm.org.mk/wp-</w:t>
        </w:r>
      </w:hyperlink>
      <w:hyperlink r:id="rId17">
        <w:r w:rsidRPr="00B11E7B">
          <w:rPr>
            <w:rFonts w:ascii="Times New Roman" w:hAnsi="Times New Roman" w:cs="Times New Roman"/>
            <w:color w:val="0000FF"/>
            <w:sz w:val="22"/>
            <w:szCs w:val="22"/>
            <w:u w:val="single" w:color="0000FF"/>
          </w:rPr>
          <w:t>content/uploads/2024/02/ENG_Analiza-SLAPP-02-12-1.pdf</w:t>
        </w:r>
        <w:r w:rsidRPr="00B11E7B">
          <w:rPr>
            <w:rFonts w:ascii="Times New Roman" w:hAnsi="Times New Roman" w:cs="Times New Roman"/>
            <w:sz w:val="22"/>
            <w:szCs w:val="22"/>
          </w:rPr>
          <w:t>.</w:t>
        </w:r>
      </w:hyperlink>
    </w:p>
    <w:p w14:paraId="0204B326" w14:textId="77777777" w:rsidR="006A4308" w:rsidRPr="00B11E7B" w:rsidRDefault="006A4308" w:rsidP="00B11E7B">
      <w:pPr>
        <w:spacing w:before="112"/>
        <w:ind w:left="980" w:right="977"/>
        <w:jc w:val="both"/>
        <w:rPr>
          <w:rFonts w:ascii="Times New Roman" w:hAnsi="Times New Roman" w:cs="Times New Roman"/>
          <w:sz w:val="22"/>
          <w:szCs w:val="22"/>
        </w:rPr>
      </w:pPr>
      <w:r w:rsidRPr="00B11E7B">
        <w:rPr>
          <w:rFonts w:ascii="Times New Roman" w:hAnsi="Times New Roman" w:cs="Times New Roman"/>
          <w:sz w:val="22"/>
          <w:szCs w:val="22"/>
        </w:rPr>
        <w:t xml:space="preserve">Здружение на судии (2024), Соопштение за медиумите 7.3.2024 година, Соопштение за медиумите, </w:t>
      </w:r>
      <w:r w:rsidRPr="00B11E7B">
        <w:rPr>
          <w:rFonts w:ascii="Times New Roman" w:hAnsi="Times New Roman" w:cs="Times New Roman"/>
          <w:i/>
          <w:sz w:val="22"/>
          <w:szCs w:val="22"/>
        </w:rPr>
        <w:t>Иницијатива за оценување на уставноста и законитоста</w:t>
      </w:r>
      <w:r w:rsidRPr="00B11E7B">
        <w:rPr>
          <w:rFonts w:ascii="Times New Roman" w:hAnsi="Times New Roman" w:cs="Times New Roman"/>
          <w:sz w:val="22"/>
          <w:szCs w:val="22"/>
        </w:rPr>
        <w:t xml:space="preserve">, </w:t>
      </w:r>
      <w:hyperlink r:id="rId18">
        <w:r w:rsidRPr="00B11E7B">
          <w:rPr>
            <w:rFonts w:ascii="Times New Roman" w:hAnsi="Times New Roman" w:cs="Times New Roman"/>
            <w:color w:val="0000FF"/>
            <w:sz w:val="22"/>
            <w:szCs w:val="22"/>
            <w:u w:val="single" w:color="0000FF"/>
          </w:rPr>
          <w:t>Здружение на судии на Македонија (mja.org.mk)</w:t>
        </w:r>
      </w:hyperlink>
      <w:r w:rsidRPr="00B11E7B">
        <w:rPr>
          <w:rFonts w:ascii="Times New Roman" w:hAnsi="Times New Roman" w:cs="Times New Roman"/>
          <w:color w:val="0000FF"/>
          <w:sz w:val="22"/>
          <w:szCs w:val="22"/>
        </w:rPr>
        <w:t xml:space="preserve"> </w:t>
      </w:r>
      <w:r w:rsidRPr="00B11E7B">
        <w:rPr>
          <w:rFonts w:ascii="Times New Roman" w:hAnsi="Times New Roman" w:cs="Times New Roman"/>
          <w:sz w:val="22"/>
          <w:szCs w:val="22"/>
        </w:rPr>
        <w:t>.</w:t>
      </w:r>
    </w:p>
    <w:p w14:paraId="09596BFC" w14:textId="5709C4B1" w:rsidR="006A4308" w:rsidRPr="00B11E7B" w:rsidRDefault="006A4308" w:rsidP="00B11E7B">
      <w:pPr>
        <w:tabs>
          <w:tab w:val="left" w:pos="993"/>
        </w:tabs>
        <w:spacing w:before="120"/>
        <w:ind w:left="980" w:right="974"/>
        <w:jc w:val="both"/>
        <w:rPr>
          <w:rFonts w:ascii="Times New Roman" w:hAnsi="Times New Roman" w:cs="Times New Roman"/>
          <w:sz w:val="22"/>
          <w:szCs w:val="22"/>
        </w:rPr>
      </w:pPr>
      <w:r w:rsidRPr="00B11E7B">
        <w:rPr>
          <w:rFonts w:ascii="Times New Roman" w:hAnsi="Times New Roman" w:cs="Times New Roman"/>
          <w:sz w:val="22"/>
          <w:szCs w:val="22"/>
        </w:rPr>
        <w:t xml:space="preserve">Balkan Insight, (2023), </w:t>
      </w:r>
      <w:r w:rsidRPr="00B11E7B">
        <w:rPr>
          <w:rFonts w:ascii="Times New Roman" w:hAnsi="Times New Roman" w:cs="Times New Roman"/>
          <w:i/>
          <w:iCs/>
          <w:sz w:val="22"/>
          <w:szCs w:val="22"/>
        </w:rPr>
        <w:t>„Партиски игри“?</w:t>
      </w:r>
      <w:r w:rsidRPr="00B11E7B">
        <w:rPr>
          <w:rFonts w:ascii="Times New Roman" w:hAnsi="Times New Roman" w:cs="Times New Roman"/>
          <w:i/>
          <w:sz w:val="22"/>
          <w:szCs w:val="22"/>
        </w:rPr>
        <w:t xml:space="preserve"> </w:t>
      </w:r>
      <w:r w:rsidRPr="00B11E7B">
        <w:rPr>
          <w:rFonts w:ascii="Times New Roman" w:hAnsi="Times New Roman" w:cs="Times New Roman"/>
          <w:i/>
          <w:iCs/>
          <w:sz w:val="22"/>
          <w:szCs w:val="22"/>
        </w:rPr>
        <w:t>Во Северна Македонија, унапредувањата на судиите зависат од „врските“</w:t>
      </w:r>
      <w:r w:rsidRPr="00B11E7B">
        <w:rPr>
          <w:rFonts w:ascii="Times New Roman" w:hAnsi="Times New Roman" w:cs="Times New Roman"/>
          <w:sz w:val="22"/>
          <w:szCs w:val="22"/>
        </w:rPr>
        <w:t>,</w:t>
      </w:r>
      <w:r w:rsidRPr="00B11E7B">
        <w:rPr>
          <w:rFonts w:ascii="Times New Roman" w:hAnsi="Times New Roman" w:cs="Times New Roman"/>
          <w:sz w:val="22"/>
          <w:szCs w:val="22"/>
        </w:rPr>
        <w:tab/>
      </w:r>
      <w:hyperlink r:id="rId19">
        <w:r w:rsidRPr="00B11E7B">
          <w:rPr>
            <w:rFonts w:ascii="Times New Roman" w:hAnsi="Times New Roman" w:cs="Times New Roman"/>
            <w:color w:val="0000FF"/>
            <w:sz w:val="22"/>
            <w:szCs w:val="22"/>
            <w:u w:val="single" w:color="0000FF"/>
          </w:rPr>
          <w:t>https://balkaninsight.com/2023/07/05/party-games-in-north-macedonia-judges-</w:t>
        </w:r>
      </w:hyperlink>
      <w:hyperlink r:id="rId20">
        <w:r w:rsidRPr="00B11E7B">
          <w:rPr>
            <w:rFonts w:ascii="Times New Roman" w:hAnsi="Times New Roman" w:cs="Times New Roman"/>
            <w:color w:val="0000FF"/>
            <w:sz w:val="22"/>
            <w:szCs w:val="22"/>
            <w:u w:val="single" w:color="0000FF"/>
          </w:rPr>
          <w:t>promotions-depend-on-connections/</w:t>
        </w:r>
      </w:hyperlink>
      <w:r w:rsidRPr="00B11E7B">
        <w:rPr>
          <w:rFonts w:ascii="Times New Roman" w:hAnsi="Times New Roman" w:cs="Times New Roman"/>
          <w:sz w:val="22"/>
          <w:szCs w:val="22"/>
        </w:rPr>
        <w:t>.</w:t>
      </w:r>
    </w:p>
    <w:p w14:paraId="46905859" w14:textId="2DF3271F" w:rsidR="006A4308" w:rsidRPr="00B11E7B" w:rsidRDefault="006A4308" w:rsidP="00B11E7B">
      <w:pPr>
        <w:pStyle w:val="Heading2"/>
        <w:spacing w:before="122"/>
        <w:ind w:right="973"/>
        <w:rPr>
          <w:i/>
        </w:rPr>
      </w:pPr>
      <w:r w:rsidRPr="00B11E7B">
        <w:t>Центар за медиумски плурализам и слобода на медиумите (2024), Монитор на Медиумскиот Плурализам, Извештај за Северна Македонија.</w:t>
      </w:r>
    </w:p>
    <w:p w14:paraId="2A9A28D6" w14:textId="70DE3AB5" w:rsidR="006A4308" w:rsidRPr="00B11E7B" w:rsidRDefault="006A4308" w:rsidP="00B11E7B">
      <w:pPr>
        <w:tabs>
          <w:tab w:val="left" w:pos="2335"/>
          <w:tab w:val="left" w:pos="4092"/>
          <w:tab w:val="left" w:pos="5459"/>
          <w:tab w:val="left" w:pos="6990"/>
          <w:tab w:val="left" w:pos="8003"/>
          <w:tab w:val="left" w:pos="9514"/>
        </w:tabs>
        <w:spacing w:before="118" w:line="242" w:lineRule="auto"/>
        <w:ind w:left="980" w:right="975"/>
        <w:jc w:val="both"/>
        <w:rPr>
          <w:rFonts w:ascii="Times New Roman" w:hAnsi="Times New Roman" w:cs="Times New Roman"/>
          <w:sz w:val="22"/>
          <w:szCs w:val="22"/>
        </w:rPr>
      </w:pPr>
      <w:r w:rsidRPr="00B11E7B">
        <w:rPr>
          <w:rFonts w:ascii="Times New Roman" w:hAnsi="Times New Roman" w:cs="Times New Roman"/>
          <w:sz w:val="22"/>
          <w:szCs w:val="22"/>
        </w:rPr>
        <w:t xml:space="preserve">CEPEJ (2023), </w:t>
      </w:r>
      <w:r w:rsidRPr="00B11E7B">
        <w:rPr>
          <w:rFonts w:ascii="Times New Roman" w:hAnsi="Times New Roman" w:cs="Times New Roman"/>
          <w:i/>
          <w:iCs/>
          <w:sz w:val="22"/>
          <w:szCs w:val="22"/>
        </w:rPr>
        <w:t>Кон подобра евалуација на резултатите од напорите за судски реформи во Западен Балкан „Контролна табла Западен Балкан“</w:t>
      </w:r>
      <w:r w:rsidRPr="00B11E7B">
        <w:rPr>
          <w:rFonts w:ascii="Times New Roman" w:hAnsi="Times New Roman" w:cs="Times New Roman"/>
          <w:sz w:val="22"/>
          <w:szCs w:val="22"/>
        </w:rPr>
        <w:t xml:space="preserve">, собирање податоци </w:t>
      </w:r>
      <w:r w:rsidRPr="00B11E7B">
        <w:rPr>
          <w:rFonts w:ascii="Times New Roman" w:hAnsi="Times New Roman" w:cs="Times New Roman"/>
          <w:i/>
          <w:iCs/>
          <w:sz w:val="22"/>
          <w:szCs w:val="22"/>
        </w:rPr>
        <w:t xml:space="preserve">за </w:t>
      </w:r>
      <w:r w:rsidRPr="00B11E7B">
        <w:rPr>
          <w:rFonts w:ascii="Times New Roman" w:hAnsi="Times New Roman" w:cs="Times New Roman"/>
          <w:sz w:val="22"/>
          <w:szCs w:val="22"/>
        </w:rPr>
        <w:t xml:space="preserve">2022 година, </w:t>
      </w:r>
      <w:hyperlink r:id="rId21">
        <w:r w:rsidRPr="00B11E7B">
          <w:rPr>
            <w:rFonts w:ascii="Times New Roman" w:hAnsi="Times New Roman" w:cs="Times New Roman"/>
            <w:color w:val="0000FF"/>
            <w:sz w:val="22"/>
            <w:szCs w:val="22"/>
            <w:u w:val="single" w:color="0000FF"/>
          </w:rPr>
          <w:t>https://www.coe.int/en/web/cepej/towards-a-better-evaluation-of-the-results-of-judicial-reforms-in-</w:t>
        </w:r>
      </w:hyperlink>
      <w:hyperlink r:id="rId22">
        <w:r w:rsidRPr="00B11E7B">
          <w:rPr>
            <w:rFonts w:ascii="Times New Roman" w:hAnsi="Times New Roman" w:cs="Times New Roman"/>
            <w:color w:val="0000FF"/>
            <w:sz w:val="22"/>
            <w:szCs w:val="22"/>
            <w:u w:val="single" w:color="0000FF"/>
          </w:rPr>
          <w:t>the-western-balkans-dashboard-western-balkans-</w:t>
        </w:r>
        <w:r w:rsidRPr="00B11E7B">
          <w:rPr>
            <w:rFonts w:ascii="Times New Roman" w:hAnsi="Times New Roman" w:cs="Times New Roman"/>
            <w:sz w:val="22"/>
            <w:szCs w:val="22"/>
          </w:rPr>
          <w:t>.</w:t>
        </w:r>
      </w:hyperlink>
    </w:p>
    <w:p w14:paraId="771D747A" w14:textId="77777777" w:rsidR="006A4308" w:rsidRPr="00B11E7B" w:rsidRDefault="006A4308" w:rsidP="00B11E7B">
      <w:pPr>
        <w:pStyle w:val="Heading3"/>
        <w:ind w:right="982"/>
      </w:pPr>
      <w:r w:rsidRPr="00B11E7B">
        <w:rPr>
          <w:i w:val="0"/>
        </w:rPr>
        <w:t>CEPEJ (2008</w:t>
      </w:r>
      <w:r w:rsidRPr="00B11E7B">
        <w:t>), Список за проверка за унапредување на квалитетот на правдата и судовите донесен од CEPEJ на неговиот 11-ти пленарен состанок (Стразбур, 2-3 јули 2008 година).</w:t>
      </w:r>
    </w:p>
    <w:p w14:paraId="400A6B40" w14:textId="77777777" w:rsidR="006A4308" w:rsidRPr="00B11E7B" w:rsidRDefault="006A4308" w:rsidP="00B11E7B">
      <w:pPr>
        <w:spacing w:before="121"/>
        <w:ind w:left="980" w:right="977"/>
        <w:jc w:val="both"/>
        <w:rPr>
          <w:rFonts w:ascii="Times New Roman" w:hAnsi="Times New Roman" w:cs="Times New Roman"/>
          <w:sz w:val="22"/>
          <w:szCs w:val="22"/>
        </w:rPr>
      </w:pPr>
      <w:r w:rsidRPr="00B11E7B">
        <w:rPr>
          <w:rFonts w:ascii="Times New Roman" w:hAnsi="Times New Roman" w:cs="Times New Roman"/>
          <w:sz w:val="22"/>
          <w:szCs w:val="22"/>
        </w:rPr>
        <w:t xml:space="preserve">Здружение на граѓани Институт за човекови права, Скопје (2023), </w:t>
      </w:r>
      <w:r w:rsidRPr="00B11E7B">
        <w:rPr>
          <w:rFonts w:ascii="Times New Roman" w:hAnsi="Times New Roman" w:cs="Times New Roman"/>
          <w:i/>
          <w:iCs/>
          <w:sz w:val="22"/>
          <w:szCs w:val="22"/>
        </w:rPr>
        <w:t>Извештај од мониторингот за работата на Судскиот совет јануари-јули 2023 година</w:t>
      </w:r>
      <w:r w:rsidRPr="00B11E7B">
        <w:rPr>
          <w:rFonts w:ascii="Times New Roman" w:hAnsi="Times New Roman" w:cs="Times New Roman"/>
          <w:sz w:val="22"/>
          <w:szCs w:val="22"/>
        </w:rPr>
        <w:t xml:space="preserve">, </w:t>
      </w:r>
      <w:hyperlink r:id="rId23">
        <w:r w:rsidRPr="00B11E7B">
          <w:rPr>
            <w:rFonts w:ascii="Times New Roman" w:hAnsi="Times New Roman" w:cs="Times New Roman"/>
            <w:color w:val="0000FF"/>
            <w:sz w:val="22"/>
            <w:szCs w:val="22"/>
            <w:u w:val="single" w:color="0000FF"/>
          </w:rPr>
          <w:t>EN_Izveshtaj_Sudski-Sovet_Jan-Juli-2023.pdf (ihr.org.mk)</w:t>
        </w:r>
      </w:hyperlink>
      <w:r w:rsidRPr="00B11E7B">
        <w:rPr>
          <w:rFonts w:ascii="Times New Roman" w:hAnsi="Times New Roman" w:cs="Times New Roman"/>
          <w:sz w:val="22"/>
          <w:szCs w:val="22"/>
        </w:rPr>
        <w:t>.</w:t>
      </w:r>
    </w:p>
    <w:p w14:paraId="6AC144B3" w14:textId="77777777" w:rsidR="006A4308" w:rsidRPr="00B11E7B" w:rsidRDefault="006A4308" w:rsidP="00B11E7B">
      <w:pPr>
        <w:spacing w:before="120"/>
        <w:ind w:left="980" w:right="974"/>
        <w:jc w:val="both"/>
        <w:rPr>
          <w:rFonts w:ascii="Times New Roman" w:hAnsi="Times New Roman" w:cs="Times New Roman"/>
          <w:sz w:val="22"/>
          <w:szCs w:val="22"/>
        </w:rPr>
      </w:pPr>
      <w:r w:rsidRPr="00B11E7B">
        <w:rPr>
          <w:rFonts w:ascii="Times New Roman" w:hAnsi="Times New Roman" w:cs="Times New Roman"/>
          <w:sz w:val="22"/>
          <w:szCs w:val="22"/>
        </w:rPr>
        <w:t xml:space="preserve">Здружение на граѓани Институт за човекови права, Скопје (2023), </w:t>
      </w:r>
      <w:r w:rsidRPr="00B11E7B">
        <w:rPr>
          <w:rFonts w:ascii="Times New Roman" w:hAnsi="Times New Roman" w:cs="Times New Roman"/>
          <w:i/>
          <w:iCs/>
          <w:sz w:val="22"/>
          <w:szCs w:val="22"/>
        </w:rPr>
        <w:t>Извештај од мониторингот за работата на Судскиот совет август-декември 2023 година</w:t>
      </w:r>
      <w:r w:rsidRPr="00B11E7B">
        <w:rPr>
          <w:rFonts w:ascii="Times New Roman" w:hAnsi="Times New Roman" w:cs="Times New Roman"/>
          <w:sz w:val="22"/>
          <w:szCs w:val="22"/>
        </w:rPr>
        <w:t xml:space="preserve">, </w:t>
      </w:r>
      <w:hyperlink r:id="rId24">
        <w:r w:rsidRPr="00B11E7B">
          <w:rPr>
            <w:rFonts w:ascii="Times New Roman" w:hAnsi="Times New Roman" w:cs="Times New Roman"/>
            <w:color w:val="0000FF"/>
            <w:sz w:val="22"/>
            <w:szCs w:val="22"/>
            <w:u w:val="single" w:color="0000FF"/>
          </w:rPr>
          <w:t>EН-Извештај_Судски-Совет_авг-дек-2023.pdf</w:t>
        </w:r>
      </w:hyperlink>
      <w:r w:rsidRPr="00B11E7B">
        <w:rPr>
          <w:rFonts w:ascii="Times New Roman" w:hAnsi="Times New Roman" w:cs="Times New Roman"/>
          <w:color w:val="0000FF"/>
          <w:sz w:val="22"/>
          <w:szCs w:val="22"/>
        </w:rPr>
        <w:t xml:space="preserve"> </w:t>
      </w:r>
      <w:hyperlink r:id="rId25">
        <w:r w:rsidRPr="00B11E7B">
          <w:rPr>
            <w:rFonts w:ascii="Times New Roman" w:hAnsi="Times New Roman" w:cs="Times New Roman"/>
            <w:color w:val="0000FF"/>
            <w:sz w:val="22"/>
            <w:szCs w:val="22"/>
            <w:u w:val="single" w:color="0000FF"/>
          </w:rPr>
          <w:t>(ihr.org.mk)</w:t>
        </w:r>
        <w:r w:rsidRPr="00B11E7B">
          <w:rPr>
            <w:rFonts w:ascii="Times New Roman" w:hAnsi="Times New Roman" w:cs="Times New Roman"/>
            <w:sz w:val="22"/>
            <w:szCs w:val="22"/>
          </w:rPr>
          <w:t>.</w:t>
        </w:r>
      </w:hyperlink>
    </w:p>
    <w:p w14:paraId="137567B0" w14:textId="77777777" w:rsidR="006A4308" w:rsidRPr="00B11E7B" w:rsidRDefault="006A4308" w:rsidP="00B11E7B">
      <w:pPr>
        <w:spacing w:before="120"/>
        <w:ind w:left="980" w:right="975"/>
        <w:jc w:val="both"/>
        <w:rPr>
          <w:rFonts w:ascii="Times New Roman" w:hAnsi="Times New Roman" w:cs="Times New Roman"/>
          <w:sz w:val="22"/>
          <w:szCs w:val="22"/>
        </w:rPr>
      </w:pPr>
      <w:r w:rsidRPr="00B11E7B">
        <w:rPr>
          <w:rFonts w:ascii="Times New Roman" w:hAnsi="Times New Roman" w:cs="Times New Roman"/>
          <w:sz w:val="22"/>
          <w:szCs w:val="22"/>
        </w:rPr>
        <w:t xml:space="preserve">Цивикус (2023), Надзор за следење на граѓанскиот простор - Северна Македонија, </w:t>
      </w:r>
      <w:hyperlink r:id="rId26">
        <w:r w:rsidRPr="00B11E7B">
          <w:rPr>
            <w:rFonts w:ascii="Times New Roman" w:hAnsi="Times New Roman" w:cs="Times New Roman"/>
            <w:color w:val="0000FF"/>
            <w:sz w:val="22"/>
            <w:szCs w:val="22"/>
            <w:u w:val="single" w:color="0000FF"/>
          </w:rPr>
          <w:t>https://monitor.civicus.org/country/macedonia/</w:t>
        </w:r>
        <w:r w:rsidRPr="00B11E7B">
          <w:rPr>
            <w:rFonts w:ascii="Times New Roman" w:hAnsi="Times New Roman" w:cs="Times New Roman"/>
            <w:sz w:val="22"/>
            <w:szCs w:val="22"/>
          </w:rPr>
          <w:t>.</w:t>
        </w:r>
      </w:hyperlink>
    </w:p>
    <w:p w14:paraId="1A178A8E" w14:textId="77777777" w:rsidR="006A4308" w:rsidRPr="00B11E7B" w:rsidRDefault="006A4308" w:rsidP="00B11E7B">
      <w:pPr>
        <w:spacing w:before="120"/>
        <w:ind w:left="980" w:right="975"/>
        <w:jc w:val="both"/>
        <w:rPr>
          <w:rFonts w:ascii="Times New Roman" w:hAnsi="Times New Roman" w:cs="Times New Roman"/>
          <w:sz w:val="22"/>
          <w:szCs w:val="22"/>
        </w:rPr>
      </w:pPr>
      <w:r w:rsidRPr="00B11E7B">
        <w:rPr>
          <w:rFonts w:ascii="Times New Roman" w:hAnsi="Times New Roman" w:cs="Times New Roman"/>
          <w:sz w:val="22"/>
          <w:szCs w:val="22"/>
        </w:rPr>
        <w:t xml:space="preserve">Коалиција на здруженија на граѓани „Сите за правично судење“ – Скопје (2024), </w:t>
      </w:r>
      <w:r w:rsidRPr="00B11E7B">
        <w:rPr>
          <w:rFonts w:ascii="Times New Roman" w:hAnsi="Times New Roman" w:cs="Times New Roman"/>
          <w:i/>
          <w:iCs/>
          <w:sz w:val="22"/>
          <w:szCs w:val="22"/>
        </w:rPr>
        <w:t>Извештај од мониторингот на Судскиот совет и Советот на јавни обвинители во 2023 година</w:t>
      </w:r>
      <w:r w:rsidRPr="00B11E7B">
        <w:rPr>
          <w:rFonts w:ascii="Times New Roman" w:hAnsi="Times New Roman" w:cs="Times New Roman"/>
          <w:sz w:val="22"/>
          <w:szCs w:val="22"/>
        </w:rPr>
        <w:t xml:space="preserve">, </w:t>
      </w:r>
      <w:hyperlink r:id="rId27">
        <w:r w:rsidRPr="00B11E7B">
          <w:rPr>
            <w:rFonts w:ascii="Times New Roman" w:hAnsi="Times New Roman" w:cs="Times New Roman"/>
            <w:color w:val="0000FF"/>
            <w:sz w:val="22"/>
            <w:szCs w:val="22"/>
            <w:u w:val="single" w:color="0000FF"/>
          </w:rPr>
          <w:t>https://all4fairtrials.org.mk/wp-content/uploads/2023/12/63-MISo-2023.pdf</w:t>
        </w:r>
        <w:r w:rsidRPr="00B11E7B">
          <w:rPr>
            <w:rFonts w:ascii="Times New Roman" w:hAnsi="Times New Roman" w:cs="Times New Roman"/>
            <w:sz w:val="22"/>
            <w:szCs w:val="22"/>
          </w:rPr>
          <w:t>.</w:t>
        </w:r>
      </w:hyperlink>
    </w:p>
    <w:p w14:paraId="142B253B" w14:textId="070323C0" w:rsidR="006A4308" w:rsidRPr="00B11E7B" w:rsidRDefault="006A4308" w:rsidP="00B11E7B">
      <w:pPr>
        <w:spacing w:before="119" w:line="242" w:lineRule="auto"/>
        <w:ind w:left="980" w:right="972"/>
        <w:jc w:val="both"/>
        <w:rPr>
          <w:rFonts w:ascii="Times New Roman" w:hAnsi="Times New Roman" w:cs="Times New Roman"/>
          <w:sz w:val="22"/>
          <w:szCs w:val="22"/>
        </w:rPr>
      </w:pPr>
      <w:r w:rsidRPr="00B11E7B">
        <w:rPr>
          <w:rFonts w:ascii="Times New Roman" w:hAnsi="Times New Roman" w:cs="Times New Roman"/>
          <w:sz w:val="22"/>
          <w:szCs w:val="22"/>
        </w:rPr>
        <w:t xml:space="preserve">Совет на Европа (2023), Соопштение за медиумите 5.12.2023 година, </w:t>
      </w:r>
      <w:r w:rsidRPr="00B11E7B">
        <w:rPr>
          <w:rFonts w:ascii="Times New Roman" w:hAnsi="Times New Roman" w:cs="Times New Roman"/>
          <w:i/>
          <w:iCs/>
          <w:sz w:val="22"/>
          <w:szCs w:val="22"/>
        </w:rPr>
        <w:t>Советот на Европа ја поддржува реформата за заштита на укажувачите во Северна Македонија</w:t>
      </w:r>
      <w:r w:rsidRPr="00B11E7B">
        <w:rPr>
          <w:rFonts w:ascii="Times New Roman" w:hAnsi="Times New Roman" w:cs="Times New Roman"/>
          <w:sz w:val="22"/>
          <w:szCs w:val="22"/>
        </w:rPr>
        <w:t xml:space="preserve">, </w:t>
      </w:r>
      <w:hyperlink r:id="rId28">
        <w:r w:rsidRPr="00B11E7B">
          <w:rPr>
            <w:rFonts w:ascii="Times New Roman" w:hAnsi="Times New Roman" w:cs="Times New Roman"/>
            <w:color w:val="0000FF"/>
            <w:sz w:val="22"/>
            <w:szCs w:val="22"/>
            <w:u w:val="single" w:color="0000FF"/>
          </w:rPr>
          <w:t>https://www.coe.int/en/web/corruption/-/support-to-the-</w:t>
        </w:r>
      </w:hyperlink>
      <w:hyperlink r:id="rId29">
        <w:r w:rsidRPr="00B11E7B">
          <w:rPr>
            <w:rFonts w:ascii="Times New Roman" w:hAnsi="Times New Roman" w:cs="Times New Roman"/>
            <w:color w:val="0000FF"/>
            <w:sz w:val="22"/>
            <w:szCs w:val="22"/>
            <w:u w:val="single" w:color="0000FF"/>
          </w:rPr>
          <w:t>reform-of-the-north-macedonia-s-whistleblower-protection-legislation-kicks-off-with-a-workshop-in-</w:t>
        </w:r>
      </w:hyperlink>
      <w:hyperlink r:id="rId30">
        <w:r w:rsidRPr="00B11E7B">
          <w:rPr>
            <w:rFonts w:ascii="Times New Roman" w:hAnsi="Times New Roman" w:cs="Times New Roman"/>
            <w:color w:val="0000FF"/>
            <w:sz w:val="22"/>
            <w:szCs w:val="22"/>
            <w:u w:val="single" w:color="0000FF"/>
          </w:rPr>
          <w:t>skopje</w:t>
        </w:r>
        <w:r w:rsidRPr="00B11E7B">
          <w:rPr>
            <w:rFonts w:ascii="Times New Roman" w:hAnsi="Times New Roman" w:cs="Times New Roman"/>
            <w:sz w:val="22"/>
            <w:szCs w:val="22"/>
          </w:rPr>
          <w:t>.</w:t>
        </w:r>
      </w:hyperlink>
    </w:p>
    <w:p w14:paraId="56401263" w14:textId="77777777" w:rsidR="006A4308" w:rsidRPr="00B11E7B" w:rsidRDefault="006A4308" w:rsidP="00B11E7B">
      <w:pPr>
        <w:spacing w:before="111"/>
        <w:ind w:left="980" w:right="976"/>
        <w:jc w:val="both"/>
        <w:rPr>
          <w:rFonts w:ascii="Times New Roman" w:hAnsi="Times New Roman" w:cs="Times New Roman"/>
          <w:i/>
          <w:sz w:val="22"/>
          <w:szCs w:val="22"/>
        </w:rPr>
      </w:pPr>
      <w:r w:rsidRPr="00B11E7B">
        <w:rPr>
          <w:rFonts w:ascii="Times New Roman" w:hAnsi="Times New Roman" w:cs="Times New Roman"/>
          <w:sz w:val="22"/>
          <w:szCs w:val="22"/>
        </w:rPr>
        <w:t xml:space="preserve">Совет на Европа: </w:t>
      </w:r>
      <w:r w:rsidRPr="00B11E7B">
        <w:rPr>
          <w:rFonts w:ascii="Times New Roman" w:hAnsi="Times New Roman" w:cs="Times New Roman"/>
          <w:i/>
          <w:iCs/>
          <w:sz w:val="22"/>
          <w:szCs w:val="22"/>
        </w:rPr>
        <w:t>Комитет на министри (2010), Препорака CM/Rec(2010)12 на Комитетот на министри до земјите членки за судиите: независност, ефикасност и одговорности.</w:t>
      </w:r>
    </w:p>
    <w:p w14:paraId="730E4484" w14:textId="77777777" w:rsidR="006A4308" w:rsidRPr="00B11E7B" w:rsidRDefault="006A4308" w:rsidP="00B11E7B">
      <w:pPr>
        <w:spacing w:before="121" w:line="242" w:lineRule="auto"/>
        <w:ind w:left="980" w:right="977"/>
        <w:jc w:val="both"/>
        <w:rPr>
          <w:rFonts w:ascii="Times New Roman" w:hAnsi="Times New Roman" w:cs="Times New Roman"/>
          <w:i/>
          <w:sz w:val="22"/>
          <w:szCs w:val="22"/>
        </w:rPr>
      </w:pPr>
      <w:r w:rsidRPr="00B11E7B">
        <w:rPr>
          <w:rFonts w:ascii="Times New Roman" w:hAnsi="Times New Roman" w:cs="Times New Roman"/>
          <w:sz w:val="22"/>
          <w:szCs w:val="22"/>
        </w:rPr>
        <w:t xml:space="preserve">Совет на Европа: Комитет на министри (2024), </w:t>
      </w:r>
      <w:r w:rsidRPr="00B11E7B">
        <w:rPr>
          <w:rFonts w:ascii="Times New Roman" w:hAnsi="Times New Roman" w:cs="Times New Roman"/>
          <w:i/>
          <w:iCs/>
          <w:sz w:val="22"/>
          <w:szCs w:val="22"/>
        </w:rPr>
        <w:t>Надзор на извршувањето на пресудите и одлуките на Европскиот суд за човекови права – 17-ти годишен извештај на Комитетот на министри – 2023 година.</w:t>
      </w:r>
    </w:p>
    <w:p w14:paraId="6CB42C0E" w14:textId="74FC2AC6" w:rsidR="006A4308" w:rsidRPr="00B11E7B" w:rsidRDefault="006A4308" w:rsidP="00B11E7B">
      <w:pPr>
        <w:spacing w:before="80" w:line="242" w:lineRule="auto"/>
        <w:ind w:left="980" w:right="975"/>
        <w:jc w:val="both"/>
        <w:rPr>
          <w:rFonts w:ascii="Times New Roman" w:hAnsi="Times New Roman" w:cs="Times New Roman"/>
          <w:sz w:val="22"/>
          <w:szCs w:val="22"/>
        </w:rPr>
      </w:pPr>
      <w:r w:rsidRPr="00B11E7B">
        <w:rPr>
          <w:rFonts w:ascii="Times New Roman" w:hAnsi="Times New Roman" w:cs="Times New Roman"/>
          <w:sz w:val="22"/>
          <w:szCs w:val="22"/>
        </w:rPr>
        <w:lastRenderedPageBreak/>
        <w:t xml:space="preserve">Совет на Европа: Венецијанска комисија (2018), Северна Македонија – </w:t>
      </w:r>
      <w:r w:rsidRPr="00B11E7B">
        <w:rPr>
          <w:rFonts w:ascii="Times New Roman" w:hAnsi="Times New Roman" w:cs="Times New Roman"/>
          <w:i/>
          <w:iCs/>
          <w:sz w:val="22"/>
          <w:szCs w:val="22"/>
        </w:rPr>
        <w:t>Мислење на „Поранешна Југословенска Република Македонија“ за законот за изменување на Законот за Судскиот совет и за законот за изменување на Законот за судовите</w:t>
      </w:r>
      <w:r w:rsidRPr="00B11E7B">
        <w:rPr>
          <w:rFonts w:ascii="Times New Roman" w:hAnsi="Times New Roman" w:cs="Times New Roman"/>
          <w:sz w:val="22"/>
          <w:szCs w:val="22"/>
        </w:rPr>
        <w:t xml:space="preserve"> (CDL-AD(2018)022).</w:t>
      </w:r>
    </w:p>
    <w:p w14:paraId="570AF97D" w14:textId="1B018C3F" w:rsidR="006A4308" w:rsidRPr="00B11E7B" w:rsidRDefault="006A4308" w:rsidP="00B11E7B">
      <w:pPr>
        <w:spacing w:before="112" w:line="244" w:lineRule="auto"/>
        <w:ind w:left="980" w:right="978"/>
        <w:jc w:val="both"/>
        <w:rPr>
          <w:rFonts w:ascii="Times New Roman" w:hAnsi="Times New Roman" w:cs="Times New Roman"/>
          <w:sz w:val="22"/>
          <w:szCs w:val="22"/>
        </w:rPr>
      </w:pPr>
      <w:r w:rsidRPr="00B11E7B">
        <w:rPr>
          <w:rFonts w:ascii="Times New Roman" w:hAnsi="Times New Roman" w:cs="Times New Roman"/>
          <w:sz w:val="22"/>
          <w:szCs w:val="22"/>
        </w:rPr>
        <w:t xml:space="preserve">Совет на Европа: Венецијанска комисија (2018), </w:t>
      </w:r>
      <w:r w:rsidRPr="00B11E7B">
        <w:rPr>
          <w:rFonts w:ascii="Times New Roman" w:hAnsi="Times New Roman" w:cs="Times New Roman"/>
          <w:i/>
          <w:iCs/>
          <w:sz w:val="22"/>
          <w:szCs w:val="22"/>
        </w:rPr>
        <w:t>Мислење на „Поранешна Југословенска Република Македонија“ за</w:t>
      </w:r>
      <w:r w:rsidRPr="00B11E7B">
        <w:rPr>
          <w:rFonts w:ascii="Times New Roman" w:hAnsi="Times New Roman" w:cs="Times New Roman"/>
          <w:i/>
          <w:sz w:val="22"/>
          <w:szCs w:val="22"/>
        </w:rPr>
        <w:t xml:space="preserve"> предлог-законот за изменување на Законот за судовите </w:t>
      </w:r>
      <w:r w:rsidRPr="00B11E7B">
        <w:rPr>
          <w:rFonts w:ascii="Times New Roman" w:hAnsi="Times New Roman" w:cs="Times New Roman"/>
          <w:sz w:val="22"/>
          <w:szCs w:val="22"/>
        </w:rPr>
        <w:t>(CDL-AD(2018)033).</w:t>
      </w:r>
    </w:p>
    <w:p w14:paraId="5B121989" w14:textId="77777777" w:rsidR="006A4308" w:rsidRPr="00B11E7B" w:rsidRDefault="006A4308" w:rsidP="00B11E7B">
      <w:pPr>
        <w:spacing w:before="111"/>
        <w:ind w:left="980" w:right="975"/>
        <w:jc w:val="both"/>
        <w:rPr>
          <w:rFonts w:ascii="Times New Roman" w:hAnsi="Times New Roman" w:cs="Times New Roman"/>
          <w:sz w:val="22"/>
          <w:szCs w:val="22"/>
        </w:rPr>
      </w:pPr>
      <w:r w:rsidRPr="00B11E7B">
        <w:rPr>
          <w:rFonts w:ascii="Times New Roman" w:hAnsi="Times New Roman" w:cs="Times New Roman"/>
          <w:sz w:val="22"/>
          <w:szCs w:val="22"/>
        </w:rPr>
        <w:t xml:space="preserve">Совет на Европа: Венецијанска комисија (2019), Северна Македонија – </w:t>
      </w:r>
      <w:r w:rsidRPr="007F7DD0">
        <w:rPr>
          <w:rFonts w:ascii="Times New Roman" w:hAnsi="Times New Roman" w:cs="Times New Roman"/>
          <w:i/>
          <w:iCs/>
          <w:sz w:val="22"/>
          <w:szCs w:val="22"/>
        </w:rPr>
        <w:t>Мислење за предлог-законот за Судски совет</w:t>
      </w:r>
      <w:r w:rsidRPr="00B11E7B">
        <w:rPr>
          <w:rFonts w:ascii="Times New Roman" w:hAnsi="Times New Roman" w:cs="Times New Roman"/>
          <w:i/>
          <w:sz w:val="22"/>
          <w:szCs w:val="22"/>
        </w:rPr>
        <w:t xml:space="preserve"> </w:t>
      </w:r>
      <w:r w:rsidRPr="00B11E7B">
        <w:rPr>
          <w:rFonts w:ascii="Times New Roman" w:hAnsi="Times New Roman" w:cs="Times New Roman"/>
          <w:sz w:val="22"/>
          <w:szCs w:val="22"/>
        </w:rPr>
        <w:t>(CDL-AD(2019)008).</w:t>
      </w:r>
    </w:p>
    <w:p w14:paraId="606A708A" w14:textId="0D21B8D5" w:rsidR="006A4308" w:rsidRPr="00B11E7B" w:rsidRDefault="006A4308" w:rsidP="00B11E7B">
      <w:pPr>
        <w:tabs>
          <w:tab w:val="left" w:pos="2585"/>
          <w:tab w:val="left" w:pos="3355"/>
          <w:tab w:val="left" w:pos="4261"/>
          <w:tab w:val="left" w:pos="5646"/>
          <w:tab w:val="left" w:pos="6258"/>
          <w:tab w:val="left" w:pos="7318"/>
          <w:tab w:val="left" w:pos="8503"/>
          <w:tab w:val="left" w:pos="9228"/>
        </w:tabs>
        <w:spacing w:before="120"/>
        <w:ind w:left="980" w:right="973"/>
        <w:jc w:val="both"/>
        <w:rPr>
          <w:rFonts w:ascii="Times New Roman" w:hAnsi="Times New Roman" w:cs="Times New Roman"/>
          <w:sz w:val="22"/>
          <w:szCs w:val="22"/>
        </w:rPr>
      </w:pPr>
      <w:r w:rsidRPr="00B11E7B">
        <w:rPr>
          <w:rFonts w:ascii="Times New Roman" w:hAnsi="Times New Roman" w:cs="Times New Roman"/>
          <w:sz w:val="22"/>
          <w:szCs w:val="22"/>
        </w:rPr>
        <w:t>EEAS (2024), Соопштение за медиумите 27.4.2023 година</w:t>
      </w:r>
      <w:r w:rsidRPr="00B11E7B">
        <w:rPr>
          <w:rFonts w:ascii="Times New Roman" w:hAnsi="Times New Roman" w:cs="Times New Roman"/>
          <w:i/>
          <w:sz w:val="22"/>
          <w:szCs w:val="22"/>
        </w:rPr>
        <w:t>, 18-ти состанок на Поткомитетот на Спогодбата за стабилизација и асоцијација со Северна Македонија за правда, слобода и безбедност</w:t>
      </w:r>
      <w:r w:rsidRPr="00B11E7B">
        <w:rPr>
          <w:rFonts w:ascii="Times New Roman" w:hAnsi="Times New Roman" w:cs="Times New Roman"/>
          <w:sz w:val="22"/>
          <w:szCs w:val="22"/>
        </w:rPr>
        <w:t xml:space="preserve">, </w:t>
      </w:r>
      <w:hyperlink r:id="rId31">
        <w:r w:rsidRPr="00B11E7B">
          <w:rPr>
            <w:rFonts w:ascii="Times New Roman" w:hAnsi="Times New Roman" w:cs="Times New Roman"/>
            <w:color w:val="0000FF"/>
            <w:sz w:val="22"/>
            <w:szCs w:val="22"/>
            <w:u w:val="single" w:color="0000FF"/>
          </w:rPr>
          <w:t>https://www.eeas.europa.eu/delegations/north-macedonia/18th-meeting-stabilisation-and-association-</w:t>
        </w:r>
      </w:hyperlink>
      <w:hyperlink r:id="rId32">
        <w:r w:rsidRPr="00B11E7B">
          <w:rPr>
            <w:rFonts w:ascii="Times New Roman" w:hAnsi="Times New Roman" w:cs="Times New Roman"/>
            <w:color w:val="0000FF"/>
            <w:sz w:val="22"/>
            <w:szCs w:val="22"/>
            <w:u w:val="single" w:color="0000FF"/>
          </w:rPr>
          <w:t>agreement-subcommittee-north-macedonia-justice-freedom_en</w:t>
        </w:r>
      </w:hyperlink>
      <w:r w:rsidRPr="00B11E7B">
        <w:rPr>
          <w:rFonts w:ascii="Times New Roman" w:hAnsi="Times New Roman" w:cs="Times New Roman"/>
          <w:sz w:val="22"/>
          <w:szCs w:val="22"/>
        </w:rPr>
        <w:t>.</w:t>
      </w:r>
    </w:p>
    <w:p w14:paraId="6E6C3AD1" w14:textId="77777777" w:rsidR="006A4308" w:rsidRPr="00B11E7B" w:rsidRDefault="006A4308" w:rsidP="00B11E7B">
      <w:pPr>
        <w:spacing w:before="118" w:line="244" w:lineRule="auto"/>
        <w:ind w:left="980" w:right="976"/>
        <w:jc w:val="both"/>
        <w:rPr>
          <w:rFonts w:ascii="Times New Roman" w:hAnsi="Times New Roman" w:cs="Times New Roman"/>
          <w:i/>
          <w:sz w:val="22"/>
          <w:szCs w:val="22"/>
        </w:rPr>
      </w:pPr>
      <w:r w:rsidRPr="00B11E7B">
        <w:rPr>
          <w:rFonts w:ascii="Times New Roman" w:hAnsi="Times New Roman" w:cs="Times New Roman"/>
          <w:sz w:val="22"/>
          <w:szCs w:val="22"/>
        </w:rPr>
        <w:t xml:space="preserve">Европска мрежа на совети за правосудство (ENCJ) (2012), </w:t>
      </w:r>
      <w:r w:rsidRPr="00B11E7B">
        <w:rPr>
          <w:rFonts w:ascii="Times New Roman" w:hAnsi="Times New Roman" w:cs="Times New Roman"/>
          <w:i/>
          <w:iCs/>
          <w:sz w:val="22"/>
          <w:szCs w:val="22"/>
        </w:rPr>
        <w:t>Даблинска декларација за стандарди за вработување и назначување членови на судството.</w:t>
      </w:r>
    </w:p>
    <w:p w14:paraId="49195837" w14:textId="4BD48795" w:rsidR="006A4308" w:rsidRPr="00B11E7B" w:rsidRDefault="006A4308" w:rsidP="00B11E7B">
      <w:pPr>
        <w:spacing w:before="111" w:line="242" w:lineRule="auto"/>
        <w:ind w:left="980" w:right="974"/>
        <w:jc w:val="both"/>
        <w:rPr>
          <w:rFonts w:ascii="Times New Roman" w:hAnsi="Times New Roman" w:cs="Times New Roman"/>
          <w:sz w:val="22"/>
          <w:szCs w:val="22"/>
        </w:rPr>
      </w:pPr>
      <w:r w:rsidRPr="00B11E7B">
        <w:rPr>
          <w:rFonts w:ascii="Times New Roman" w:hAnsi="Times New Roman" w:cs="Times New Roman"/>
          <w:sz w:val="22"/>
          <w:szCs w:val="22"/>
        </w:rPr>
        <w:t xml:space="preserve">Европски граѓански форум (2024), Извештај за заштита на граѓанскиот простор за 2024 година - Западен Балкан (Балканска мрежа за развој на граѓанското општество), </w:t>
      </w:r>
      <w:hyperlink r:id="rId33">
        <w:r w:rsidRPr="00B11E7B">
          <w:rPr>
            <w:rFonts w:ascii="Times New Roman" w:hAnsi="Times New Roman" w:cs="Times New Roman"/>
            <w:color w:val="0000FF"/>
            <w:sz w:val="22"/>
            <w:szCs w:val="22"/>
            <w:u w:val="single" w:color="0000FF"/>
          </w:rPr>
          <w:t>https://civic-forum.eu/wp-content/uploads/2024/05/Civic-Space-Report-</w:t>
        </w:r>
      </w:hyperlink>
      <w:hyperlink r:id="rId34">
        <w:r w:rsidRPr="00B11E7B">
          <w:rPr>
            <w:rFonts w:ascii="Times New Roman" w:hAnsi="Times New Roman" w:cs="Times New Roman"/>
            <w:color w:val="0000FF"/>
            <w:sz w:val="22"/>
            <w:szCs w:val="22"/>
            <w:u w:val="single" w:color="0000FF"/>
          </w:rPr>
          <w:t>2024_ECF.pdf</w:t>
        </w:r>
        <w:r w:rsidRPr="00B11E7B">
          <w:rPr>
            <w:rFonts w:ascii="Times New Roman" w:hAnsi="Times New Roman" w:cs="Times New Roman"/>
            <w:sz w:val="22"/>
            <w:szCs w:val="22"/>
          </w:rPr>
          <w:t>.</w:t>
        </w:r>
      </w:hyperlink>
    </w:p>
    <w:p w14:paraId="6C5A0C38" w14:textId="35FB7772" w:rsidR="006A4308" w:rsidRPr="00B11E7B" w:rsidRDefault="006A4308" w:rsidP="00B11E7B">
      <w:pPr>
        <w:pStyle w:val="Heading3"/>
        <w:spacing w:before="115"/>
        <w:ind w:right="980"/>
      </w:pPr>
      <w:r w:rsidRPr="00B11E7B">
        <w:rPr>
          <w:i w:val="0"/>
        </w:rPr>
        <w:t>Европска комисија (2015),</w:t>
      </w:r>
      <w:r w:rsidRPr="00B11E7B">
        <w:t xml:space="preserve"> Поранешна Југословенска Република Македонија: Препораките на Групата искусни експерти за системските прашања за Владеење на правото поврзани со следењето на комуникациите откриени пролетта 2015 година.</w:t>
      </w:r>
    </w:p>
    <w:p w14:paraId="5593C32B" w14:textId="77777777" w:rsidR="006A4308" w:rsidRPr="00B11E7B" w:rsidRDefault="006A4308" w:rsidP="00B11E7B">
      <w:pPr>
        <w:spacing w:before="119"/>
        <w:ind w:left="980" w:right="979"/>
        <w:jc w:val="both"/>
        <w:rPr>
          <w:rFonts w:ascii="Times New Roman" w:hAnsi="Times New Roman" w:cs="Times New Roman"/>
          <w:i/>
          <w:sz w:val="22"/>
          <w:szCs w:val="22"/>
        </w:rPr>
      </w:pPr>
      <w:r w:rsidRPr="00B11E7B">
        <w:rPr>
          <w:rFonts w:ascii="Times New Roman" w:hAnsi="Times New Roman" w:cs="Times New Roman"/>
          <w:sz w:val="22"/>
          <w:szCs w:val="22"/>
        </w:rPr>
        <w:t xml:space="preserve">Европска комисија (2015), </w:t>
      </w:r>
      <w:r w:rsidRPr="00B11E7B">
        <w:rPr>
          <w:rFonts w:ascii="Times New Roman" w:hAnsi="Times New Roman" w:cs="Times New Roman"/>
          <w:i/>
          <w:iCs/>
          <w:sz w:val="22"/>
          <w:szCs w:val="22"/>
        </w:rPr>
        <w:t>Итни реформски приоритети за Поранешната Југословенска Република Македонија.</w:t>
      </w:r>
    </w:p>
    <w:p w14:paraId="20B32828" w14:textId="77777777" w:rsidR="006A4308" w:rsidRPr="00B11E7B" w:rsidRDefault="006A4308" w:rsidP="00B11E7B">
      <w:pPr>
        <w:pStyle w:val="Heading3"/>
        <w:spacing w:before="121"/>
        <w:ind w:right="977"/>
      </w:pPr>
      <w:r w:rsidRPr="00B11E7B">
        <w:rPr>
          <w:i w:val="0"/>
        </w:rPr>
        <w:t>Европска комисија (2017),</w:t>
      </w:r>
      <w:r w:rsidRPr="00B11E7B">
        <w:t xml:space="preserve"> Поранешна Југословенска Република Македонија: Оцени и препораки на Вишата експертска група за системски прашања за владеењето на правото 2017 година.</w:t>
      </w:r>
    </w:p>
    <w:p w14:paraId="141850B7" w14:textId="77777777" w:rsidR="006A4308" w:rsidRPr="00B11E7B" w:rsidRDefault="006A4308" w:rsidP="00490B1A">
      <w:pPr>
        <w:spacing w:before="120"/>
        <w:ind w:left="980" w:right="925"/>
        <w:jc w:val="both"/>
        <w:rPr>
          <w:rFonts w:ascii="Times New Roman" w:hAnsi="Times New Roman" w:cs="Times New Roman"/>
          <w:i/>
          <w:sz w:val="22"/>
          <w:szCs w:val="22"/>
        </w:rPr>
      </w:pPr>
      <w:r w:rsidRPr="00B11E7B">
        <w:rPr>
          <w:rFonts w:ascii="Times New Roman" w:hAnsi="Times New Roman" w:cs="Times New Roman"/>
          <w:sz w:val="22"/>
          <w:szCs w:val="22"/>
        </w:rPr>
        <w:t xml:space="preserve">Европска комисија (2023), </w:t>
      </w:r>
      <w:r w:rsidRPr="00B11E7B">
        <w:rPr>
          <w:rFonts w:ascii="Times New Roman" w:hAnsi="Times New Roman" w:cs="Times New Roman"/>
          <w:i/>
          <w:iCs/>
          <w:sz w:val="22"/>
          <w:szCs w:val="22"/>
        </w:rPr>
        <w:t>Извештај за скрининг – Северна Македонија, Кластер 1 – Фундаментални вредности.</w:t>
      </w:r>
    </w:p>
    <w:p w14:paraId="03DD2937" w14:textId="77777777" w:rsidR="006A4308" w:rsidRPr="00B11E7B" w:rsidRDefault="006A4308" w:rsidP="00B11E7B">
      <w:pPr>
        <w:spacing w:before="119"/>
        <w:ind w:left="980" w:right="977"/>
        <w:jc w:val="both"/>
        <w:rPr>
          <w:rFonts w:ascii="Times New Roman" w:hAnsi="Times New Roman" w:cs="Times New Roman"/>
          <w:i/>
          <w:sz w:val="22"/>
          <w:szCs w:val="22"/>
        </w:rPr>
      </w:pPr>
      <w:r w:rsidRPr="00B11E7B">
        <w:rPr>
          <w:rFonts w:ascii="Times New Roman" w:hAnsi="Times New Roman" w:cs="Times New Roman"/>
          <w:sz w:val="22"/>
          <w:szCs w:val="22"/>
        </w:rPr>
        <w:t xml:space="preserve">Европска комисија (2023), </w:t>
      </w:r>
      <w:r w:rsidRPr="00B11E7B">
        <w:rPr>
          <w:rFonts w:ascii="Times New Roman" w:hAnsi="Times New Roman" w:cs="Times New Roman"/>
          <w:i/>
          <w:iCs/>
          <w:sz w:val="22"/>
          <w:szCs w:val="22"/>
        </w:rPr>
        <w:t>Комуникација за политиката за проширување на ЕУ за 2023 година, Извештај за Северна Македонија</w:t>
      </w:r>
      <w:r w:rsidRPr="00B11E7B">
        <w:rPr>
          <w:rFonts w:ascii="Times New Roman" w:hAnsi="Times New Roman" w:cs="Times New Roman"/>
          <w:sz w:val="22"/>
          <w:szCs w:val="22"/>
        </w:rPr>
        <w:t>.</w:t>
      </w:r>
    </w:p>
    <w:p w14:paraId="76F0DB13" w14:textId="0A0B9696" w:rsidR="006A4308" w:rsidRPr="007D59F2" w:rsidRDefault="006A4308" w:rsidP="007F7DD0">
      <w:pPr>
        <w:spacing w:before="121"/>
        <w:ind w:left="980" w:right="976"/>
        <w:jc w:val="both"/>
        <w:rPr>
          <w:lang w:val="en-GB"/>
        </w:rPr>
      </w:pPr>
      <w:r w:rsidRPr="00B11E7B">
        <w:rPr>
          <w:rFonts w:ascii="Times New Roman" w:hAnsi="Times New Roman" w:cs="Times New Roman"/>
          <w:sz w:val="22"/>
          <w:szCs w:val="22"/>
        </w:rPr>
        <w:t xml:space="preserve">Европски суд за човекови права (2010), Пресуда на Европскиот суд за човекови права од 28 октомври 2010 година, </w:t>
      </w:r>
      <w:r w:rsidRPr="00B11E7B">
        <w:rPr>
          <w:rFonts w:ascii="Times New Roman" w:hAnsi="Times New Roman" w:cs="Times New Roman"/>
          <w:i/>
          <w:iCs/>
          <w:sz w:val="22"/>
          <w:szCs w:val="22"/>
        </w:rPr>
        <w:t>Василкоски и други против Поранешна Југословенска Република Македонија</w:t>
      </w:r>
      <w:r w:rsidRPr="00B11E7B">
        <w:rPr>
          <w:rFonts w:ascii="Times New Roman" w:hAnsi="Times New Roman" w:cs="Times New Roman"/>
          <w:sz w:val="22"/>
          <w:szCs w:val="22"/>
        </w:rPr>
        <w:t xml:space="preserve">, </w:t>
      </w:r>
      <w:hyperlink r:id="rId35" w:anchor="%7B%22fulltext%22%3A%5B%22Vasilkoski%22%5D%2C%22documentcollectionid2%22%3A%5B%22GRANDCHAMBER%22%2C%22CHAMBER%22%5D%2C%22itemid%22%3A%5B%22001-101358%22%5D%7D">
        <w:r w:rsidRPr="00B11E7B">
          <w:rPr>
            <w:rFonts w:ascii="Times New Roman" w:hAnsi="Times New Roman" w:cs="Times New Roman"/>
            <w:color w:val="0000FF"/>
            <w:sz w:val="22"/>
            <w:szCs w:val="22"/>
            <w:u w:val="single" w:color="0000FF"/>
          </w:rPr>
          <w:t>VASILKOSKI AND OTHERS v. "THE FORMER YUGOSLAV REPUBLIC OF</w:t>
        </w:r>
        <w:r w:rsidR="00490B1A">
          <w:rPr>
            <w:rFonts w:ascii="Times New Roman" w:hAnsi="Times New Roman" w:cs="Times New Roman"/>
            <w:color w:val="0000FF"/>
            <w:sz w:val="22"/>
            <w:szCs w:val="22"/>
            <w:u w:val="single" w:color="0000FF"/>
          </w:rPr>
          <w:t xml:space="preserve"> </w:t>
        </w:r>
        <w:r w:rsidRPr="00B11E7B">
          <w:rPr>
            <w:rFonts w:ascii="Times New Roman" w:hAnsi="Times New Roman" w:cs="Times New Roman"/>
            <w:color w:val="0000FF"/>
            <w:sz w:val="22"/>
            <w:szCs w:val="22"/>
            <w:u w:val="single" w:color="0000FF"/>
          </w:rPr>
          <w:t>MACEDONIA"</w:t>
        </w:r>
      </w:hyperlink>
      <w:r w:rsidR="007D59F2">
        <w:rPr>
          <w:rFonts w:ascii="Times New Roman" w:hAnsi="Times New Roman" w:cs="Times New Roman"/>
          <w:color w:val="0000FF"/>
          <w:sz w:val="22"/>
          <w:szCs w:val="22"/>
          <w:u w:val="single" w:color="0000FF"/>
          <w:lang w:val="en-GB"/>
        </w:rPr>
        <w:t>(coe.int)</w:t>
      </w:r>
      <w:r w:rsidR="007D59F2">
        <w:rPr>
          <w:rFonts w:ascii="Times New Roman" w:hAnsi="Times New Roman" w:cs="Times New Roman"/>
          <w:sz w:val="22"/>
          <w:szCs w:val="22"/>
          <w:lang w:val="en-GB"/>
        </w:rPr>
        <w:t>.</w:t>
      </w:r>
    </w:p>
    <w:p w14:paraId="11116124" w14:textId="6430932C" w:rsidR="006A4308" w:rsidRPr="00B11E7B" w:rsidRDefault="006A4308" w:rsidP="00B11E7B">
      <w:pPr>
        <w:spacing w:before="116" w:line="244" w:lineRule="auto"/>
        <w:ind w:left="980" w:right="980"/>
        <w:jc w:val="both"/>
        <w:rPr>
          <w:rFonts w:ascii="Times New Roman" w:hAnsi="Times New Roman" w:cs="Times New Roman"/>
          <w:sz w:val="22"/>
          <w:szCs w:val="22"/>
        </w:rPr>
      </w:pPr>
      <w:r w:rsidRPr="00B11E7B">
        <w:rPr>
          <w:rFonts w:ascii="Times New Roman" w:hAnsi="Times New Roman" w:cs="Times New Roman"/>
          <w:sz w:val="22"/>
          <w:szCs w:val="22"/>
        </w:rPr>
        <w:t xml:space="preserve">Фридом Хаус (2024), Нации во транзит 2024 година, Извештај за Северна Македонија. </w:t>
      </w:r>
      <w:hyperlink r:id="rId36">
        <w:r w:rsidRPr="00B11E7B">
          <w:rPr>
            <w:rFonts w:ascii="Times New Roman" w:hAnsi="Times New Roman" w:cs="Times New Roman"/>
            <w:color w:val="0000FF"/>
            <w:sz w:val="22"/>
            <w:szCs w:val="22"/>
            <w:u w:val="single" w:color="0000FF"/>
          </w:rPr>
          <w:t>https://freedomhouse.org/country/north-macedonia/nations-transit/2024</w:t>
        </w:r>
      </w:hyperlink>
    </w:p>
    <w:p w14:paraId="62C851A8" w14:textId="77777777" w:rsidR="006A4308" w:rsidRPr="00B11E7B" w:rsidRDefault="006A4308" w:rsidP="00B11E7B">
      <w:pPr>
        <w:spacing w:before="111" w:line="242" w:lineRule="auto"/>
        <w:ind w:left="980" w:right="973"/>
        <w:jc w:val="both"/>
        <w:rPr>
          <w:rFonts w:ascii="Times New Roman" w:hAnsi="Times New Roman" w:cs="Times New Roman"/>
          <w:sz w:val="22"/>
          <w:szCs w:val="22"/>
        </w:rPr>
      </w:pPr>
      <w:r w:rsidRPr="00B11E7B">
        <w:rPr>
          <w:rFonts w:ascii="Times New Roman" w:hAnsi="Times New Roman" w:cs="Times New Roman"/>
          <w:sz w:val="22"/>
          <w:szCs w:val="22"/>
        </w:rPr>
        <w:t xml:space="preserve">Влада на Северна Македонија (2022), </w:t>
      </w:r>
      <w:r w:rsidRPr="00B11E7B">
        <w:rPr>
          <w:rFonts w:ascii="Times New Roman" w:hAnsi="Times New Roman" w:cs="Times New Roman"/>
          <w:i/>
          <w:iCs/>
          <w:sz w:val="22"/>
          <w:szCs w:val="22"/>
        </w:rPr>
        <w:t>Стратегија за соработка и развој на граѓанското општество 2022-2024 година</w:t>
      </w:r>
      <w:r w:rsidRPr="00B11E7B">
        <w:rPr>
          <w:rFonts w:ascii="Times New Roman" w:hAnsi="Times New Roman" w:cs="Times New Roman"/>
          <w:sz w:val="22"/>
          <w:szCs w:val="22"/>
        </w:rPr>
        <w:t>.</w:t>
      </w:r>
    </w:p>
    <w:p w14:paraId="39F180FC" w14:textId="77777777" w:rsidR="006A4308" w:rsidRPr="00B11E7B" w:rsidRDefault="006A4308" w:rsidP="00490B1A">
      <w:pPr>
        <w:spacing w:before="114"/>
        <w:ind w:left="980" w:right="925"/>
        <w:jc w:val="both"/>
        <w:rPr>
          <w:rFonts w:ascii="Times New Roman" w:hAnsi="Times New Roman" w:cs="Times New Roman"/>
          <w:i/>
          <w:sz w:val="22"/>
          <w:szCs w:val="22"/>
        </w:rPr>
      </w:pPr>
      <w:r w:rsidRPr="00B11E7B">
        <w:rPr>
          <w:rFonts w:ascii="Times New Roman" w:hAnsi="Times New Roman" w:cs="Times New Roman"/>
          <w:sz w:val="22"/>
          <w:szCs w:val="22"/>
        </w:rPr>
        <w:t xml:space="preserve">Влада на Северна Македонија (2024), </w:t>
      </w:r>
      <w:r w:rsidRPr="00B11E7B">
        <w:rPr>
          <w:rFonts w:ascii="Times New Roman" w:hAnsi="Times New Roman" w:cs="Times New Roman"/>
          <w:i/>
          <w:iCs/>
          <w:sz w:val="22"/>
          <w:szCs w:val="22"/>
        </w:rPr>
        <w:t>Придонес за Извештајот за владеењето на правото за 2024 година.</w:t>
      </w:r>
    </w:p>
    <w:p w14:paraId="00EE0D0E" w14:textId="77777777" w:rsidR="006A4308" w:rsidRPr="00B11E7B" w:rsidRDefault="006A4308" w:rsidP="00B11E7B">
      <w:pPr>
        <w:spacing w:before="119"/>
        <w:ind w:left="980" w:right="975"/>
        <w:jc w:val="both"/>
        <w:rPr>
          <w:rFonts w:ascii="Times New Roman" w:hAnsi="Times New Roman" w:cs="Times New Roman"/>
          <w:i/>
          <w:sz w:val="22"/>
          <w:szCs w:val="22"/>
        </w:rPr>
      </w:pPr>
      <w:r w:rsidRPr="00B11E7B">
        <w:rPr>
          <w:rFonts w:ascii="Times New Roman" w:hAnsi="Times New Roman" w:cs="Times New Roman"/>
          <w:sz w:val="22"/>
          <w:szCs w:val="22"/>
        </w:rPr>
        <w:t>Влада на Северна Македонија (2024), Примен пишан придонес во контекст на посетата на земјата.</w:t>
      </w:r>
    </w:p>
    <w:p w14:paraId="47778CD4" w14:textId="015CDE10" w:rsidR="006A4308" w:rsidRPr="00B11E7B" w:rsidRDefault="006A4308" w:rsidP="00B11E7B">
      <w:pPr>
        <w:spacing w:before="119" w:line="242" w:lineRule="auto"/>
        <w:ind w:left="980" w:right="978"/>
        <w:jc w:val="both"/>
        <w:rPr>
          <w:rFonts w:ascii="Times New Roman" w:hAnsi="Times New Roman" w:cs="Times New Roman"/>
          <w:sz w:val="22"/>
          <w:szCs w:val="22"/>
        </w:rPr>
      </w:pPr>
      <w:r w:rsidRPr="00B11E7B">
        <w:rPr>
          <w:rFonts w:ascii="Times New Roman" w:hAnsi="Times New Roman" w:cs="Times New Roman"/>
          <w:sz w:val="22"/>
          <w:szCs w:val="22"/>
        </w:rPr>
        <w:t xml:space="preserve">ГРЕКО (2024), </w:t>
      </w:r>
      <w:r w:rsidRPr="00B11E7B">
        <w:rPr>
          <w:rFonts w:ascii="Times New Roman" w:hAnsi="Times New Roman" w:cs="Times New Roman"/>
          <w:i/>
          <w:iCs/>
          <w:sz w:val="22"/>
          <w:szCs w:val="22"/>
        </w:rPr>
        <w:t>Четврт круг на евалуација - Спречување на корупција кај пратениците, судиите и обвинителите, Втор адендум на Вториот извештај за усогласеност</w:t>
      </w:r>
      <w:r w:rsidRPr="00B11E7B">
        <w:rPr>
          <w:rFonts w:ascii="Times New Roman" w:hAnsi="Times New Roman" w:cs="Times New Roman"/>
          <w:i/>
          <w:sz w:val="22"/>
          <w:szCs w:val="22"/>
        </w:rPr>
        <w:t xml:space="preserve"> </w:t>
      </w:r>
      <w:hyperlink r:id="rId37">
        <w:r w:rsidRPr="00B11E7B">
          <w:rPr>
            <w:rFonts w:ascii="Times New Roman" w:hAnsi="Times New Roman" w:cs="Times New Roman"/>
            <w:color w:val="0000FF"/>
            <w:sz w:val="22"/>
            <w:szCs w:val="22"/>
            <w:u w:val="single" w:color="0000FF"/>
          </w:rPr>
          <w:t>https://rm.coe.int/fourth-evaluation-round-corruption-prevention-in-respect-of-members-</w:t>
        </w:r>
      </w:hyperlink>
      <w:hyperlink r:id="rId38">
        <w:r w:rsidRPr="00B11E7B">
          <w:rPr>
            <w:rFonts w:ascii="Times New Roman" w:hAnsi="Times New Roman" w:cs="Times New Roman"/>
            <w:color w:val="0000FF"/>
            <w:sz w:val="22"/>
            <w:szCs w:val="22"/>
            <w:u w:val="single" w:color="0000FF"/>
          </w:rPr>
          <w:t>of/1680aec93a</w:t>
        </w:r>
      </w:hyperlink>
      <w:r w:rsidRPr="00B11E7B">
        <w:rPr>
          <w:rFonts w:ascii="Times New Roman" w:hAnsi="Times New Roman" w:cs="Times New Roman"/>
          <w:sz w:val="22"/>
          <w:szCs w:val="22"/>
        </w:rPr>
        <w:t>.</w:t>
      </w:r>
    </w:p>
    <w:p w14:paraId="50628A71" w14:textId="77777777" w:rsidR="006A4308" w:rsidRPr="00B11E7B" w:rsidRDefault="006A4308" w:rsidP="00B11E7B">
      <w:pPr>
        <w:spacing w:before="230"/>
        <w:ind w:left="980" w:right="979"/>
        <w:jc w:val="both"/>
        <w:rPr>
          <w:rFonts w:ascii="Times New Roman" w:hAnsi="Times New Roman" w:cs="Times New Roman"/>
          <w:i/>
          <w:sz w:val="22"/>
          <w:szCs w:val="22"/>
        </w:rPr>
      </w:pPr>
      <w:r w:rsidRPr="00B11E7B">
        <w:rPr>
          <w:rFonts w:ascii="Times New Roman" w:hAnsi="Times New Roman" w:cs="Times New Roman"/>
          <w:sz w:val="22"/>
          <w:szCs w:val="22"/>
        </w:rPr>
        <w:lastRenderedPageBreak/>
        <w:t xml:space="preserve">ГРЕКО (2023), </w:t>
      </w:r>
      <w:r w:rsidRPr="00B11E7B">
        <w:rPr>
          <w:rFonts w:ascii="Times New Roman" w:hAnsi="Times New Roman" w:cs="Times New Roman"/>
          <w:i/>
          <w:iCs/>
          <w:sz w:val="22"/>
          <w:szCs w:val="22"/>
        </w:rPr>
        <w:t>Петти круг на евалуација - Спречување на корупцијата и промовирање на интегритетот кај централната власт (највисоки извршни функции) и органите за спроведување на законот, Втор извештај за усогласеност,</w:t>
      </w:r>
      <w:r w:rsidRPr="00B11E7B">
        <w:rPr>
          <w:rFonts w:ascii="Times New Roman" w:hAnsi="Times New Roman" w:cs="Times New Roman"/>
          <w:i/>
          <w:sz w:val="22"/>
          <w:szCs w:val="22"/>
        </w:rPr>
        <w:t xml:space="preserve"> </w:t>
      </w:r>
      <w:hyperlink r:id="rId39">
        <w:r w:rsidRPr="00B11E7B">
          <w:rPr>
            <w:rFonts w:ascii="Times New Roman" w:hAnsi="Times New Roman" w:cs="Times New Roman"/>
            <w:i/>
            <w:color w:val="0000FF"/>
            <w:sz w:val="22"/>
            <w:szCs w:val="22"/>
            <w:u w:val="single" w:color="0000FF"/>
          </w:rPr>
          <w:t>https://rm.coe.int/fifth-evaluation-round-second-compliance-report-north-macedonia-/1680acf53f</w:t>
        </w:r>
      </w:hyperlink>
      <w:r w:rsidRPr="00B11E7B">
        <w:rPr>
          <w:rFonts w:ascii="Times New Roman" w:hAnsi="Times New Roman" w:cs="Times New Roman"/>
          <w:i/>
          <w:color w:val="0000FF"/>
          <w:sz w:val="22"/>
          <w:szCs w:val="22"/>
        </w:rPr>
        <w:t xml:space="preserve"> </w:t>
      </w:r>
      <w:r w:rsidRPr="00B11E7B">
        <w:rPr>
          <w:rFonts w:ascii="Times New Roman" w:hAnsi="Times New Roman" w:cs="Times New Roman"/>
          <w:i/>
          <w:sz w:val="22"/>
          <w:szCs w:val="22"/>
        </w:rPr>
        <w:t>.</w:t>
      </w:r>
    </w:p>
    <w:p w14:paraId="332D874C" w14:textId="77777777" w:rsidR="006A4308" w:rsidRPr="00B11E7B" w:rsidRDefault="006A4308" w:rsidP="00B11E7B">
      <w:pPr>
        <w:spacing w:before="80"/>
        <w:ind w:left="980" w:right="977"/>
        <w:jc w:val="both"/>
        <w:rPr>
          <w:rFonts w:ascii="Times New Roman" w:hAnsi="Times New Roman" w:cs="Times New Roman"/>
          <w:sz w:val="22"/>
          <w:szCs w:val="22"/>
        </w:rPr>
      </w:pPr>
      <w:r w:rsidRPr="00B11E7B">
        <w:rPr>
          <w:rFonts w:ascii="Times New Roman" w:hAnsi="Times New Roman" w:cs="Times New Roman"/>
          <w:sz w:val="22"/>
          <w:szCs w:val="22"/>
        </w:rPr>
        <w:t xml:space="preserve">Судски совет на Северна Македонија (2024), </w:t>
      </w:r>
      <w:r w:rsidRPr="00B11E7B">
        <w:rPr>
          <w:rFonts w:ascii="Times New Roman" w:hAnsi="Times New Roman" w:cs="Times New Roman"/>
          <w:i/>
          <w:sz w:val="22"/>
          <w:szCs w:val="22"/>
        </w:rPr>
        <w:t>Акциски план за спроведување на препораките на Европската Унија упатени до Судски п совет на Република Северна Македонија</w:t>
      </w:r>
      <w:r w:rsidRPr="00B11E7B">
        <w:rPr>
          <w:rFonts w:ascii="Times New Roman" w:hAnsi="Times New Roman" w:cs="Times New Roman"/>
          <w:sz w:val="22"/>
          <w:szCs w:val="22"/>
        </w:rPr>
        <w:t>,</w:t>
      </w:r>
    </w:p>
    <w:p w14:paraId="74AC2D79" w14:textId="297B8E2B" w:rsidR="006A4308" w:rsidRPr="00B11E7B" w:rsidRDefault="006A4308" w:rsidP="00B11E7B">
      <w:pPr>
        <w:pStyle w:val="Heading2"/>
        <w:tabs>
          <w:tab w:val="left" w:leader="hyphen" w:pos="4724"/>
        </w:tabs>
        <w:spacing w:before="121"/>
        <w:ind w:right="977"/>
      </w:pPr>
      <w:r w:rsidRPr="00B11E7B">
        <w:t xml:space="preserve">Судски совет на Северна Македонија (2024), </w:t>
      </w:r>
      <w:r w:rsidRPr="00B11E7B">
        <w:rPr>
          <w:i/>
          <w:iCs/>
        </w:rPr>
        <w:t>Годишен извештај за работата на Судскиот совет на Република Северна Македонија за 2023 година</w:t>
      </w:r>
      <w:r w:rsidRPr="00B11E7B">
        <w:t xml:space="preserve">, </w:t>
      </w:r>
      <w:hyperlink r:id="rId40">
        <w:r w:rsidRPr="00B11E7B">
          <w:rPr>
            <w:color w:val="0000FF"/>
            <w:u w:val="single" w:color="0000FF"/>
          </w:rPr>
          <w:t>Судскиот совет на Република Македонија, согласно со член 64 од Законот за Судски</w:t>
        </w:r>
      </w:hyperlink>
      <w:r w:rsidRPr="00B11E7B">
        <w:rPr>
          <w:color w:val="0000FF"/>
        </w:rPr>
        <w:t xml:space="preserve"> </w:t>
      </w:r>
      <w:hyperlink r:id="rId41">
        <w:r w:rsidRPr="00B11E7B">
          <w:rPr>
            <w:color w:val="0000FF"/>
            <w:u w:val="single" w:color="0000FF"/>
          </w:rPr>
          <w:t>совет, на седницата одржана на</w:t>
        </w:r>
        <w:r w:rsidR="002A0EE9">
          <w:rPr>
            <w:color w:val="0000FF"/>
            <w:u w:val="single" w:color="0000FF"/>
          </w:rPr>
          <w:t xml:space="preserve"> ----------</w:t>
        </w:r>
        <w:r w:rsidRPr="00B11E7B">
          <w:rPr>
            <w:color w:val="0000FF"/>
            <w:u w:val="single" w:color="0000FF"/>
          </w:rPr>
          <w:t>годи (sud.mk)</w:t>
        </w:r>
      </w:hyperlink>
      <w:r w:rsidRPr="00B11E7B">
        <w:t>.</w:t>
      </w:r>
    </w:p>
    <w:p w14:paraId="0C596403" w14:textId="77777777" w:rsidR="006A4308" w:rsidRPr="00B11E7B" w:rsidRDefault="006A4308" w:rsidP="00B11E7B">
      <w:pPr>
        <w:spacing w:before="119"/>
        <w:ind w:left="980" w:right="977"/>
        <w:jc w:val="both"/>
        <w:rPr>
          <w:rFonts w:ascii="Times New Roman" w:hAnsi="Times New Roman" w:cs="Times New Roman"/>
          <w:sz w:val="22"/>
          <w:szCs w:val="22"/>
        </w:rPr>
      </w:pPr>
      <w:r w:rsidRPr="00B11E7B">
        <w:rPr>
          <w:rFonts w:ascii="Times New Roman" w:hAnsi="Times New Roman" w:cs="Times New Roman"/>
          <w:sz w:val="22"/>
          <w:szCs w:val="22"/>
        </w:rPr>
        <w:t xml:space="preserve">Судски совет (2024). Комуникациска стратегија на Судскиот совет и судовите на Република Северна Македонија (2024-2028), </w:t>
      </w:r>
      <w:hyperlink r:id="rId42">
        <w:r w:rsidRPr="00B11E7B">
          <w:rPr>
            <w:rFonts w:ascii="Times New Roman" w:hAnsi="Times New Roman" w:cs="Times New Roman"/>
            <w:color w:val="0000FF"/>
            <w:sz w:val="22"/>
            <w:szCs w:val="22"/>
            <w:u w:val="single" w:color="0000FF"/>
          </w:rPr>
          <w:t>Подзаконски акти (vsrm.mk)</w:t>
        </w:r>
      </w:hyperlink>
    </w:p>
    <w:p w14:paraId="0E04058F" w14:textId="0C609BF4" w:rsidR="006A4308" w:rsidRPr="00B11E7B" w:rsidRDefault="006A4308" w:rsidP="002A0EE9">
      <w:pPr>
        <w:spacing w:before="119"/>
        <w:ind w:left="980" w:right="978"/>
        <w:jc w:val="both"/>
        <w:rPr>
          <w:rFonts w:ascii="Times New Roman" w:hAnsi="Times New Roman" w:cs="Times New Roman"/>
          <w:sz w:val="22"/>
          <w:szCs w:val="22"/>
        </w:rPr>
      </w:pPr>
      <w:r w:rsidRPr="00B11E7B">
        <w:rPr>
          <w:rFonts w:ascii="Times New Roman" w:hAnsi="Times New Roman" w:cs="Times New Roman"/>
          <w:sz w:val="22"/>
          <w:szCs w:val="22"/>
        </w:rPr>
        <w:t xml:space="preserve">Судски совет на Северна Македонија (2020), </w:t>
      </w:r>
      <w:r w:rsidRPr="00B11E7B">
        <w:rPr>
          <w:rFonts w:ascii="Times New Roman" w:hAnsi="Times New Roman" w:cs="Times New Roman"/>
          <w:i/>
          <w:sz w:val="22"/>
          <w:szCs w:val="22"/>
        </w:rPr>
        <w:t>Стратегија на човечки ресурси за судската мрежа</w:t>
      </w:r>
      <w:r w:rsidR="002A0EE9">
        <w:rPr>
          <w:rFonts w:ascii="Times New Roman" w:hAnsi="Times New Roman" w:cs="Times New Roman"/>
          <w:sz w:val="22"/>
          <w:szCs w:val="22"/>
        </w:rPr>
        <w:t>,</w:t>
      </w:r>
      <w:r w:rsidR="00022334">
        <w:rPr>
          <w:rFonts w:ascii="Times New Roman" w:hAnsi="Times New Roman" w:cs="Times New Roman"/>
          <w:sz w:val="22"/>
          <w:szCs w:val="22"/>
          <w:lang w:val="en-US"/>
        </w:rPr>
        <w:t xml:space="preserve"> </w:t>
      </w:r>
      <w:hyperlink r:id="rId43">
        <w:r w:rsidRPr="00B11E7B">
          <w:rPr>
            <w:rFonts w:ascii="Times New Roman" w:hAnsi="Times New Roman" w:cs="Times New Roman"/>
            <w:color w:val="0000FF"/>
            <w:sz w:val="22"/>
            <w:szCs w:val="22"/>
            <w:u w:val="single" w:color="0000FF"/>
          </w:rPr>
          <w:t>http://www.sud.mk/wps/wcm/connect/ssrm/2e461c73-9f74</w:t>
        </w:r>
        <w:r w:rsidR="002A0EE9">
          <w:rPr>
            <w:rFonts w:ascii="Times New Roman" w:hAnsi="Times New Roman" w:cs="Times New Roman"/>
            <w:color w:val="0000FF"/>
            <w:sz w:val="22"/>
            <w:szCs w:val="22"/>
            <w:u w:val="single" w:color="0000FF"/>
          </w:rPr>
          <w:t>-</w:t>
        </w:r>
        <w:r w:rsidRPr="00B11E7B">
          <w:rPr>
            <w:rFonts w:ascii="Times New Roman" w:hAnsi="Times New Roman" w:cs="Times New Roman"/>
            <w:color w:val="0000FF"/>
            <w:sz w:val="22"/>
            <w:szCs w:val="22"/>
            <w:u w:val="single" w:color="0000FF"/>
          </w:rPr>
          <w:t>4744-99d3-</w:t>
        </w:r>
      </w:hyperlink>
      <w:hyperlink r:id="rId44">
        <w:r w:rsidRPr="00B11E7B">
          <w:rPr>
            <w:rFonts w:ascii="Times New Roman" w:hAnsi="Times New Roman" w:cs="Times New Roman"/>
            <w:color w:val="0000FF"/>
            <w:sz w:val="22"/>
            <w:szCs w:val="22"/>
            <w:u w:val="single" w:color="0000FF"/>
          </w:rPr>
          <w:t>945227a80b7c/Konecen+narativen+del+Strategija+za+covecki+resursi+sud+mreza-+za+objava-</w:t>
        </w:r>
      </w:hyperlink>
      <w:hyperlink r:id="rId45">
        <w:r w:rsidRPr="00B11E7B">
          <w:rPr>
            <w:rFonts w:ascii="Times New Roman" w:hAnsi="Times New Roman" w:cs="Times New Roman"/>
            <w:color w:val="0000FF"/>
            <w:sz w:val="22"/>
            <w:szCs w:val="22"/>
            <w:u w:val="single" w:color="0000FF"/>
          </w:rPr>
          <w:t>+3.pdf?MOD=AJPERES</w:t>
        </w:r>
        <w:r w:rsidRPr="00B11E7B">
          <w:rPr>
            <w:rFonts w:ascii="Times New Roman" w:hAnsi="Times New Roman" w:cs="Times New Roman"/>
            <w:sz w:val="22"/>
            <w:szCs w:val="22"/>
          </w:rPr>
          <w:t>.</w:t>
        </w:r>
      </w:hyperlink>
    </w:p>
    <w:p w14:paraId="3DAEF556" w14:textId="0FF71426" w:rsidR="006A4308" w:rsidRPr="00B11E7B" w:rsidRDefault="00B835D6" w:rsidP="007D59F2">
      <w:pPr>
        <w:spacing w:before="119"/>
        <w:ind w:left="980" w:right="1067"/>
        <w:jc w:val="both"/>
        <w:rPr>
          <w:rFonts w:ascii="Times New Roman" w:hAnsi="Times New Roman" w:cs="Times New Roman"/>
          <w:sz w:val="22"/>
          <w:szCs w:val="22"/>
        </w:rPr>
      </w:pPr>
      <w:r w:rsidRPr="00B11E7B">
        <w:rPr>
          <w:rFonts w:ascii="Times New Roman" w:hAnsi="Times New Roman" w:cs="Times New Roman"/>
          <w:sz w:val="22"/>
          <w:szCs w:val="22"/>
        </w:rPr>
        <w:t>Судски совет на Северна Македонија (2024), Соопштение за медиумите 6.3.2024 година,</w:t>
      </w:r>
      <w:r w:rsidR="00B11E7B">
        <w:rPr>
          <w:rFonts w:ascii="Times New Roman" w:hAnsi="Times New Roman" w:cs="Times New Roman"/>
          <w:sz w:val="22"/>
          <w:szCs w:val="22"/>
          <w:lang w:val="en-US"/>
        </w:rPr>
        <w:t xml:space="preserve"> </w:t>
      </w:r>
      <w:r w:rsidR="006A4308" w:rsidRPr="007D59F2">
        <w:rPr>
          <w:rFonts w:ascii="Times New Roman" w:hAnsi="Times New Roman" w:cs="Times New Roman"/>
          <w:i/>
          <w:iCs/>
          <w:sz w:val="22"/>
          <w:szCs w:val="22"/>
        </w:rPr>
        <w:t>Соопштение</w:t>
      </w:r>
      <w:r w:rsidR="006A4308" w:rsidRPr="00B11E7B">
        <w:rPr>
          <w:rFonts w:ascii="Times New Roman" w:hAnsi="Times New Roman" w:cs="Times New Roman"/>
          <w:sz w:val="22"/>
          <w:szCs w:val="22"/>
        </w:rPr>
        <w:t xml:space="preserve">, </w:t>
      </w:r>
      <w:hyperlink r:id="rId46">
        <w:r w:rsidR="006A4308" w:rsidRPr="00B11E7B">
          <w:rPr>
            <w:rFonts w:ascii="Times New Roman" w:hAnsi="Times New Roman" w:cs="Times New Roman"/>
            <w:color w:val="0000FF"/>
            <w:sz w:val="22"/>
            <w:szCs w:val="22"/>
            <w:u w:val="single" w:color="0000FF"/>
          </w:rPr>
          <w:t>Соопштение (osvinica.mk)</w:t>
        </w:r>
        <w:r w:rsidR="006A4308" w:rsidRPr="00B11E7B">
          <w:rPr>
            <w:rFonts w:ascii="Times New Roman" w:hAnsi="Times New Roman" w:cs="Times New Roman"/>
            <w:sz w:val="22"/>
            <w:szCs w:val="22"/>
          </w:rPr>
          <w:t>.</w:t>
        </w:r>
      </w:hyperlink>
    </w:p>
    <w:p w14:paraId="7C06B5D6" w14:textId="7F65E3D9" w:rsidR="006A4308" w:rsidRPr="00B11E7B" w:rsidRDefault="006A4308" w:rsidP="00B11E7B">
      <w:pPr>
        <w:spacing w:before="117" w:line="244" w:lineRule="auto"/>
        <w:ind w:left="980" w:right="982"/>
        <w:jc w:val="both"/>
        <w:rPr>
          <w:rFonts w:ascii="Times New Roman" w:hAnsi="Times New Roman" w:cs="Times New Roman"/>
          <w:sz w:val="22"/>
          <w:szCs w:val="22"/>
        </w:rPr>
      </w:pPr>
      <w:r w:rsidRPr="00B11E7B">
        <w:rPr>
          <w:rFonts w:ascii="Times New Roman" w:hAnsi="Times New Roman" w:cs="Times New Roman"/>
          <w:sz w:val="22"/>
          <w:szCs w:val="22"/>
        </w:rPr>
        <w:t xml:space="preserve">Брз одговор за медиумска слобода (2023), </w:t>
      </w:r>
      <w:r w:rsidRPr="00B11E7B">
        <w:rPr>
          <w:rFonts w:ascii="Times New Roman" w:hAnsi="Times New Roman" w:cs="Times New Roman"/>
          <w:i/>
          <w:iCs/>
          <w:sz w:val="22"/>
          <w:szCs w:val="22"/>
        </w:rPr>
        <w:t>Судијата препорачува затворање на истражниот медиум</w:t>
      </w:r>
      <w:r w:rsidR="00B11E7B">
        <w:rPr>
          <w:rFonts w:ascii="Times New Roman" w:hAnsi="Times New Roman" w:cs="Times New Roman"/>
          <w:i/>
          <w:iCs/>
          <w:sz w:val="22"/>
          <w:szCs w:val="22"/>
          <w:lang w:val="en-US"/>
        </w:rPr>
        <w:t xml:space="preserve"> </w:t>
      </w:r>
      <w:r w:rsidRPr="00B11E7B">
        <w:rPr>
          <w:rFonts w:ascii="Times New Roman" w:hAnsi="Times New Roman" w:cs="Times New Roman"/>
          <w:i/>
          <w:iCs/>
          <w:sz w:val="22"/>
          <w:szCs w:val="22"/>
        </w:rPr>
        <w:t>Истражувачката репортерска лабораторија (ИРЛ)</w:t>
      </w:r>
      <w:r w:rsidRPr="00B11E7B">
        <w:rPr>
          <w:rFonts w:ascii="Times New Roman" w:hAnsi="Times New Roman" w:cs="Times New Roman"/>
          <w:sz w:val="22"/>
          <w:szCs w:val="22"/>
        </w:rPr>
        <w:t xml:space="preserve">, </w:t>
      </w:r>
      <w:hyperlink r:id="rId47">
        <w:r w:rsidRPr="00B11E7B">
          <w:rPr>
            <w:rFonts w:ascii="Times New Roman" w:hAnsi="Times New Roman" w:cs="Times New Roman"/>
            <w:color w:val="0000FF"/>
            <w:sz w:val="22"/>
            <w:szCs w:val="22"/>
            <w:u w:val="single" w:color="0000FF"/>
          </w:rPr>
          <w:t>https://www.mapmf.org/alert/30987</w:t>
        </w:r>
      </w:hyperlink>
      <w:r w:rsidRPr="00B11E7B">
        <w:rPr>
          <w:rFonts w:ascii="Times New Roman" w:hAnsi="Times New Roman" w:cs="Times New Roman"/>
          <w:sz w:val="22"/>
          <w:szCs w:val="22"/>
        </w:rPr>
        <w:t>.</w:t>
      </w:r>
    </w:p>
    <w:p w14:paraId="287ACB87" w14:textId="77777777" w:rsidR="006A4308" w:rsidRPr="00B11E7B" w:rsidRDefault="006A4308" w:rsidP="00B11E7B">
      <w:pPr>
        <w:spacing w:before="110" w:line="244" w:lineRule="auto"/>
        <w:ind w:left="980" w:right="978"/>
        <w:jc w:val="both"/>
        <w:rPr>
          <w:rFonts w:ascii="Times New Roman" w:hAnsi="Times New Roman" w:cs="Times New Roman"/>
          <w:sz w:val="22"/>
          <w:szCs w:val="22"/>
        </w:rPr>
      </w:pPr>
      <w:r w:rsidRPr="00B11E7B">
        <w:rPr>
          <w:rFonts w:ascii="Times New Roman" w:hAnsi="Times New Roman" w:cs="Times New Roman"/>
          <w:sz w:val="22"/>
          <w:szCs w:val="22"/>
        </w:rPr>
        <w:t xml:space="preserve">Брз одговор за медиумска слобода (2023), </w:t>
      </w:r>
      <w:r w:rsidRPr="00B11E7B">
        <w:rPr>
          <w:rFonts w:ascii="Times New Roman" w:hAnsi="Times New Roman" w:cs="Times New Roman"/>
          <w:i/>
          <w:iCs/>
          <w:sz w:val="22"/>
          <w:szCs w:val="22"/>
        </w:rPr>
        <w:t>Судијката Јованка Спировска Панева пресуди против ИРЛ во случајот за клевета</w:t>
      </w:r>
      <w:r w:rsidRPr="00B11E7B">
        <w:rPr>
          <w:rFonts w:ascii="Times New Roman" w:hAnsi="Times New Roman" w:cs="Times New Roman"/>
          <w:sz w:val="22"/>
          <w:szCs w:val="22"/>
        </w:rPr>
        <w:t xml:space="preserve">, </w:t>
      </w:r>
      <w:hyperlink r:id="rId48">
        <w:r w:rsidRPr="00B11E7B">
          <w:rPr>
            <w:rFonts w:ascii="Times New Roman" w:hAnsi="Times New Roman" w:cs="Times New Roman"/>
            <w:color w:val="0000FF"/>
            <w:sz w:val="22"/>
            <w:szCs w:val="22"/>
            <w:u w:val="single" w:color="0000FF"/>
          </w:rPr>
          <w:t>https://www.mapmf.org/alert/30782</w:t>
        </w:r>
        <w:r w:rsidRPr="00B11E7B">
          <w:rPr>
            <w:rFonts w:ascii="Times New Roman" w:hAnsi="Times New Roman" w:cs="Times New Roman"/>
            <w:sz w:val="22"/>
            <w:szCs w:val="22"/>
          </w:rPr>
          <w:t>.</w:t>
        </w:r>
      </w:hyperlink>
    </w:p>
    <w:p w14:paraId="09DECC65" w14:textId="77777777" w:rsidR="006A4308" w:rsidRPr="00B11E7B" w:rsidRDefault="006A4308" w:rsidP="00B11E7B">
      <w:pPr>
        <w:spacing w:before="113"/>
        <w:ind w:left="980"/>
        <w:jc w:val="both"/>
        <w:rPr>
          <w:rFonts w:ascii="Times New Roman" w:hAnsi="Times New Roman" w:cs="Times New Roman"/>
          <w:sz w:val="22"/>
          <w:szCs w:val="22"/>
        </w:rPr>
      </w:pPr>
      <w:r w:rsidRPr="00B11E7B">
        <w:rPr>
          <w:rFonts w:ascii="Times New Roman" w:hAnsi="Times New Roman" w:cs="Times New Roman"/>
          <w:sz w:val="22"/>
          <w:szCs w:val="22"/>
        </w:rPr>
        <w:t xml:space="preserve">Брз одговор за медиумска слобода (2024), Монитор, </w:t>
      </w:r>
      <w:hyperlink r:id="rId49">
        <w:r w:rsidRPr="00B11E7B">
          <w:rPr>
            <w:rFonts w:ascii="Times New Roman" w:hAnsi="Times New Roman" w:cs="Times New Roman"/>
            <w:color w:val="0000FF"/>
            <w:sz w:val="22"/>
            <w:szCs w:val="22"/>
            <w:u w:val="single" w:color="0000FF"/>
          </w:rPr>
          <w:t>https://www.mfrr.eu/monitor/</w:t>
        </w:r>
      </w:hyperlink>
    </w:p>
    <w:p w14:paraId="4353E3B5" w14:textId="611490E3" w:rsidR="006A4308" w:rsidRPr="00B11E7B" w:rsidRDefault="006A4308" w:rsidP="00B11E7B">
      <w:pPr>
        <w:spacing w:before="117" w:line="242" w:lineRule="auto"/>
        <w:ind w:left="980" w:right="974"/>
        <w:jc w:val="both"/>
        <w:rPr>
          <w:rFonts w:ascii="Times New Roman" w:hAnsi="Times New Roman" w:cs="Times New Roman"/>
          <w:sz w:val="22"/>
          <w:szCs w:val="22"/>
        </w:rPr>
      </w:pPr>
      <w:r w:rsidRPr="00B11E7B">
        <w:rPr>
          <w:rFonts w:ascii="Times New Roman" w:hAnsi="Times New Roman" w:cs="Times New Roman"/>
          <w:sz w:val="22"/>
          <w:szCs w:val="22"/>
        </w:rPr>
        <w:t xml:space="preserve">Министерство за правда на Северна Македонија (2023), </w:t>
      </w:r>
      <w:r w:rsidRPr="00B11E7B">
        <w:rPr>
          <w:rFonts w:ascii="Times New Roman" w:hAnsi="Times New Roman" w:cs="Times New Roman"/>
          <w:i/>
          <w:sz w:val="22"/>
          <w:szCs w:val="22"/>
        </w:rPr>
        <w:t xml:space="preserve">Нова развојна секторска стратегија за правосудство (2024-2028), </w:t>
      </w:r>
      <w:hyperlink r:id="rId50">
        <w:r w:rsidRPr="00B11E7B">
          <w:rPr>
            <w:rFonts w:ascii="Times New Roman" w:hAnsi="Times New Roman" w:cs="Times New Roman"/>
            <w:color w:val="0000FF"/>
            <w:sz w:val="22"/>
            <w:szCs w:val="22"/>
            <w:u w:val="single" w:color="0000FF"/>
          </w:rPr>
          <w:t>Предлог Развојна Секторска Стратегија за Правосудство 2024</w:t>
        </w:r>
        <w:r w:rsidR="002A0EE9">
          <w:rPr>
            <w:rFonts w:ascii="Times New Roman" w:hAnsi="Times New Roman" w:cs="Times New Roman"/>
            <w:color w:val="0000FF"/>
            <w:sz w:val="22"/>
            <w:szCs w:val="22"/>
            <w:u w:val="single" w:color="0000FF"/>
          </w:rPr>
          <w:t xml:space="preserve"> </w:t>
        </w:r>
        <w:r w:rsidRPr="00B11E7B">
          <w:rPr>
            <w:rFonts w:ascii="Times New Roman" w:hAnsi="Times New Roman" w:cs="Times New Roman"/>
            <w:color w:val="0000FF"/>
            <w:sz w:val="22"/>
            <w:szCs w:val="22"/>
            <w:u w:val="single" w:color="0000FF"/>
          </w:rPr>
          <w:t>-</w:t>
        </w:r>
      </w:hyperlink>
      <w:r w:rsidR="002A0EE9">
        <w:rPr>
          <w:rFonts w:ascii="Times New Roman" w:hAnsi="Times New Roman" w:cs="Times New Roman"/>
          <w:color w:val="0000FF"/>
          <w:sz w:val="22"/>
          <w:szCs w:val="22"/>
          <w:u w:val="single" w:color="0000FF"/>
        </w:rPr>
        <w:t xml:space="preserve"> </w:t>
      </w:r>
      <w:hyperlink r:id="rId51">
        <w:r w:rsidRPr="00B11E7B">
          <w:rPr>
            <w:rFonts w:ascii="Times New Roman" w:hAnsi="Times New Roman" w:cs="Times New Roman"/>
            <w:color w:val="0000FF"/>
            <w:sz w:val="22"/>
            <w:szCs w:val="22"/>
            <w:u w:val="single" w:color="0000FF"/>
          </w:rPr>
          <w:t>2027.pdf (pravda.gov.mk)</w:t>
        </w:r>
        <w:r w:rsidRPr="00B11E7B">
          <w:rPr>
            <w:rFonts w:ascii="Times New Roman" w:hAnsi="Times New Roman" w:cs="Times New Roman"/>
            <w:sz w:val="22"/>
            <w:szCs w:val="22"/>
          </w:rPr>
          <w:t>.</w:t>
        </w:r>
      </w:hyperlink>
    </w:p>
    <w:p w14:paraId="04536642" w14:textId="77777777" w:rsidR="006A4308" w:rsidRPr="00B11E7B" w:rsidRDefault="006A4308" w:rsidP="00B11E7B">
      <w:pPr>
        <w:spacing w:before="111"/>
        <w:ind w:left="980" w:right="977"/>
        <w:jc w:val="both"/>
        <w:rPr>
          <w:rFonts w:ascii="Times New Roman" w:hAnsi="Times New Roman" w:cs="Times New Roman"/>
          <w:sz w:val="22"/>
          <w:szCs w:val="22"/>
        </w:rPr>
      </w:pPr>
      <w:r w:rsidRPr="00B11E7B">
        <w:rPr>
          <w:rFonts w:ascii="Times New Roman" w:hAnsi="Times New Roman" w:cs="Times New Roman"/>
          <w:sz w:val="22"/>
          <w:szCs w:val="22"/>
        </w:rPr>
        <w:t xml:space="preserve">Министерство за правда на Северна Македонија (2024), Соопштение за медиумите 26.03.2024 година, </w:t>
      </w:r>
      <w:r w:rsidRPr="00B11E7B">
        <w:rPr>
          <w:rFonts w:ascii="Times New Roman" w:hAnsi="Times New Roman" w:cs="Times New Roman"/>
          <w:i/>
          <w:iCs/>
          <w:sz w:val="22"/>
          <w:szCs w:val="22"/>
        </w:rPr>
        <w:t>Владата на денешната седница донесе одлука за формирање на Совет за следење на имплементацијата на Развојната Секторска Стратегија за правосудство (2024 – 2028)</w:t>
      </w:r>
      <w:r w:rsidRPr="00B11E7B">
        <w:rPr>
          <w:rFonts w:ascii="Times New Roman" w:hAnsi="Times New Roman" w:cs="Times New Roman"/>
          <w:sz w:val="22"/>
          <w:szCs w:val="22"/>
        </w:rPr>
        <w:t xml:space="preserve">, </w:t>
      </w:r>
      <w:hyperlink r:id="rId52">
        <w:r w:rsidRPr="00B11E7B">
          <w:rPr>
            <w:rFonts w:ascii="Times New Roman" w:hAnsi="Times New Roman" w:cs="Times New Roman"/>
            <w:color w:val="0000FF"/>
            <w:sz w:val="22"/>
            <w:szCs w:val="22"/>
            <w:u w:val="single" w:color="0000FF"/>
          </w:rPr>
          <w:t>https://www.pravda.gov.mk/vest/6691</w:t>
        </w:r>
      </w:hyperlink>
      <w:r w:rsidRPr="00B11E7B">
        <w:rPr>
          <w:rFonts w:ascii="Times New Roman" w:hAnsi="Times New Roman" w:cs="Times New Roman"/>
          <w:sz w:val="22"/>
          <w:szCs w:val="22"/>
        </w:rPr>
        <w:t>.</w:t>
      </w:r>
    </w:p>
    <w:p w14:paraId="0E869ABE" w14:textId="6914D8AC" w:rsidR="006A4308" w:rsidRPr="00B11E7B" w:rsidRDefault="006A4308" w:rsidP="00B11E7B">
      <w:pPr>
        <w:spacing w:before="120" w:line="242" w:lineRule="auto"/>
        <w:ind w:left="980" w:right="973"/>
        <w:jc w:val="both"/>
        <w:rPr>
          <w:rFonts w:ascii="Times New Roman" w:hAnsi="Times New Roman" w:cs="Times New Roman"/>
          <w:sz w:val="22"/>
          <w:szCs w:val="22"/>
        </w:rPr>
      </w:pPr>
      <w:r w:rsidRPr="00B11E7B">
        <w:rPr>
          <w:rFonts w:ascii="Times New Roman" w:hAnsi="Times New Roman" w:cs="Times New Roman"/>
          <w:sz w:val="22"/>
          <w:szCs w:val="22"/>
        </w:rPr>
        <w:t>Министерство за правда на Северна Македонија (2024), Соопштение за медиумите 11.06.2024</w:t>
      </w:r>
      <w:r w:rsidR="002A0EE9">
        <w:rPr>
          <w:rFonts w:ascii="Times New Roman" w:hAnsi="Times New Roman" w:cs="Times New Roman"/>
          <w:sz w:val="22"/>
          <w:szCs w:val="22"/>
        </w:rPr>
        <w:t xml:space="preserve"> година</w:t>
      </w:r>
      <w:r w:rsidRPr="00B11E7B">
        <w:rPr>
          <w:rFonts w:ascii="Times New Roman" w:hAnsi="Times New Roman" w:cs="Times New Roman"/>
          <w:sz w:val="22"/>
          <w:szCs w:val="22"/>
        </w:rPr>
        <w:t xml:space="preserve">, </w:t>
      </w:r>
      <w:r w:rsidRPr="00B11E7B">
        <w:rPr>
          <w:rFonts w:ascii="Times New Roman" w:hAnsi="Times New Roman" w:cs="Times New Roman"/>
          <w:i/>
          <w:iCs/>
          <w:sz w:val="22"/>
          <w:szCs w:val="22"/>
        </w:rPr>
        <w:t>Имплементирање на препораките од Оценската мисија за Судскиот совет,</w:t>
      </w:r>
      <w:r w:rsidRPr="00B11E7B">
        <w:rPr>
          <w:rFonts w:ascii="Times New Roman" w:hAnsi="Times New Roman" w:cs="Times New Roman"/>
          <w:i/>
          <w:sz w:val="22"/>
          <w:szCs w:val="22"/>
        </w:rPr>
        <w:t xml:space="preserve"> </w:t>
      </w:r>
      <w:hyperlink r:id="rId53">
        <w:r w:rsidRPr="00B11E7B">
          <w:rPr>
            <w:rFonts w:ascii="Times New Roman" w:hAnsi="Times New Roman" w:cs="Times New Roman"/>
            <w:color w:val="0000FF"/>
            <w:sz w:val="22"/>
            <w:szCs w:val="22"/>
            <w:u w:val="single" w:color="0000FF"/>
          </w:rPr>
          <w:t>pravda.gov.mk/vest/6704</w:t>
        </w:r>
      </w:hyperlink>
      <w:r w:rsidRPr="00B11E7B">
        <w:rPr>
          <w:rFonts w:ascii="Times New Roman" w:hAnsi="Times New Roman" w:cs="Times New Roman"/>
          <w:sz w:val="22"/>
          <w:szCs w:val="22"/>
        </w:rPr>
        <w:t>.</w:t>
      </w:r>
    </w:p>
    <w:p w14:paraId="5CEB174E" w14:textId="090E1814" w:rsidR="006A4308" w:rsidRPr="00B11E7B" w:rsidRDefault="006A4308" w:rsidP="00B11E7B">
      <w:pPr>
        <w:spacing w:before="112"/>
        <w:ind w:left="980" w:right="976"/>
        <w:jc w:val="both"/>
        <w:rPr>
          <w:rFonts w:ascii="Times New Roman" w:hAnsi="Times New Roman" w:cs="Times New Roman"/>
          <w:sz w:val="22"/>
          <w:szCs w:val="22"/>
        </w:rPr>
      </w:pPr>
      <w:r w:rsidRPr="00B11E7B">
        <w:rPr>
          <w:rFonts w:ascii="Times New Roman" w:hAnsi="Times New Roman" w:cs="Times New Roman"/>
          <w:sz w:val="22"/>
          <w:szCs w:val="22"/>
        </w:rPr>
        <w:t xml:space="preserve">Канцеларија на Народниот правобранител (2023), </w:t>
      </w:r>
      <w:r w:rsidRPr="00B11E7B">
        <w:rPr>
          <w:rFonts w:ascii="Times New Roman" w:hAnsi="Times New Roman" w:cs="Times New Roman"/>
          <w:i/>
          <w:iCs/>
          <w:sz w:val="22"/>
          <w:szCs w:val="22"/>
        </w:rPr>
        <w:t>Годишен извештај за степенот на обезбедувањето почитување, унапредување и заштита на човековите слободи и права</w:t>
      </w:r>
      <w:r w:rsidRPr="00B11E7B">
        <w:rPr>
          <w:rFonts w:ascii="Times New Roman" w:hAnsi="Times New Roman" w:cs="Times New Roman"/>
          <w:sz w:val="22"/>
          <w:szCs w:val="22"/>
        </w:rPr>
        <w:t>.</w:t>
      </w:r>
    </w:p>
    <w:p w14:paraId="41E9F296" w14:textId="77777777" w:rsidR="006A4308" w:rsidRPr="00B11E7B" w:rsidRDefault="006A4308" w:rsidP="00B11E7B">
      <w:pPr>
        <w:spacing w:before="119" w:line="244" w:lineRule="auto"/>
        <w:ind w:left="980" w:right="978"/>
        <w:jc w:val="both"/>
        <w:rPr>
          <w:rFonts w:ascii="Times New Roman" w:hAnsi="Times New Roman" w:cs="Times New Roman"/>
          <w:i/>
          <w:sz w:val="22"/>
          <w:szCs w:val="22"/>
        </w:rPr>
      </w:pPr>
      <w:r w:rsidRPr="00B11E7B">
        <w:rPr>
          <w:rFonts w:ascii="Times New Roman" w:hAnsi="Times New Roman" w:cs="Times New Roman"/>
          <w:sz w:val="22"/>
          <w:szCs w:val="22"/>
        </w:rPr>
        <w:t xml:space="preserve">Мисија на ОБСЕ во Скопје (2023), </w:t>
      </w:r>
      <w:r w:rsidRPr="00B11E7B">
        <w:rPr>
          <w:rFonts w:ascii="Times New Roman" w:hAnsi="Times New Roman" w:cs="Times New Roman"/>
          <w:i/>
          <w:iCs/>
          <w:sz w:val="22"/>
          <w:szCs w:val="22"/>
        </w:rPr>
        <w:t>Проценка на ризиците од корупција во правосудството во Северна Македонија</w:t>
      </w:r>
      <w:r w:rsidRPr="00B11E7B">
        <w:rPr>
          <w:rFonts w:ascii="Times New Roman" w:hAnsi="Times New Roman" w:cs="Times New Roman"/>
          <w:sz w:val="22"/>
          <w:szCs w:val="22"/>
        </w:rPr>
        <w:t>,</w:t>
      </w:r>
      <w:r w:rsidRPr="00B11E7B">
        <w:rPr>
          <w:rFonts w:ascii="Times New Roman" w:hAnsi="Times New Roman" w:cs="Times New Roman"/>
          <w:i/>
          <w:sz w:val="22"/>
          <w:szCs w:val="22"/>
        </w:rPr>
        <w:t xml:space="preserve"> </w:t>
      </w:r>
      <w:hyperlink r:id="rId54">
        <w:r w:rsidRPr="00B11E7B">
          <w:rPr>
            <w:rFonts w:ascii="Times New Roman" w:hAnsi="Times New Roman" w:cs="Times New Roman"/>
            <w:i/>
            <w:color w:val="0000FF"/>
            <w:sz w:val="22"/>
            <w:szCs w:val="22"/>
            <w:u w:val="single" w:color="0000FF"/>
          </w:rPr>
          <w:t>https://www.osce.org/mission-to-skopje/545929</w:t>
        </w:r>
      </w:hyperlink>
      <w:r w:rsidRPr="00B11E7B">
        <w:rPr>
          <w:rFonts w:ascii="Times New Roman" w:hAnsi="Times New Roman" w:cs="Times New Roman"/>
          <w:i/>
          <w:sz w:val="22"/>
          <w:szCs w:val="22"/>
        </w:rPr>
        <w:t>.</w:t>
      </w:r>
    </w:p>
    <w:p w14:paraId="470C49DF" w14:textId="77777777" w:rsidR="006A4308" w:rsidRPr="00B11E7B" w:rsidRDefault="006A4308" w:rsidP="00B11E7B">
      <w:pPr>
        <w:pStyle w:val="Heading3"/>
        <w:spacing w:line="244" w:lineRule="auto"/>
      </w:pPr>
      <w:r w:rsidRPr="00D234A9">
        <w:rPr>
          <w:i w:val="0"/>
        </w:rPr>
        <w:t>ОБСЕ (2024),</w:t>
      </w:r>
      <w:r w:rsidRPr="00B11E7B">
        <w:t xml:space="preserve"> Меѓународна мисија за набљудување на изборите – Република Северна Македонија – Претседателски избори, 24 април 2024 година. Изјава за прелиминарни наоди и заклучоци.</w:t>
      </w:r>
    </w:p>
    <w:p w14:paraId="3D7AC0A3" w14:textId="64EF0CBE" w:rsidR="006A4308" w:rsidRPr="00B11E7B" w:rsidRDefault="006A4308" w:rsidP="00B11E7B">
      <w:pPr>
        <w:spacing w:before="110"/>
        <w:ind w:left="980" w:right="974"/>
        <w:jc w:val="both"/>
        <w:rPr>
          <w:rFonts w:ascii="Times New Roman" w:hAnsi="Times New Roman" w:cs="Times New Roman"/>
          <w:sz w:val="22"/>
          <w:szCs w:val="22"/>
        </w:rPr>
      </w:pPr>
      <w:r w:rsidRPr="00B11E7B">
        <w:rPr>
          <w:rFonts w:ascii="Times New Roman" w:hAnsi="Times New Roman" w:cs="Times New Roman"/>
          <w:sz w:val="22"/>
          <w:szCs w:val="22"/>
        </w:rPr>
        <w:t xml:space="preserve">Набљудувачка мисија на изборите на ОБСЕ/ОДИХР (2024), </w:t>
      </w:r>
      <w:r w:rsidRPr="00B11E7B">
        <w:rPr>
          <w:rFonts w:ascii="Times New Roman" w:hAnsi="Times New Roman" w:cs="Times New Roman"/>
          <w:i/>
          <w:iCs/>
          <w:sz w:val="22"/>
          <w:szCs w:val="22"/>
        </w:rPr>
        <w:t>Привремен извештај - претседателски и парламентарни избори, 24 април и 8 мај 2024 година,</w:t>
      </w:r>
      <w:r w:rsidRPr="00B11E7B">
        <w:rPr>
          <w:rFonts w:ascii="Times New Roman" w:hAnsi="Times New Roman" w:cs="Times New Roman"/>
          <w:i/>
          <w:sz w:val="22"/>
          <w:szCs w:val="22"/>
        </w:rPr>
        <w:t xml:space="preserve"> </w:t>
      </w:r>
      <w:hyperlink r:id="rId55">
        <w:r w:rsidRPr="00B11E7B">
          <w:rPr>
            <w:rFonts w:ascii="Times New Roman" w:hAnsi="Times New Roman" w:cs="Times New Roman"/>
            <w:color w:val="0000FF"/>
            <w:sz w:val="22"/>
            <w:szCs w:val="22"/>
            <w:u w:val="single" w:color="0000FF"/>
          </w:rPr>
          <w:t>https://www.osce.org/odihr/elections/north-</w:t>
        </w:r>
      </w:hyperlink>
      <w:hyperlink r:id="rId56">
        <w:r w:rsidRPr="00B11E7B">
          <w:rPr>
            <w:rFonts w:ascii="Times New Roman" w:hAnsi="Times New Roman" w:cs="Times New Roman"/>
            <w:color w:val="0000FF"/>
            <w:sz w:val="22"/>
            <w:szCs w:val="22"/>
            <w:u w:val="single" w:color="0000FF"/>
          </w:rPr>
          <w:t>macedonia/566401</w:t>
        </w:r>
      </w:hyperlink>
    </w:p>
    <w:p w14:paraId="22141A7D" w14:textId="671DC580" w:rsidR="006A4308" w:rsidRPr="00B11E7B" w:rsidRDefault="006A4308" w:rsidP="006A4308">
      <w:pPr>
        <w:spacing w:before="80"/>
        <w:ind w:left="980" w:right="982"/>
        <w:jc w:val="both"/>
        <w:rPr>
          <w:rFonts w:ascii="Times New Roman" w:hAnsi="Times New Roman" w:cs="Times New Roman"/>
          <w:sz w:val="22"/>
          <w:szCs w:val="22"/>
        </w:rPr>
      </w:pPr>
      <w:r w:rsidRPr="00B11E7B">
        <w:rPr>
          <w:rFonts w:ascii="Times New Roman" w:hAnsi="Times New Roman" w:cs="Times New Roman"/>
          <w:sz w:val="22"/>
          <w:szCs w:val="22"/>
        </w:rPr>
        <w:t xml:space="preserve">Призма (2024), Медиумски реформи: На десно, во круг и назад, </w:t>
      </w:r>
      <w:hyperlink r:id="rId57">
        <w:r w:rsidRPr="00B11E7B">
          <w:rPr>
            <w:rFonts w:ascii="Times New Roman" w:hAnsi="Times New Roman" w:cs="Times New Roman"/>
            <w:color w:val="0000FF"/>
            <w:sz w:val="22"/>
            <w:szCs w:val="22"/>
            <w:u w:val="single" w:color="0000FF"/>
          </w:rPr>
          <w:t>https://prizma.mk/mediumski-reformi-na-desno-vo-krug-i-nazad/</w:t>
        </w:r>
      </w:hyperlink>
      <w:r w:rsidRPr="00B11E7B">
        <w:rPr>
          <w:rFonts w:ascii="Times New Roman" w:hAnsi="Times New Roman" w:cs="Times New Roman"/>
          <w:sz w:val="22"/>
          <w:szCs w:val="22"/>
        </w:rPr>
        <w:t>.</w:t>
      </w:r>
    </w:p>
    <w:p w14:paraId="7848F3EA" w14:textId="77777777" w:rsidR="006A4308" w:rsidRPr="00B11E7B" w:rsidRDefault="006A4308" w:rsidP="006A4308">
      <w:pPr>
        <w:spacing w:before="121"/>
        <w:ind w:left="980" w:right="975"/>
        <w:jc w:val="both"/>
        <w:rPr>
          <w:rFonts w:ascii="Times New Roman" w:hAnsi="Times New Roman" w:cs="Times New Roman"/>
          <w:sz w:val="22"/>
          <w:szCs w:val="22"/>
        </w:rPr>
      </w:pPr>
      <w:r w:rsidRPr="00B11E7B">
        <w:rPr>
          <w:rFonts w:ascii="Times New Roman" w:hAnsi="Times New Roman" w:cs="Times New Roman"/>
          <w:sz w:val="22"/>
          <w:szCs w:val="22"/>
        </w:rPr>
        <w:lastRenderedPageBreak/>
        <w:t xml:space="preserve">Призма (2024), </w:t>
      </w:r>
      <w:r w:rsidRPr="00B11E7B">
        <w:rPr>
          <w:rFonts w:ascii="Times New Roman" w:hAnsi="Times New Roman" w:cs="Times New Roman"/>
          <w:i/>
          <w:iCs/>
          <w:sz w:val="22"/>
          <w:szCs w:val="22"/>
        </w:rPr>
        <w:t>Ризик од злоупотреба со парите за изборни реклами</w:t>
      </w:r>
      <w:r w:rsidRPr="00B11E7B">
        <w:rPr>
          <w:rFonts w:ascii="Times New Roman" w:hAnsi="Times New Roman" w:cs="Times New Roman"/>
          <w:sz w:val="22"/>
          <w:szCs w:val="22"/>
        </w:rPr>
        <w:t xml:space="preserve">, </w:t>
      </w:r>
      <w:hyperlink r:id="rId58">
        <w:r w:rsidRPr="00B11E7B">
          <w:rPr>
            <w:rFonts w:ascii="Times New Roman" w:hAnsi="Times New Roman" w:cs="Times New Roman"/>
            <w:color w:val="0000FF"/>
            <w:sz w:val="22"/>
            <w:szCs w:val="22"/>
            <w:u w:val="single" w:color="0000FF"/>
          </w:rPr>
          <w:t>https://prizma.mk/rizik-od-zloupotreba-od-parite-za-izborni-reklami/</w:t>
        </w:r>
      </w:hyperlink>
      <w:r w:rsidRPr="00B11E7B">
        <w:rPr>
          <w:rFonts w:ascii="Times New Roman" w:hAnsi="Times New Roman" w:cs="Times New Roman"/>
          <w:sz w:val="22"/>
          <w:szCs w:val="22"/>
        </w:rPr>
        <w:t>.</w:t>
      </w:r>
    </w:p>
    <w:p w14:paraId="21C2554A" w14:textId="77777777" w:rsidR="006A4308" w:rsidRPr="00B11E7B" w:rsidRDefault="006A4308" w:rsidP="006A4308">
      <w:pPr>
        <w:spacing w:before="120"/>
        <w:ind w:left="980" w:right="972"/>
        <w:jc w:val="both"/>
        <w:rPr>
          <w:rFonts w:ascii="Times New Roman" w:hAnsi="Times New Roman" w:cs="Times New Roman"/>
          <w:sz w:val="22"/>
          <w:szCs w:val="22"/>
        </w:rPr>
      </w:pPr>
      <w:r w:rsidRPr="00B11E7B">
        <w:rPr>
          <w:rFonts w:ascii="Times New Roman" w:hAnsi="Times New Roman" w:cs="Times New Roman"/>
          <w:sz w:val="22"/>
          <w:szCs w:val="22"/>
        </w:rPr>
        <w:t xml:space="preserve">Предлог-програма за работа на Владата (2024-2028), објавена на веб-страницата на парламентот, </w:t>
      </w:r>
      <w:hyperlink r:id="rId59">
        <w:r w:rsidRPr="00B11E7B">
          <w:rPr>
            <w:rFonts w:ascii="Times New Roman" w:hAnsi="Times New Roman" w:cs="Times New Roman"/>
            <w:color w:val="0000FF"/>
            <w:sz w:val="22"/>
            <w:szCs w:val="22"/>
            <w:u w:val="single" w:color="0000FF"/>
          </w:rPr>
          <w:t>https://www.sobranie.mk/detali-na-materijal.nspx?param=3ae13141-ac9e-486a-950e-</w:t>
        </w:r>
      </w:hyperlink>
      <w:r w:rsidRPr="00B11E7B">
        <w:rPr>
          <w:rFonts w:ascii="Times New Roman" w:hAnsi="Times New Roman" w:cs="Times New Roman"/>
          <w:color w:val="0000FF"/>
          <w:sz w:val="22"/>
          <w:szCs w:val="22"/>
        </w:rPr>
        <w:t xml:space="preserve"> </w:t>
      </w:r>
      <w:hyperlink r:id="rId60">
        <w:r w:rsidRPr="00B11E7B">
          <w:rPr>
            <w:rFonts w:ascii="Times New Roman" w:hAnsi="Times New Roman" w:cs="Times New Roman"/>
            <w:color w:val="0000FF"/>
            <w:sz w:val="22"/>
            <w:szCs w:val="22"/>
            <w:u w:val="single" w:color="0000FF"/>
          </w:rPr>
          <w:t>f603c34dcea4</w:t>
        </w:r>
        <w:r w:rsidRPr="00B11E7B">
          <w:rPr>
            <w:rFonts w:ascii="Times New Roman" w:hAnsi="Times New Roman" w:cs="Times New Roman"/>
            <w:sz w:val="22"/>
            <w:szCs w:val="22"/>
          </w:rPr>
          <w:t>.</w:t>
        </w:r>
      </w:hyperlink>
    </w:p>
    <w:p w14:paraId="374EC655" w14:textId="05FEB8C9" w:rsidR="006A4308" w:rsidRPr="00B11E7B" w:rsidRDefault="006A4308" w:rsidP="00252F23">
      <w:pPr>
        <w:spacing w:before="120"/>
        <w:ind w:left="980" w:right="972"/>
        <w:jc w:val="both"/>
        <w:rPr>
          <w:rFonts w:ascii="Times New Roman" w:hAnsi="Times New Roman" w:cs="Times New Roman"/>
          <w:sz w:val="22"/>
          <w:szCs w:val="22"/>
        </w:rPr>
      </w:pPr>
      <w:r w:rsidRPr="00B11E7B">
        <w:rPr>
          <w:rFonts w:ascii="Times New Roman" w:hAnsi="Times New Roman" w:cs="Times New Roman"/>
          <w:sz w:val="22"/>
          <w:szCs w:val="22"/>
        </w:rPr>
        <w:t xml:space="preserve">Јавен обвинител на Северна Македонија (2024), </w:t>
      </w:r>
      <w:r w:rsidRPr="00B11E7B">
        <w:rPr>
          <w:rFonts w:ascii="Times New Roman" w:hAnsi="Times New Roman" w:cs="Times New Roman"/>
          <w:i/>
          <w:iCs/>
          <w:sz w:val="22"/>
          <w:szCs w:val="22"/>
        </w:rPr>
        <w:t>Програма</w:t>
      </w:r>
      <w:r w:rsidR="00B11E7B">
        <w:rPr>
          <w:rFonts w:ascii="Times New Roman" w:hAnsi="Times New Roman" w:cs="Times New Roman"/>
          <w:i/>
          <w:iCs/>
          <w:sz w:val="22"/>
          <w:szCs w:val="22"/>
          <w:lang w:val="en-US"/>
        </w:rPr>
        <w:t xml:space="preserve"> </w:t>
      </w:r>
      <w:r w:rsidRPr="00B11E7B">
        <w:rPr>
          <w:rFonts w:ascii="Times New Roman" w:hAnsi="Times New Roman" w:cs="Times New Roman"/>
          <w:i/>
          <w:iCs/>
          <w:sz w:val="22"/>
          <w:szCs w:val="22"/>
        </w:rPr>
        <w:t>за</w:t>
      </w:r>
      <w:r w:rsidR="00B11E7B">
        <w:rPr>
          <w:rFonts w:ascii="Times New Roman" w:hAnsi="Times New Roman" w:cs="Times New Roman"/>
          <w:i/>
          <w:iCs/>
          <w:sz w:val="22"/>
          <w:szCs w:val="22"/>
          <w:lang w:val="en-US"/>
        </w:rPr>
        <w:t xml:space="preserve"> </w:t>
      </w:r>
      <w:r w:rsidRPr="00B11E7B">
        <w:rPr>
          <w:rFonts w:ascii="Times New Roman" w:hAnsi="Times New Roman" w:cs="Times New Roman"/>
          <w:i/>
          <w:iCs/>
          <w:sz w:val="22"/>
          <w:szCs w:val="22"/>
        </w:rPr>
        <w:t>работата</w:t>
      </w:r>
      <w:r w:rsidR="0016051D">
        <w:rPr>
          <w:rFonts w:ascii="Times New Roman" w:hAnsi="Times New Roman" w:cs="Times New Roman"/>
          <w:i/>
          <w:iCs/>
          <w:sz w:val="22"/>
          <w:szCs w:val="22"/>
        </w:rPr>
        <w:t xml:space="preserve"> </w:t>
      </w:r>
      <w:r w:rsidRPr="00B11E7B">
        <w:rPr>
          <w:rFonts w:ascii="Times New Roman" w:hAnsi="Times New Roman" w:cs="Times New Roman"/>
          <w:i/>
          <w:iCs/>
          <w:sz w:val="22"/>
          <w:szCs w:val="22"/>
        </w:rPr>
        <w:t>на</w:t>
      </w:r>
      <w:r w:rsidR="00252F23">
        <w:rPr>
          <w:rFonts w:ascii="Times New Roman" w:hAnsi="Times New Roman" w:cs="Times New Roman"/>
          <w:i/>
          <w:iCs/>
          <w:sz w:val="22"/>
          <w:szCs w:val="22"/>
        </w:rPr>
        <w:t xml:space="preserve"> </w:t>
      </w:r>
      <w:r w:rsidRPr="00B11E7B">
        <w:rPr>
          <w:rFonts w:ascii="Times New Roman" w:hAnsi="Times New Roman" w:cs="Times New Roman"/>
          <w:i/>
          <w:iCs/>
          <w:sz w:val="22"/>
          <w:szCs w:val="22"/>
        </w:rPr>
        <w:t>јавното</w:t>
      </w:r>
      <w:r w:rsidR="00B11E7B">
        <w:rPr>
          <w:rFonts w:ascii="Times New Roman" w:hAnsi="Times New Roman" w:cs="Times New Roman"/>
          <w:i/>
          <w:iCs/>
          <w:sz w:val="22"/>
          <w:szCs w:val="22"/>
          <w:lang w:val="en-US"/>
        </w:rPr>
        <w:t xml:space="preserve"> </w:t>
      </w:r>
      <w:r w:rsidRPr="00B11E7B">
        <w:rPr>
          <w:rFonts w:ascii="Times New Roman" w:hAnsi="Times New Roman" w:cs="Times New Roman"/>
          <w:i/>
          <w:iCs/>
          <w:sz w:val="22"/>
          <w:szCs w:val="22"/>
        </w:rPr>
        <w:t>обвинителство (2024-2030),</w:t>
      </w:r>
      <w:r w:rsidR="00B11E7B">
        <w:rPr>
          <w:rFonts w:ascii="Times New Roman" w:hAnsi="Times New Roman" w:cs="Times New Roman"/>
          <w:i/>
          <w:iCs/>
          <w:sz w:val="22"/>
          <w:szCs w:val="22"/>
          <w:lang w:val="en-US"/>
        </w:rPr>
        <w:t xml:space="preserve"> </w:t>
      </w:r>
      <w:hyperlink r:id="rId61">
        <w:r w:rsidRPr="00B11E7B">
          <w:rPr>
            <w:rFonts w:ascii="Times New Roman" w:hAnsi="Times New Roman" w:cs="Times New Roman"/>
            <w:color w:val="0000FF"/>
            <w:sz w:val="22"/>
            <w:szCs w:val="22"/>
            <w:u w:val="single" w:color="0000FF"/>
          </w:rPr>
          <w:t>https://jorm.gov.mk/wp-</w:t>
        </w:r>
      </w:hyperlink>
      <w:hyperlink r:id="rId62">
        <w:r w:rsidRPr="00B11E7B">
          <w:rPr>
            <w:rFonts w:ascii="Times New Roman" w:hAnsi="Times New Roman" w:cs="Times New Roman"/>
            <w:color w:val="0000FF"/>
            <w:sz w:val="22"/>
            <w:szCs w:val="22"/>
            <w:u w:val="single" w:color="0000FF"/>
          </w:rPr>
          <w:t>content/uploads/2024/02/programa-za-rabota-na-%D1%98avnoto-obvinitelstvo-za-period-od-2024-</w:t>
        </w:r>
      </w:hyperlink>
      <w:hyperlink r:id="rId63">
        <w:r w:rsidRPr="00B11E7B">
          <w:rPr>
            <w:rFonts w:ascii="Times New Roman" w:hAnsi="Times New Roman" w:cs="Times New Roman"/>
            <w:color w:val="0000FF"/>
            <w:sz w:val="22"/>
            <w:szCs w:val="22"/>
            <w:u w:val="single" w:color="0000FF"/>
          </w:rPr>
          <w:t>do-2030-godina.pdf</w:t>
        </w:r>
      </w:hyperlink>
      <w:r w:rsidRPr="00B11E7B">
        <w:rPr>
          <w:rFonts w:ascii="Times New Roman" w:hAnsi="Times New Roman" w:cs="Times New Roman"/>
          <w:sz w:val="22"/>
          <w:szCs w:val="22"/>
        </w:rPr>
        <w:t>.</w:t>
      </w:r>
    </w:p>
    <w:p w14:paraId="641B8B89" w14:textId="12ABCD37" w:rsidR="006A4308" w:rsidRPr="00B11E7B" w:rsidRDefault="006A4308" w:rsidP="006A4308">
      <w:pPr>
        <w:spacing w:before="118"/>
        <w:ind w:left="980"/>
        <w:rPr>
          <w:rFonts w:ascii="Times New Roman" w:hAnsi="Times New Roman" w:cs="Times New Roman"/>
          <w:i/>
          <w:sz w:val="22"/>
          <w:szCs w:val="22"/>
        </w:rPr>
      </w:pPr>
      <w:r w:rsidRPr="00B11E7B">
        <w:rPr>
          <w:rFonts w:ascii="Times New Roman" w:hAnsi="Times New Roman" w:cs="Times New Roman"/>
          <w:sz w:val="22"/>
          <w:szCs w:val="22"/>
        </w:rPr>
        <w:t xml:space="preserve">Јавно обвинителство (2020), </w:t>
      </w:r>
      <w:r w:rsidR="00252F23" w:rsidRPr="00252F23">
        <w:rPr>
          <w:rFonts w:ascii="Times New Roman" w:hAnsi="Times New Roman" w:cs="Times New Roman"/>
          <w:i/>
          <w:iCs/>
          <w:sz w:val="22"/>
          <w:szCs w:val="22"/>
        </w:rPr>
        <w:t>Стратегија на човечки ресурси на јавно-обвинителската мрежа</w:t>
      </w:r>
      <w:r w:rsidR="00252F23">
        <w:rPr>
          <w:rFonts w:ascii="Times New Roman" w:hAnsi="Times New Roman" w:cs="Times New Roman"/>
          <w:i/>
          <w:iCs/>
          <w:sz w:val="22"/>
          <w:szCs w:val="22"/>
        </w:rPr>
        <w:t>,</w:t>
      </w:r>
    </w:p>
    <w:p w14:paraId="10BB3D65" w14:textId="4B0B9D97" w:rsidR="006A4308" w:rsidRPr="00B11E7B" w:rsidRDefault="003462D5" w:rsidP="006A4308">
      <w:pPr>
        <w:spacing w:line="242" w:lineRule="auto"/>
        <w:ind w:left="980" w:right="975"/>
        <w:rPr>
          <w:rFonts w:ascii="Times New Roman" w:hAnsi="Times New Roman" w:cs="Times New Roman"/>
          <w:sz w:val="22"/>
          <w:szCs w:val="22"/>
        </w:rPr>
      </w:pPr>
      <w:hyperlink r:id="rId64">
        <w:r w:rsidR="006A4308" w:rsidRPr="00B11E7B">
          <w:rPr>
            <w:rFonts w:ascii="Times New Roman" w:hAnsi="Times New Roman" w:cs="Times New Roman"/>
            <w:color w:val="0000FF"/>
            <w:sz w:val="22"/>
            <w:szCs w:val="22"/>
            <w:u w:val="single" w:color="0000FF"/>
          </w:rPr>
          <w:t>https://jorm.gov.mk/strategi%d1%98a-na-chovechki-resursi-za-%d1%98avnoobvinitelskata-</w:t>
        </w:r>
      </w:hyperlink>
      <w:hyperlink r:id="rId65">
        <w:r w:rsidR="006A4308" w:rsidRPr="00B11E7B">
          <w:rPr>
            <w:rFonts w:ascii="Times New Roman" w:hAnsi="Times New Roman" w:cs="Times New Roman"/>
            <w:color w:val="0000FF"/>
            <w:sz w:val="22"/>
            <w:szCs w:val="22"/>
            <w:u w:val="single" w:color="0000FF"/>
          </w:rPr>
          <w:t>mrezha/</w:t>
        </w:r>
        <w:r w:rsidR="006A4308" w:rsidRPr="00B11E7B">
          <w:rPr>
            <w:rFonts w:ascii="Times New Roman" w:hAnsi="Times New Roman" w:cs="Times New Roman"/>
            <w:sz w:val="22"/>
            <w:szCs w:val="22"/>
          </w:rPr>
          <w:t>.</w:t>
        </w:r>
      </w:hyperlink>
      <w:r w:rsidR="006A4308" w:rsidRPr="00B11E7B">
        <w:rPr>
          <w:rFonts w:ascii="Times New Roman" w:hAnsi="Times New Roman" w:cs="Times New Roman"/>
          <w:sz w:val="22"/>
          <w:szCs w:val="22"/>
        </w:rPr>
        <w:t xml:space="preserve">Регистар на лобисти и организации, </w:t>
      </w:r>
      <w:hyperlink r:id="rId66">
        <w:r w:rsidR="006A4308" w:rsidRPr="00B11E7B">
          <w:rPr>
            <w:rFonts w:ascii="Times New Roman" w:hAnsi="Times New Roman" w:cs="Times New Roman"/>
            <w:color w:val="0000FF"/>
            <w:sz w:val="22"/>
            <w:szCs w:val="22"/>
            <w:u w:val="single" w:color="0000FF"/>
          </w:rPr>
          <w:t>ДКСК-Регистар на лобисти и организации</w:t>
        </w:r>
      </w:hyperlink>
      <w:r w:rsidR="006A4308" w:rsidRPr="00B11E7B">
        <w:rPr>
          <w:rFonts w:ascii="Times New Roman" w:hAnsi="Times New Roman" w:cs="Times New Roman"/>
          <w:color w:val="0000FF"/>
          <w:sz w:val="22"/>
          <w:szCs w:val="22"/>
        </w:rPr>
        <w:t xml:space="preserve"> </w:t>
      </w:r>
      <w:hyperlink r:id="rId67">
        <w:r w:rsidR="006A4308" w:rsidRPr="00B11E7B">
          <w:rPr>
            <w:rFonts w:ascii="Times New Roman" w:hAnsi="Times New Roman" w:cs="Times New Roman"/>
            <w:color w:val="0000FF"/>
            <w:sz w:val="22"/>
            <w:szCs w:val="22"/>
            <w:u w:val="single" w:color="0000FF"/>
          </w:rPr>
          <w:t>(dksk.mk)</w:t>
        </w:r>
        <w:r w:rsidR="006A4308" w:rsidRPr="00B11E7B">
          <w:rPr>
            <w:rFonts w:ascii="Times New Roman" w:hAnsi="Times New Roman" w:cs="Times New Roman"/>
            <w:sz w:val="22"/>
            <w:szCs w:val="22"/>
          </w:rPr>
          <w:t>.</w:t>
        </w:r>
      </w:hyperlink>
    </w:p>
    <w:p w14:paraId="7A2F15A4" w14:textId="77777777" w:rsidR="006A4308" w:rsidRPr="00B11E7B" w:rsidRDefault="006A4308" w:rsidP="00252F23">
      <w:pPr>
        <w:spacing w:before="114"/>
        <w:ind w:left="980" w:right="972"/>
        <w:jc w:val="both"/>
        <w:rPr>
          <w:rFonts w:ascii="Times New Roman" w:hAnsi="Times New Roman" w:cs="Times New Roman"/>
          <w:sz w:val="22"/>
          <w:szCs w:val="22"/>
        </w:rPr>
      </w:pPr>
      <w:r w:rsidRPr="00B11E7B">
        <w:rPr>
          <w:rFonts w:ascii="Times New Roman" w:hAnsi="Times New Roman" w:cs="Times New Roman"/>
          <w:sz w:val="22"/>
          <w:szCs w:val="22"/>
        </w:rPr>
        <w:t xml:space="preserve">Репортери без граници (2024), Карта – Светски индекс на слободата на печатот 2024 година, </w:t>
      </w:r>
      <w:hyperlink r:id="rId68">
        <w:r w:rsidRPr="00B11E7B">
          <w:rPr>
            <w:rFonts w:ascii="Times New Roman" w:hAnsi="Times New Roman" w:cs="Times New Roman"/>
            <w:color w:val="0000FF"/>
            <w:sz w:val="22"/>
            <w:szCs w:val="22"/>
            <w:u w:val="single" w:color="0000FF"/>
          </w:rPr>
          <w:t>https://rsf.org/en/map-</w:t>
        </w:r>
      </w:hyperlink>
      <w:r w:rsidRPr="00B11E7B">
        <w:rPr>
          <w:rFonts w:ascii="Times New Roman" w:hAnsi="Times New Roman" w:cs="Times New Roman"/>
          <w:color w:val="0000FF"/>
          <w:sz w:val="22"/>
          <w:szCs w:val="22"/>
        </w:rPr>
        <w:t xml:space="preserve"> </w:t>
      </w:r>
      <w:hyperlink r:id="rId69">
        <w:r w:rsidRPr="00B11E7B">
          <w:rPr>
            <w:rFonts w:ascii="Times New Roman" w:hAnsi="Times New Roman" w:cs="Times New Roman"/>
            <w:color w:val="0000FF"/>
            <w:sz w:val="22"/>
            <w:szCs w:val="22"/>
            <w:u w:val="single" w:color="0000FF"/>
          </w:rPr>
          <w:t>2024-world-press-freedom-index</w:t>
        </w:r>
      </w:hyperlink>
      <w:r w:rsidRPr="00B11E7B">
        <w:rPr>
          <w:rFonts w:ascii="Times New Roman" w:hAnsi="Times New Roman" w:cs="Times New Roman"/>
          <w:sz w:val="22"/>
          <w:szCs w:val="22"/>
        </w:rPr>
        <w:t>.</w:t>
      </w:r>
    </w:p>
    <w:p w14:paraId="7B5E3F7E" w14:textId="77777777" w:rsidR="006A4308" w:rsidRPr="00B11E7B" w:rsidRDefault="006A4308" w:rsidP="00252F23">
      <w:pPr>
        <w:spacing w:before="118" w:line="244" w:lineRule="auto"/>
        <w:ind w:left="980" w:right="975"/>
        <w:jc w:val="both"/>
        <w:rPr>
          <w:rFonts w:ascii="Times New Roman" w:hAnsi="Times New Roman" w:cs="Times New Roman"/>
          <w:sz w:val="22"/>
          <w:szCs w:val="22"/>
        </w:rPr>
      </w:pPr>
      <w:r w:rsidRPr="00B11E7B">
        <w:rPr>
          <w:rFonts w:ascii="Times New Roman" w:hAnsi="Times New Roman" w:cs="Times New Roman"/>
          <w:sz w:val="22"/>
          <w:szCs w:val="22"/>
        </w:rPr>
        <w:t xml:space="preserve">Safejournalists.net (2023), </w:t>
      </w:r>
      <w:r w:rsidRPr="00B11E7B">
        <w:rPr>
          <w:rFonts w:ascii="Times New Roman" w:hAnsi="Times New Roman" w:cs="Times New Roman"/>
          <w:i/>
          <w:sz w:val="22"/>
          <w:szCs w:val="22"/>
        </w:rPr>
        <w:t xml:space="preserve">Северна Македонија: </w:t>
      </w:r>
      <w:r w:rsidRPr="00B11E7B">
        <w:rPr>
          <w:rFonts w:ascii="Times New Roman" w:hAnsi="Times New Roman" w:cs="Times New Roman"/>
          <w:i/>
          <w:iCs/>
          <w:sz w:val="22"/>
          <w:szCs w:val="22"/>
        </w:rPr>
        <w:t>Показатели за степенот на слободата на медиумите и безбедноста на новинарите во 2022 година,</w:t>
      </w:r>
      <w:r w:rsidRPr="00B11E7B">
        <w:rPr>
          <w:rFonts w:ascii="Times New Roman" w:hAnsi="Times New Roman" w:cs="Times New Roman"/>
          <w:i/>
          <w:sz w:val="22"/>
          <w:szCs w:val="22"/>
        </w:rPr>
        <w:t xml:space="preserve"> </w:t>
      </w:r>
      <w:hyperlink r:id="rId70">
        <w:r w:rsidRPr="00B11E7B">
          <w:rPr>
            <w:rFonts w:ascii="Times New Roman" w:hAnsi="Times New Roman" w:cs="Times New Roman"/>
            <w:color w:val="0000FF"/>
            <w:sz w:val="22"/>
            <w:szCs w:val="22"/>
            <w:u w:val="single" w:color="0000FF"/>
          </w:rPr>
          <w:t>https://safejournalists.net/wp-content/uploads/2023/07/MK-ENG-2022.pdf</w:t>
        </w:r>
        <w:r w:rsidRPr="00B11E7B">
          <w:rPr>
            <w:rFonts w:ascii="Times New Roman" w:hAnsi="Times New Roman" w:cs="Times New Roman"/>
            <w:sz w:val="22"/>
            <w:szCs w:val="22"/>
          </w:rPr>
          <w:t>.</w:t>
        </w:r>
      </w:hyperlink>
    </w:p>
    <w:p w14:paraId="69B6BBFB" w14:textId="5370ADE7" w:rsidR="006A4308" w:rsidRPr="00B11E7B" w:rsidRDefault="006A4308" w:rsidP="006A4308">
      <w:pPr>
        <w:spacing w:before="110"/>
        <w:ind w:left="980" w:right="979"/>
        <w:jc w:val="both"/>
        <w:rPr>
          <w:rFonts w:ascii="Times New Roman" w:hAnsi="Times New Roman" w:cs="Times New Roman"/>
          <w:sz w:val="22"/>
          <w:szCs w:val="22"/>
        </w:rPr>
      </w:pPr>
      <w:r w:rsidRPr="00B11E7B">
        <w:rPr>
          <w:rFonts w:ascii="Times New Roman" w:hAnsi="Times New Roman" w:cs="Times New Roman"/>
          <w:sz w:val="22"/>
          <w:szCs w:val="22"/>
        </w:rPr>
        <w:t xml:space="preserve">Безбедност на новинарската платформа (2024), </w:t>
      </w:r>
      <w:r w:rsidRPr="00B11E7B">
        <w:rPr>
          <w:rFonts w:ascii="Times New Roman" w:hAnsi="Times New Roman" w:cs="Times New Roman"/>
          <w:i/>
          <w:iCs/>
          <w:sz w:val="22"/>
          <w:szCs w:val="22"/>
        </w:rPr>
        <w:t>Основачот на PortaliX, Фуркан Салиу, приведен по обидот за снимање полициско насилство,</w:t>
      </w:r>
      <w:r w:rsidRPr="00B11E7B">
        <w:rPr>
          <w:rFonts w:ascii="Times New Roman" w:hAnsi="Times New Roman" w:cs="Times New Roman"/>
          <w:sz w:val="22"/>
          <w:szCs w:val="22"/>
        </w:rPr>
        <w:t xml:space="preserve"> </w:t>
      </w:r>
      <w:hyperlink r:id="rId71">
        <w:r w:rsidRPr="00B11E7B">
          <w:rPr>
            <w:rFonts w:ascii="Times New Roman" w:hAnsi="Times New Roman" w:cs="Times New Roman"/>
            <w:color w:val="0000FF"/>
            <w:sz w:val="22"/>
            <w:szCs w:val="22"/>
            <w:u w:val="single" w:color="0000FF"/>
          </w:rPr>
          <w:t>Platform to promote the protection of journalism and safety of journalists</w:t>
        </w:r>
      </w:hyperlink>
      <w:hyperlink r:id="rId72">
        <w:r w:rsidRPr="00B11E7B">
          <w:rPr>
            <w:rFonts w:ascii="Times New Roman" w:hAnsi="Times New Roman" w:cs="Times New Roman"/>
            <w:color w:val="0000FF"/>
            <w:sz w:val="22"/>
            <w:szCs w:val="22"/>
            <w:u w:val="single" w:color="0000FF"/>
          </w:rPr>
          <w:t>(coe.int)</w:t>
        </w:r>
        <w:r w:rsidRPr="00B11E7B">
          <w:rPr>
            <w:rFonts w:ascii="Times New Roman" w:hAnsi="Times New Roman" w:cs="Times New Roman"/>
            <w:sz w:val="22"/>
            <w:szCs w:val="22"/>
          </w:rPr>
          <w:t>.</w:t>
        </w:r>
      </w:hyperlink>
    </w:p>
    <w:p w14:paraId="22568C17" w14:textId="46FE28AA" w:rsidR="006A4308" w:rsidRPr="00B11E7B" w:rsidRDefault="006A4308" w:rsidP="00252F23">
      <w:pPr>
        <w:tabs>
          <w:tab w:val="left" w:pos="2285"/>
        </w:tabs>
        <w:spacing w:before="120"/>
        <w:ind w:left="980" w:right="974"/>
        <w:jc w:val="both"/>
        <w:rPr>
          <w:rFonts w:ascii="Times New Roman" w:hAnsi="Times New Roman" w:cs="Times New Roman"/>
          <w:sz w:val="22"/>
          <w:szCs w:val="22"/>
        </w:rPr>
      </w:pPr>
      <w:r w:rsidRPr="00B11E7B">
        <w:rPr>
          <w:rFonts w:ascii="Times New Roman" w:hAnsi="Times New Roman" w:cs="Times New Roman"/>
          <w:sz w:val="22"/>
          <w:szCs w:val="22"/>
        </w:rPr>
        <w:t xml:space="preserve">Државна комисија за спречување на корупцијата (ДКСК)(2022), </w:t>
      </w:r>
      <w:r w:rsidRPr="00B11E7B">
        <w:rPr>
          <w:rFonts w:ascii="Times New Roman" w:hAnsi="Times New Roman" w:cs="Times New Roman"/>
          <w:i/>
          <w:iCs/>
          <w:sz w:val="22"/>
          <w:szCs w:val="22"/>
        </w:rPr>
        <w:t>Годишен извештај за спроведување на Националната стратегија за спречување на корупцијата и судирот на интереси 2021-2025 за периодот од 1.1.2021</w:t>
      </w:r>
      <w:r w:rsidR="00252F23">
        <w:rPr>
          <w:rFonts w:ascii="Times New Roman" w:hAnsi="Times New Roman" w:cs="Times New Roman"/>
          <w:i/>
          <w:iCs/>
          <w:sz w:val="22"/>
          <w:szCs w:val="22"/>
        </w:rPr>
        <w:t xml:space="preserve"> година до </w:t>
      </w:r>
      <w:r w:rsidRPr="00B11E7B">
        <w:rPr>
          <w:rFonts w:ascii="Times New Roman" w:hAnsi="Times New Roman" w:cs="Times New Roman"/>
          <w:i/>
          <w:iCs/>
          <w:sz w:val="22"/>
          <w:szCs w:val="22"/>
        </w:rPr>
        <w:t>31.12.2021</w:t>
      </w:r>
      <w:r w:rsidR="00252F23">
        <w:rPr>
          <w:rFonts w:ascii="Times New Roman" w:hAnsi="Times New Roman" w:cs="Times New Roman"/>
          <w:i/>
          <w:iCs/>
          <w:sz w:val="22"/>
          <w:szCs w:val="22"/>
        </w:rPr>
        <w:t xml:space="preserve"> година</w:t>
      </w:r>
      <w:hyperlink r:id="rId73">
        <w:r w:rsidRPr="00B11E7B">
          <w:rPr>
            <w:rFonts w:ascii="Times New Roman" w:hAnsi="Times New Roman" w:cs="Times New Roman"/>
            <w:i/>
            <w:sz w:val="22"/>
            <w:szCs w:val="22"/>
          </w:rPr>
          <w:t>,</w:t>
        </w:r>
        <w:r w:rsidR="00252F23">
          <w:rPr>
            <w:rFonts w:ascii="Times New Roman" w:hAnsi="Times New Roman" w:cs="Times New Roman"/>
            <w:i/>
            <w:sz w:val="22"/>
            <w:szCs w:val="22"/>
          </w:rPr>
          <w:t xml:space="preserve"> </w:t>
        </w:r>
        <w:r w:rsidRPr="00B11E7B">
          <w:rPr>
            <w:rFonts w:ascii="Times New Roman" w:hAnsi="Times New Roman" w:cs="Times New Roman"/>
            <w:color w:val="0000FF"/>
            <w:sz w:val="22"/>
            <w:szCs w:val="22"/>
            <w:u w:val="single" w:color="0000FF"/>
          </w:rPr>
          <w:t>https://dksk.mk/wp-content/uploads/2023/02/Annual-report-on-</w:t>
        </w:r>
      </w:hyperlink>
      <w:hyperlink r:id="rId74">
        <w:r w:rsidRPr="00B11E7B">
          <w:rPr>
            <w:rFonts w:ascii="Times New Roman" w:hAnsi="Times New Roman" w:cs="Times New Roman"/>
            <w:color w:val="0000FF"/>
            <w:sz w:val="22"/>
            <w:szCs w:val="22"/>
            <w:u w:val="single" w:color="0000FF"/>
          </w:rPr>
          <w:t>implementation-of-2021-2025-National-strategy-on-prevention-of-corruption-and-conflict-of-</w:t>
        </w:r>
      </w:hyperlink>
      <w:hyperlink r:id="rId75">
        <w:r w:rsidRPr="00B11E7B">
          <w:rPr>
            <w:rFonts w:ascii="Times New Roman" w:hAnsi="Times New Roman" w:cs="Times New Roman"/>
            <w:color w:val="0000FF"/>
            <w:sz w:val="22"/>
            <w:szCs w:val="22"/>
            <w:u w:val="single" w:color="0000FF"/>
          </w:rPr>
          <w:t>interest.pdf</w:t>
        </w:r>
        <w:r w:rsidRPr="00B11E7B">
          <w:rPr>
            <w:rFonts w:ascii="Times New Roman" w:hAnsi="Times New Roman" w:cs="Times New Roman"/>
            <w:sz w:val="22"/>
            <w:szCs w:val="22"/>
          </w:rPr>
          <w:t>.</w:t>
        </w:r>
      </w:hyperlink>
    </w:p>
    <w:p w14:paraId="6D490427" w14:textId="1CA1F2F2" w:rsidR="006A4308" w:rsidRPr="00B11E7B" w:rsidRDefault="006A4308" w:rsidP="006A4308">
      <w:pPr>
        <w:spacing w:before="120"/>
        <w:ind w:left="980" w:right="974"/>
        <w:jc w:val="both"/>
        <w:rPr>
          <w:rFonts w:ascii="Times New Roman" w:hAnsi="Times New Roman" w:cs="Times New Roman"/>
          <w:sz w:val="22"/>
          <w:szCs w:val="22"/>
        </w:rPr>
      </w:pPr>
      <w:r w:rsidRPr="007D59F2">
        <w:rPr>
          <w:rFonts w:ascii="Times New Roman" w:hAnsi="Times New Roman" w:cs="Times New Roman"/>
          <w:sz w:val="22"/>
          <w:szCs w:val="22"/>
        </w:rPr>
        <w:t>Државна комисија за спречување на корупцијата (ДКСК) (2020),</w:t>
      </w:r>
      <w:r w:rsidRPr="00B11E7B">
        <w:rPr>
          <w:rFonts w:ascii="Times New Roman" w:hAnsi="Times New Roman" w:cs="Times New Roman"/>
          <w:i/>
          <w:iCs/>
          <w:sz w:val="22"/>
          <w:szCs w:val="22"/>
        </w:rPr>
        <w:t xml:space="preserve"> Национална стратегија за спречување на корупција и судирот на интереси (2021-2025)</w:t>
      </w:r>
      <w:r w:rsidRPr="00B11E7B">
        <w:rPr>
          <w:rFonts w:ascii="Times New Roman" w:hAnsi="Times New Roman" w:cs="Times New Roman"/>
          <w:i/>
          <w:sz w:val="22"/>
          <w:szCs w:val="22"/>
        </w:rPr>
        <w:t xml:space="preserve">, </w:t>
      </w:r>
      <w:hyperlink r:id="rId76">
        <w:r w:rsidRPr="00B11E7B">
          <w:rPr>
            <w:rFonts w:ascii="Times New Roman" w:hAnsi="Times New Roman" w:cs="Times New Roman"/>
            <w:color w:val="0000FF"/>
            <w:sz w:val="22"/>
            <w:szCs w:val="22"/>
            <w:u w:val="single" w:color="0000FF"/>
          </w:rPr>
          <w:t>https://dksk.mk/mk/national-strategy-for-prevention-</w:t>
        </w:r>
      </w:hyperlink>
      <w:hyperlink r:id="rId77">
        <w:r w:rsidRPr="00B11E7B">
          <w:rPr>
            <w:rFonts w:ascii="Times New Roman" w:hAnsi="Times New Roman" w:cs="Times New Roman"/>
            <w:color w:val="0000FF"/>
            <w:sz w:val="22"/>
            <w:szCs w:val="22"/>
            <w:u w:val="single" w:color="0000FF"/>
          </w:rPr>
          <w:t>of-corruption-and-conflict-of-interest-2021-2025/</w:t>
        </w:r>
      </w:hyperlink>
      <w:r w:rsidRPr="00B11E7B">
        <w:rPr>
          <w:rFonts w:ascii="Times New Roman" w:hAnsi="Times New Roman" w:cs="Times New Roman"/>
          <w:sz w:val="22"/>
          <w:szCs w:val="22"/>
        </w:rPr>
        <w:t>.</w:t>
      </w:r>
    </w:p>
    <w:p w14:paraId="2531360B" w14:textId="77777777" w:rsidR="006A4308" w:rsidRPr="00B11E7B" w:rsidRDefault="006A4308" w:rsidP="006A4308">
      <w:pPr>
        <w:pStyle w:val="Heading2"/>
        <w:spacing w:before="122"/>
        <w:ind w:right="974"/>
      </w:pPr>
      <w:r w:rsidRPr="00B11E7B">
        <w:t xml:space="preserve">Вести од Врховниот суд на Северна Македонија (2023), Соопштение за медиумите 06.11.2023 година, </w:t>
      </w:r>
      <w:r w:rsidRPr="00B11E7B">
        <w:rPr>
          <w:i/>
          <w:iCs/>
        </w:rPr>
        <w:t>Соопштение</w:t>
      </w:r>
      <w:r w:rsidRPr="00B11E7B">
        <w:t xml:space="preserve">, </w:t>
      </w:r>
      <w:hyperlink r:id="rId78">
        <w:r w:rsidRPr="00B11E7B">
          <w:rPr>
            <w:color w:val="0000FF"/>
            <w:u w:val="single" w:color="0000FF"/>
          </w:rPr>
          <w:t>Соопштение (vsrm.mk)</w:t>
        </w:r>
      </w:hyperlink>
      <w:r w:rsidRPr="00B11E7B">
        <w:t>.</w:t>
      </w:r>
    </w:p>
    <w:p w14:paraId="6BF310CC" w14:textId="77777777" w:rsidR="006A4308" w:rsidRPr="00B11E7B" w:rsidRDefault="006A4308" w:rsidP="006A4308">
      <w:pPr>
        <w:spacing w:before="118" w:line="244" w:lineRule="auto"/>
        <w:ind w:left="980" w:right="973"/>
        <w:jc w:val="both"/>
        <w:rPr>
          <w:rFonts w:ascii="Times New Roman" w:hAnsi="Times New Roman" w:cs="Times New Roman"/>
          <w:i/>
          <w:sz w:val="22"/>
          <w:szCs w:val="22"/>
        </w:rPr>
      </w:pPr>
      <w:r w:rsidRPr="00B11E7B">
        <w:rPr>
          <w:rFonts w:ascii="Times New Roman" w:hAnsi="Times New Roman" w:cs="Times New Roman"/>
          <w:i/>
          <w:iCs/>
          <w:sz w:val="22"/>
          <w:szCs w:val="22"/>
        </w:rPr>
        <w:t>Транспаренси Интернешнл Македонија</w:t>
      </w:r>
      <w:r w:rsidRPr="00B11E7B">
        <w:rPr>
          <w:rFonts w:ascii="Times New Roman" w:hAnsi="Times New Roman" w:cs="Times New Roman"/>
          <w:i/>
          <w:sz w:val="22"/>
          <w:szCs w:val="22"/>
        </w:rPr>
        <w:t xml:space="preserve"> </w:t>
      </w:r>
      <w:r w:rsidRPr="00B11E7B">
        <w:rPr>
          <w:rFonts w:ascii="Times New Roman" w:hAnsi="Times New Roman" w:cs="Times New Roman"/>
          <w:sz w:val="22"/>
          <w:szCs w:val="22"/>
        </w:rPr>
        <w:t>(2024), Месечен барометар за корупција</w:t>
      </w:r>
      <w:r w:rsidRPr="00B11E7B">
        <w:rPr>
          <w:rFonts w:ascii="Times New Roman" w:hAnsi="Times New Roman" w:cs="Times New Roman"/>
          <w:i/>
          <w:sz w:val="22"/>
          <w:szCs w:val="22"/>
        </w:rPr>
        <w:t xml:space="preserve">. </w:t>
      </w:r>
      <w:hyperlink r:id="rId79">
        <w:r w:rsidRPr="00B11E7B">
          <w:rPr>
            <w:rFonts w:ascii="Times New Roman" w:hAnsi="Times New Roman" w:cs="Times New Roman"/>
            <w:i/>
            <w:color w:val="0000FF"/>
            <w:sz w:val="22"/>
            <w:szCs w:val="22"/>
            <w:u w:val="single" w:color="0000FF"/>
          </w:rPr>
          <w:t>https://transparency.mk/en/blog/</w:t>
        </w:r>
        <w:r w:rsidRPr="00B11E7B">
          <w:rPr>
            <w:rFonts w:ascii="Times New Roman" w:hAnsi="Times New Roman" w:cs="Times New Roman"/>
            <w:i/>
            <w:sz w:val="22"/>
            <w:szCs w:val="22"/>
          </w:rPr>
          <w:t>.</w:t>
        </w:r>
      </w:hyperlink>
    </w:p>
    <w:p w14:paraId="66D842EA" w14:textId="7738AF63" w:rsidR="006A4308" w:rsidRPr="00B11E7B" w:rsidRDefault="006A4308" w:rsidP="00B835D6">
      <w:pPr>
        <w:tabs>
          <w:tab w:val="left" w:pos="993"/>
        </w:tabs>
        <w:spacing w:before="110"/>
        <w:ind w:left="980" w:right="972"/>
        <w:jc w:val="both"/>
        <w:rPr>
          <w:rFonts w:ascii="Times New Roman" w:hAnsi="Times New Roman" w:cs="Times New Roman"/>
          <w:sz w:val="22"/>
          <w:szCs w:val="22"/>
        </w:rPr>
      </w:pPr>
      <w:r w:rsidRPr="00B11E7B">
        <w:rPr>
          <w:rFonts w:ascii="Times New Roman" w:hAnsi="Times New Roman" w:cs="Times New Roman"/>
          <w:i/>
          <w:iCs/>
          <w:sz w:val="22"/>
          <w:szCs w:val="22"/>
        </w:rPr>
        <w:t>Транспаренси Интернешнл Македонија</w:t>
      </w:r>
      <w:r w:rsidRPr="00B11E7B">
        <w:rPr>
          <w:rFonts w:ascii="Times New Roman" w:hAnsi="Times New Roman" w:cs="Times New Roman"/>
          <w:i/>
          <w:sz w:val="22"/>
          <w:szCs w:val="22"/>
        </w:rPr>
        <w:t xml:space="preserve"> </w:t>
      </w:r>
      <w:r w:rsidRPr="00B11E7B">
        <w:rPr>
          <w:rFonts w:ascii="Times New Roman" w:hAnsi="Times New Roman" w:cs="Times New Roman"/>
          <w:sz w:val="22"/>
          <w:szCs w:val="22"/>
        </w:rPr>
        <w:t>(2023), Оцена на Националниот систем за интегритет Северна Македонија,</w:t>
      </w:r>
      <w:r w:rsidRPr="00B11E7B">
        <w:rPr>
          <w:rFonts w:ascii="Times New Roman" w:hAnsi="Times New Roman" w:cs="Times New Roman"/>
          <w:sz w:val="22"/>
          <w:szCs w:val="22"/>
        </w:rPr>
        <w:tab/>
      </w:r>
      <w:hyperlink r:id="rId80">
        <w:r w:rsidR="00252F23">
          <w:rPr>
            <w:rFonts w:ascii="Times New Roman" w:hAnsi="Times New Roman" w:cs="Times New Roman"/>
            <w:color w:val="0000FF"/>
            <w:sz w:val="22"/>
            <w:szCs w:val="22"/>
            <w:u w:val="single" w:color="0000FF"/>
            <w:lang w:val="en-GB"/>
          </w:rPr>
          <w:t>https://transparency.mk/wp-content/uploads/2024/01/national-integrity-system-a</w:t>
        </w:r>
        <w:r w:rsidRPr="00B11E7B">
          <w:rPr>
            <w:rFonts w:ascii="Times New Roman" w:hAnsi="Times New Roman" w:cs="Times New Roman"/>
            <w:color w:val="0000FF"/>
            <w:sz w:val="22"/>
            <w:szCs w:val="22"/>
            <w:u w:val="single" w:color="0000FF"/>
          </w:rPr>
          <w:t>ssessment-2023.pdf</w:t>
        </w:r>
        <w:r w:rsidRPr="00B11E7B">
          <w:rPr>
            <w:rFonts w:ascii="Times New Roman" w:hAnsi="Times New Roman" w:cs="Times New Roman"/>
            <w:sz w:val="22"/>
            <w:szCs w:val="22"/>
          </w:rPr>
          <w:t>.</w:t>
        </w:r>
      </w:hyperlink>
    </w:p>
    <w:p w14:paraId="118BFEED" w14:textId="20D72956" w:rsidR="006A4308" w:rsidRPr="00B11E7B" w:rsidRDefault="006A4308" w:rsidP="006A4308">
      <w:pPr>
        <w:spacing w:before="120" w:line="244" w:lineRule="auto"/>
        <w:ind w:left="980" w:right="976"/>
        <w:jc w:val="both"/>
        <w:rPr>
          <w:rFonts w:ascii="Times New Roman" w:hAnsi="Times New Roman" w:cs="Times New Roman"/>
          <w:sz w:val="22"/>
          <w:szCs w:val="22"/>
        </w:rPr>
      </w:pPr>
      <w:r w:rsidRPr="00B11E7B">
        <w:rPr>
          <w:rFonts w:ascii="Times New Roman" w:hAnsi="Times New Roman" w:cs="Times New Roman"/>
          <w:sz w:val="22"/>
          <w:szCs w:val="22"/>
        </w:rPr>
        <w:t xml:space="preserve">Транспаренси интернешнл (2024), </w:t>
      </w:r>
      <w:r w:rsidRPr="007D59F2">
        <w:rPr>
          <w:rFonts w:ascii="Times New Roman" w:hAnsi="Times New Roman" w:cs="Times New Roman"/>
          <w:i/>
          <w:iCs/>
          <w:sz w:val="22"/>
          <w:szCs w:val="22"/>
        </w:rPr>
        <w:t>Индекс на перцепција на корупцијата за 2023 година</w:t>
      </w:r>
      <w:r w:rsidRPr="00B11E7B">
        <w:rPr>
          <w:rFonts w:ascii="Times New Roman" w:hAnsi="Times New Roman" w:cs="Times New Roman"/>
          <w:sz w:val="22"/>
          <w:szCs w:val="22"/>
        </w:rPr>
        <w:t xml:space="preserve">, </w:t>
      </w:r>
      <w:hyperlink r:id="rId81">
        <w:r w:rsidRPr="00B11E7B">
          <w:rPr>
            <w:rFonts w:ascii="Times New Roman" w:hAnsi="Times New Roman" w:cs="Times New Roman"/>
            <w:color w:val="0000FF"/>
            <w:sz w:val="22"/>
            <w:szCs w:val="22"/>
            <w:u w:val="single" w:color="0000FF"/>
          </w:rPr>
          <w:t>https://www.transparency.org/en/cpi/2023</w:t>
        </w:r>
      </w:hyperlink>
      <w:r w:rsidRPr="00B11E7B">
        <w:rPr>
          <w:rFonts w:ascii="Times New Roman" w:hAnsi="Times New Roman" w:cs="Times New Roman"/>
          <w:sz w:val="22"/>
          <w:szCs w:val="22"/>
        </w:rPr>
        <w:t>.</w:t>
      </w:r>
    </w:p>
    <w:p w14:paraId="42BF7D80" w14:textId="08DABAC0" w:rsidR="006A4308" w:rsidRPr="00B11E7B" w:rsidRDefault="006A4308" w:rsidP="006A4308">
      <w:pPr>
        <w:spacing w:before="111"/>
        <w:ind w:left="980" w:right="977"/>
        <w:jc w:val="both"/>
        <w:rPr>
          <w:rFonts w:ascii="Times New Roman" w:hAnsi="Times New Roman" w:cs="Times New Roman"/>
          <w:sz w:val="22"/>
          <w:szCs w:val="22"/>
        </w:rPr>
      </w:pPr>
      <w:r w:rsidRPr="00B11E7B">
        <w:rPr>
          <w:rFonts w:ascii="Times New Roman" w:hAnsi="Times New Roman" w:cs="Times New Roman"/>
          <w:sz w:val="22"/>
          <w:szCs w:val="22"/>
        </w:rPr>
        <w:t xml:space="preserve">Вести на Гласот на Америка (2024), Соопштение за медиумите 17.1.2024 година, </w:t>
      </w:r>
      <w:r w:rsidRPr="00B11E7B">
        <w:rPr>
          <w:rFonts w:ascii="Times New Roman" w:hAnsi="Times New Roman" w:cs="Times New Roman"/>
          <w:i/>
          <w:iCs/>
          <w:sz w:val="22"/>
          <w:szCs w:val="22"/>
        </w:rPr>
        <w:t>Северна Македонија:</w:t>
      </w:r>
      <w:r w:rsidRPr="00B11E7B">
        <w:rPr>
          <w:rFonts w:ascii="Times New Roman" w:hAnsi="Times New Roman" w:cs="Times New Roman"/>
          <w:i/>
          <w:sz w:val="22"/>
          <w:szCs w:val="22"/>
        </w:rPr>
        <w:t xml:space="preserve"> </w:t>
      </w:r>
      <w:r w:rsidRPr="002B0E98">
        <w:rPr>
          <w:rFonts w:ascii="Times New Roman" w:hAnsi="Times New Roman" w:cs="Times New Roman"/>
          <w:i/>
          <w:iCs/>
          <w:sz w:val="22"/>
          <w:szCs w:val="22"/>
        </w:rPr>
        <w:t>Нема разрешување на претседателката на Врховниот суд</w:t>
      </w:r>
      <w:r w:rsidRPr="00B11E7B">
        <w:rPr>
          <w:rFonts w:ascii="Times New Roman" w:hAnsi="Times New Roman" w:cs="Times New Roman"/>
          <w:sz w:val="22"/>
          <w:szCs w:val="22"/>
        </w:rPr>
        <w:t xml:space="preserve">, </w:t>
      </w:r>
      <w:hyperlink r:id="rId82">
        <w:r w:rsidRPr="00B11E7B">
          <w:rPr>
            <w:rFonts w:ascii="Times New Roman" w:hAnsi="Times New Roman" w:cs="Times New Roman"/>
            <w:color w:val="0000FF"/>
            <w:sz w:val="22"/>
            <w:szCs w:val="22"/>
            <w:u w:val="single" w:color="0000FF"/>
          </w:rPr>
          <w:t>https://mk.voanews.com/a/7443706.html</w:t>
        </w:r>
      </w:hyperlink>
      <w:r w:rsidRPr="00B11E7B">
        <w:rPr>
          <w:rFonts w:ascii="Times New Roman" w:hAnsi="Times New Roman" w:cs="Times New Roman"/>
          <w:sz w:val="22"/>
          <w:szCs w:val="22"/>
        </w:rPr>
        <w:t>.</w:t>
      </w:r>
    </w:p>
    <w:p w14:paraId="473E6234" w14:textId="77777777" w:rsidR="006A4308" w:rsidRPr="006A4308" w:rsidRDefault="006A4308" w:rsidP="006A4308">
      <w:pPr>
        <w:jc w:val="both"/>
        <w:rPr>
          <w:rFonts w:ascii="Arial" w:hAnsi="Arial" w:cs="Arial"/>
          <w:sz w:val="22"/>
          <w:szCs w:val="22"/>
          <w:lang w:val="en-GB"/>
        </w:rPr>
        <w:sectPr w:rsidR="006A4308" w:rsidRPr="006A4308">
          <w:pgSz w:w="11910" w:h="16840"/>
          <w:pgMar w:top="1340" w:right="460" w:bottom="1340" w:left="460" w:header="0" w:footer="1142" w:gutter="0"/>
          <w:cols w:space="720"/>
        </w:sectPr>
      </w:pPr>
    </w:p>
    <w:p w14:paraId="3F4A4267" w14:textId="77777777" w:rsidR="006A4308" w:rsidRPr="006A4308" w:rsidRDefault="006A4308" w:rsidP="006A4308">
      <w:pPr>
        <w:pStyle w:val="Heading1"/>
      </w:pPr>
      <w:r>
        <w:lastRenderedPageBreak/>
        <w:t>Анекс II: Посета на Северна Македонија</w:t>
      </w:r>
    </w:p>
    <w:p w14:paraId="1EE23745" w14:textId="77777777" w:rsidR="006A4308" w:rsidRPr="006A4308" w:rsidRDefault="006A4308" w:rsidP="006A4308">
      <w:pPr>
        <w:spacing w:before="27"/>
        <w:ind w:left="980"/>
        <w:rPr>
          <w:rFonts w:ascii="Times New Roman" w:hAnsi="Times New Roman" w:cs="Times New Roman"/>
        </w:rPr>
      </w:pPr>
      <w:r>
        <w:rPr>
          <w:rFonts w:ascii="Times New Roman" w:hAnsi="Times New Roman"/>
        </w:rPr>
        <w:t>Службите на Комисијата одржаа хибридни и виртуелни состаноци во март 2024 година со:</w:t>
      </w:r>
    </w:p>
    <w:p w14:paraId="676F2157" w14:textId="77777777" w:rsidR="006A4308" w:rsidRPr="006A4308" w:rsidRDefault="006A4308" w:rsidP="006A4308">
      <w:pPr>
        <w:pStyle w:val="ListParagraph"/>
        <w:numPr>
          <w:ilvl w:val="0"/>
          <w:numId w:val="3"/>
        </w:numPr>
        <w:tabs>
          <w:tab w:val="left" w:pos="1700"/>
        </w:tabs>
        <w:spacing w:before="31"/>
        <w:ind w:left="1700"/>
        <w:rPr>
          <w:sz w:val="24"/>
          <w:szCs w:val="24"/>
        </w:rPr>
      </w:pPr>
      <w:r>
        <w:rPr>
          <w:sz w:val="24"/>
        </w:rPr>
        <w:t>Академијата за судии и јавни обвинители</w:t>
      </w:r>
    </w:p>
    <w:p w14:paraId="2D5EE731" w14:textId="77777777" w:rsidR="006A4308" w:rsidRPr="006A4308" w:rsidRDefault="006A4308" w:rsidP="006A4308">
      <w:pPr>
        <w:pStyle w:val="ListParagraph"/>
        <w:numPr>
          <w:ilvl w:val="0"/>
          <w:numId w:val="3"/>
        </w:numPr>
        <w:tabs>
          <w:tab w:val="left" w:pos="1700"/>
        </w:tabs>
        <w:spacing w:before="28"/>
        <w:ind w:left="1700"/>
        <w:rPr>
          <w:sz w:val="24"/>
          <w:szCs w:val="24"/>
        </w:rPr>
      </w:pPr>
      <w:r>
        <w:rPr>
          <w:sz w:val="24"/>
        </w:rPr>
        <w:t>Управниот суд</w:t>
      </w:r>
    </w:p>
    <w:p w14:paraId="2CD7FB73" w14:textId="77777777" w:rsidR="006A4308" w:rsidRPr="006A4308" w:rsidRDefault="006A4308" w:rsidP="006A4308">
      <w:pPr>
        <w:pStyle w:val="ListParagraph"/>
        <w:numPr>
          <w:ilvl w:val="0"/>
          <w:numId w:val="3"/>
        </w:numPr>
        <w:tabs>
          <w:tab w:val="left" w:pos="1700"/>
        </w:tabs>
        <w:spacing w:before="25"/>
        <w:ind w:left="1700"/>
        <w:rPr>
          <w:sz w:val="24"/>
          <w:szCs w:val="24"/>
        </w:rPr>
      </w:pPr>
      <w:r>
        <w:rPr>
          <w:sz w:val="24"/>
        </w:rPr>
        <w:t>Агенцијата за аудио и аудиовизуелни медиумски услуги</w:t>
      </w:r>
    </w:p>
    <w:p w14:paraId="74D62A8A" w14:textId="77777777" w:rsidR="006A4308" w:rsidRPr="006A4308" w:rsidRDefault="006A4308" w:rsidP="006A4308">
      <w:pPr>
        <w:pStyle w:val="ListParagraph"/>
        <w:numPr>
          <w:ilvl w:val="0"/>
          <w:numId w:val="3"/>
        </w:numPr>
        <w:tabs>
          <w:tab w:val="left" w:pos="1693"/>
        </w:tabs>
        <w:spacing w:before="27"/>
        <w:ind w:hanging="355"/>
        <w:rPr>
          <w:sz w:val="24"/>
          <w:szCs w:val="24"/>
        </w:rPr>
      </w:pPr>
      <w:r>
        <w:rPr>
          <w:sz w:val="24"/>
        </w:rPr>
        <w:t>Агенцијата за заштита на правото на слободен пристап до информациите од јавен карактер</w:t>
      </w:r>
    </w:p>
    <w:p w14:paraId="572AE013" w14:textId="77777777" w:rsidR="006A4308" w:rsidRPr="006A4308" w:rsidRDefault="006A4308" w:rsidP="006A4308">
      <w:pPr>
        <w:pStyle w:val="ListParagraph"/>
        <w:numPr>
          <w:ilvl w:val="0"/>
          <w:numId w:val="3"/>
        </w:numPr>
        <w:tabs>
          <w:tab w:val="left" w:pos="1700"/>
        </w:tabs>
        <w:ind w:left="1700"/>
        <w:rPr>
          <w:sz w:val="24"/>
          <w:szCs w:val="24"/>
        </w:rPr>
      </w:pPr>
      <w:r>
        <w:rPr>
          <w:sz w:val="24"/>
        </w:rPr>
        <w:t>Сите за правично судење</w:t>
      </w:r>
    </w:p>
    <w:p w14:paraId="22E32121" w14:textId="77777777" w:rsidR="006A4308" w:rsidRPr="006A4308" w:rsidRDefault="006A4308" w:rsidP="006A4308">
      <w:pPr>
        <w:pStyle w:val="ListParagraph"/>
        <w:numPr>
          <w:ilvl w:val="0"/>
          <w:numId w:val="3"/>
        </w:numPr>
        <w:tabs>
          <w:tab w:val="left" w:pos="1693"/>
        </w:tabs>
        <w:spacing w:before="26"/>
        <w:ind w:hanging="355"/>
        <w:rPr>
          <w:sz w:val="24"/>
          <w:szCs w:val="24"/>
        </w:rPr>
      </w:pPr>
      <w:r>
        <w:rPr>
          <w:sz w:val="24"/>
        </w:rPr>
        <w:t>Здружението на новинари</w:t>
      </w:r>
    </w:p>
    <w:p w14:paraId="7E7ABBDC" w14:textId="77777777" w:rsidR="006A4308" w:rsidRPr="006A4308" w:rsidRDefault="006A4308" w:rsidP="006A4308">
      <w:pPr>
        <w:pStyle w:val="ListParagraph"/>
        <w:numPr>
          <w:ilvl w:val="0"/>
          <w:numId w:val="3"/>
        </w:numPr>
        <w:tabs>
          <w:tab w:val="left" w:pos="1700"/>
        </w:tabs>
        <w:ind w:left="1700"/>
        <w:rPr>
          <w:sz w:val="24"/>
          <w:szCs w:val="24"/>
        </w:rPr>
      </w:pPr>
      <w:r>
        <w:rPr>
          <w:sz w:val="24"/>
        </w:rPr>
        <w:t>Здружението на судии</w:t>
      </w:r>
    </w:p>
    <w:p w14:paraId="4585F510" w14:textId="77777777" w:rsidR="006A4308" w:rsidRPr="006A4308" w:rsidRDefault="006A4308" w:rsidP="006A4308">
      <w:pPr>
        <w:pStyle w:val="ListParagraph"/>
        <w:numPr>
          <w:ilvl w:val="0"/>
          <w:numId w:val="3"/>
        </w:numPr>
        <w:tabs>
          <w:tab w:val="left" w:pos="1693"/>
        </w:tabs>
        <w:spacing w:before="27"/>
        <w:ind w:hanging="355"/>
        <w:rPr>
          <w:sz w:val="24"/>
          <w:szCs w:val="24"/>
        </w:rPr>
      </w:pPr>
      <w:r>
        <w:rPr>
          <w:sz w:val="24"/>
        </w:rPr>
        <w:t>Регистарот на професионални онлајн медиуми; Институт РЕСИС</w:t>
      </w:r>
    </w:p>
    <w:p w14:paraId="3F173051" w14:textId="77777777" w:rsidR="006A4308" w:rsidRPr="006A4308" w:rsidRDefault="006A4308" w:rsidP="006A4308">
      <w:pPr>
        <w:pStyle w:val="ListParagraph"/>
        <w:numPr>
          <w:ilvl w:val="0"/>
          <w:numId w:val="3"/>
        </w:numPr>
        <w:tabs>
          <w:tab w:val="left" w:pos="1700"/>
        </w:tabs>
        <w:ind w:left="1700"/>
        <w:rPr>
          <w:sz w:val="24"/>
          <w:szCs w:val="24"/>
        </w:rPr>
      </w:pPr>
      <w:r>
        <w:rPr>
          <w:sz w:val="24"/>
        </w:rPr>
        <w:t>Здружението на јавните обвинители</w:t>
      </w:r>
    </w:p>
    <w:p w14:paraId="77A57488" w14:textId="77777777" w:rsidR="006A4308" w:rsidRPr="006A4308" w:rsidRDefault="006A4308" w:rsidP="006A4308">
      <w:pPr>
        <w:pStyle w:val="ListParagraph"/>
        <w:numPr>
          <w:ilvl w:val="0"/>
          <w:numId w:val="3"/>
        </w:numPr>
        <w:tabs>
          <w:tab w:val="left" w:pos="1700"/>
        </w:tabs>
        <w:spacing w:before="25"/>
        <w:ind w:left="1700"/>
        <w:rPr>
          <w:sz w:val="24"/>
          <w:szCs w:val="24"/>
        </w:rPr>
      </w:pPr>
      <w:r>
        <w:rPr>
          <w:sz w:val="24"/>
        </w:rPr>
        <w:t>Адвокатската комора</w:t>
      </w:r>
    </w:p>
    <w:p w14:paraId="21746ED5" w14:textId="77777777" w:rsidR="006A4308" w:rsidRPr="006A4308" w:rsidRDefault="006A4308" w:rsidP="006A4308">
      <w:pPr>
        <w:pStyle w:val="ListParagraph"/>
        <w:numPr>
          <w:ilvl w:val="0"/>
          <w:numId w:val="3"/>
        </w:numPr>
        <w:tabs>
          <w:tab w:val="left" w:pos="1700"/>
        </w:tabs>
        <w:spacing w:before="28"/>
        <w:ind w:left="1700"/>
        <w:rPr>
          <w:sz w:val="24"/>
          <w:szCs w:val="24"/>
        </w:rPr>
      </w:pPr>
      <w:r>
        <w:rPr>
          <w:sz w:val="24"/>
        </w:rPr>
        <w:t>Центарот за граѓански комуникации</w:t>
      </w:r>
    </w:p>
    <w:p w14:paraId="0ACCAABD" w14:textId="77777777" w:rsidR="006A4308" w:rsidRPr="006A4308" w:rsidRDefault="006A4308" w:rsidP="006A4308">
      <w:pPr>
        <w:pStyle w:val="ListParagraph"/>
        <w:numPr>
          <w:ilvl w:val="0"/>
          <w:numId w:val="3"/>
        </w:numPr>
        <w:tabs>
          <w:tab w:val="left" w:pos="1700"/>
        </w:tabs>
        <w:spacing w:before="28"/>
        <w:ind w:left="1700"/>
        <w:rPr>
          <w:sz w:val="24"/>
          <w:szCs w:val="24"/>
        </w:rPr>
      </w:pPr>
      <w:r>
        <w:rPr>
          <w:sz w:val="24"/>
        </w:rPr>
        <w:t>Центарот за правни истражувања и анализи</w:t>
      </w:r>
    </w:p>
    <w:p w14:paraId="68BEC177" w14:textId="77777777" w:rsidR="006A4308" w:rsidRPr="006A4308" w:rsidRDefault="006A4308" w:rsidP="006A4308">
      <w:pPr>
        <w:pStyle w:val="ListParagraph"/>
        <w:numPr>
          <w:ilvl w:val="0"/>
          <w:numId w:val="3"/>
        </w:numPr>
        <w:tabs>
          <w:tab w:val="left" w:pos="1700"/>
        </w:tabs>
        <w:spacing w:before="25"/>
        <w:ind w:left="1700"/>
        <w:rPr>
          <w:sz w:val="24"/>
          <w:szCs w:val="24"/>
        </w:rPr>
      </w:pPr>
      <w:r>
        <w:rPr>
          <w:sz w:val="24"/>
        </w:rPr>
        <w:t>Уставниот суд</w:t>
      </w:r>
    </w:p>
    <w:p w14:paraId="7910E3E5" w14:textId="77777777" w:rsidR="006A4308" w:rsidRPr="006A4308" w:rsidRDefault="006A4308" w:rsidP="006A4308">
      <w:pPr>
        <w:pStyle w:val="ListParagraph"/>
        <w:numPr>
          <w:ilvl w:val="0"/>
          <w:numId w:val="3"/>
        </w:numPr>
        <w:tabs>
          <w:tab w:val="left" w:pos="1693"/>
        </w:tabs>
        <w:spacing w:before="28"/>
        <w:ind w:hanging="355"/>
        <w:rPr>
          <w:sz w:val="24"/>
          <w:szCs w:val="24"/>
        </w:rPr>
      </w:pPr>
      <w:r>
        <w:rPr>
          <w:sz w:val="24"/>
        </w:rPr>
        <w:t>Советот за етика во медиумите</w:t>
      </w:r>
    </w:p>
    <w:p w14:paraId="1803B717" w14:textId="77777777" w:rsidR="006A4308" w:rsidRPr="006A4308" w:rsidRDefault="006A4308" w:rsidP="006A4308">
      <w:pPr>
        <w:pStyle w:val="ListParagraph"/>
        <w:numPr>
          <w:ilvl w:val="0"/>
          <w:numId w:val="3"/>
        </w:numPr>
        <w:tabs>
          <w:tab w:val="left" w:pos="1700"/>
        </w:tabs>
        <w:ind w:left="1700"/>
        <w:rPr>
          <w:sz w:val="24"/>
          <w:szCs w:val="24"/>
        </w:rPr>
      </w:pPr>
      <w:r>
        <w:rPr>
          <w:sz w:val="24"/>
        </w:rPr>
        <w:t>Советот на јавни обвинители</w:t>
      </w:r>
    </w:p>
    <w:p w14:paraId="61939A3C" w14:textId="77777777" w:rsidR="006A4308" w:rsidRPr="006A4308" w:rsidRDefault="006A4308" w:rsidP="006A4308">
      <w:pPr>
        <w:pStyle w:val="ListParagraph"/>
        <w:numPr>
          <w:ilvl w:val="0"/>
          <w:numId w:val="3"/>
        </w:numPr>
        <w:tabs>
          <w:tab w:val="left" w:pos="1700"/>
        </w:tabs>
        <w:spacing w:before="27"/>
        <w:ind w:left="1700"/>
        <w:rPr>
          <w:sz w:val="24"/>
          <w:szCs w:val="24"/>
        </w:rPr>
      </w:pPr>
      <w:r>
        <w:rPr>
          <w:sz w:val="24"/>
        </w:rPr>
        <w:t xml:space="preserve">Јавниот обвинител за врски со ЕВРОПРАВДА </w:t>
      </w:r>
    </w:p>
    <w:p w14:paraId="7690E86E" w14:textId="77777777" w:rsidR="006A4308" w:rsidRPr="006A4308" w:rsidRDefault="006A4308" w:rsidP="006A4308">
      <w:pPr>
        <w:pStyle w:val="ListParagraph"/>
        <w:numPr>
          <w:ilvl w:val="0"/>
          <w:numId w:val="3"/>
        </w:numPr>
        <w:tabs>
          <w:tab w:val="left" w:pos="1700"/>
        </w:tabs>
        <w:spacing w:before="25"/>
        <w:ind w:left="1700"/>
        <w:rPr>
          <w:sz w:val="24"/>
          <w:szCs w:val="24"/>
        </w:rPr>
      </w:pPr>
      <w:r>
        <w:rPr>
          <w:sz w:val="24"/>
        </w:rPr>
        <w:t>Институтот за европска политика</w:t>
      </w:r>
    </w:p>
    <w:p w14:paraId="3031AEBC" w14:textId="77777777" w:rsidR="006A4308" w:rsidRPr="006A4308" w:rsidRDefault="006A4308" w:rsidP="006A4308">
      <w:pPr>
        <w:pStyle w:val="ListParagraph"/>
        <w:numPr>
          <w:ilvl w:val="0"/>
          <w:numId w:val="3"/>
        </w:numPr>
        <w:tabs>
          <w:tab w:val="left" w:pos="1700"/>
        </w:tabs>
        <w:spacing w:before="28"/>
        <w:ind w:left="1700"/>
        <w:rPr>
          <w:sz w:val="24"/>
          <w:szCs w:val="24"/>
        </w:rPr>
      </w:pPr>
      <w:r>
        <w:rPr>
          <w:sz w:val="24"/>
        </w:rPr>
        <w:t>Германската фондација за меѓународна правна соработка (ИРЗ)</w:t>
      </w:r>
    </w:p>
    <w:p w14:paraId="7D0935FD" w14:textId="77777777" w:rsidR="006A4308" w:rsidRPr="006A4308" w:rsidRDefault="006A4308" w:rsidP="006A4308">
      <w:pPr>
        <w:pStyle w:val="ListParagraph"/>
        <w:numPr>
          <w:ilvl w:val="0"/>
          <w:numId w:val="3"/>
        </w:numPr>
        <w:tabs>
          <w:tab w:val="left" w:pos="1693"/>
        </w:tabs>
        <w:spacing w:before="28"/>
        <w:ind w:hanging="355"/>
        <w:rPr>
          <w:sz w:val="24"/>
          <w:szCs w:val="24"/>
        </w:rPr>
      </w:pPr>
      <w:r>
        <w:rPr>
          <w:sz w:val="24"/>
        </w:rPr>
        <w:t>Самостојниот синдикат на новинари и медиумски работници</w:t>
      </w:r>
    </w:p>
    <w:p w14:paraId="656926FD" w14:textId="77777777" w:rsidR="006A4308" w:rsidRPr="006A4308" w:rsidRDefault="006A4308" w:rsidP="006A4308">
      <w:pPr>
        <w:pStyle w:val="ListParagraph"/>
        <w:numPr>
          <w:ilvl w:val="0"/>
          <w:numId w:val="3"/>
        </w:numPr>
        <w:tabs>
          <w:tab w:val="left" w:pos="1700"/>
        </w:tabs>
        <w:spacing w:before="15"/>
        <w:ind w:left="1700"/>
        <w:rPr>
          <w:sz w:val="24"/>
          <w:szCs w:val="24"/>
        </w:rPr>
      </w:pPr>
      <w:r>
        <w:rPr>
          <w:sz w:val="24"/>
        </w:rPr>
        <w:t>Институтот за демократија „Социетас цивилис“</w:t>
      </w:r>
    </w:p>
    <w:p w14:paraId="0E09B053" w14:textId="77777777" w:rsidR="006A4308" w:rsidRPr="006A4308" w:rsidRDefault="006A4308" w:rsidP="006A4308">
      <w:pPr>
        <w:pStyle w:val="ListParagraph"/>
        <w:numPr>
          <w:ilvl w:val="0"/>
          <w:numId w:val="3"/>
        </w:numPr>
        <w:tabs>
          <w:tab w:val="left" w:pos="1700"/>
        </w:tabs>
        <w:spacing w:before="28"/>
        <w:ind w:left="1700"/>
        <w:rPr>
          <w:sz w:val="24"/>
          <w:szCs w:val="24"/>
        </w:rPr>
      </w:pPr>
      <w:r>
        <w:rPr>
          <w:sz w:val="24"/>
        </w:rPr>
        <w:t>Институтот за човекови права</w:t>
      </w:r>
    </w:p>
    <w:p w14:paraId="24BE0FA9" w14:textId="77777777" w:rsidR="006A4308" w:rsidRPr="006A4308" w:rsidRDefault="006A4308" w:rsidP="006A4308">
      <w:pPr>
        <w:pStyle w:val="ListParagraph"/>
        <w:numPr>
          <w:ilvl w:val="0"/>
          <w:numId w:val="3"/>
        </w:numPr>
        <w:tabs>
          <w:tab w:val="left" w:pos="1700"/>
        </w:tabs>
        <w:spacing w:before="27"/>
        <w:ind w:left="1700"/>
        <w:rPr>
          <w:sz w:val="24"/>
          <w:szCs w:val="24"/>
        </w:rPr>
      </w:pPr>
      <w:r>
        <w:rPr>
          <w:sz w:val="24"/>
        </w:rPr>
        <w:t>Судскиот совет</w:t>
      </w:r>
    </w:p>
    <w:p w14:paraId="2A6B8004" w14:textId="77777777" w:rsidR="006A4308" w:rsidRPr="006A4308" w:rsidRDefault="006A4308" w:rsidP="006A4308">
      <w:pPr>
        <w:pStyle w:val="ListParagraph"/>
        <w:numPr>
          <w:ilvl w:val="0"/>
          <w:numId w:val="3"/>
        </w:numPr>
        <w:tabs>
          <w:tab w:val="left" w:pos="1700"/>
        </w:tabs>
        <w:spacing w:before="26"/>
        <w:ind w:left="1700"/>
        <w:rPr>
          <w:sz w:val="24"/>
          <w:szCs w:val="24"/>
        </w:rPr>
      </w:pPr>
      <w:r>
        <w:rPr>
          <w:sz w:val="24"/>
        </w:rPr>
        <w:t>Судско-медиумскиот совет</w:t>
      </w:r>
    </w:p>
    <w:p w14:paraId="791AE713" w14:textId="4A3B0010" w:rsidR="006A4308" w:rsidRPr="006A4308" w:rsidRDefault="006A4308" w:rsidP="006A4308">
      <w:pPr>
        <w:pStyle w:val="ListParagraph"/>
        <w:numPr>
          <w:ilvl w:val="0"/>
          <w:numId w:val="3"/>
        </w:numPr>
        <w:tabs>
          <w:tab w:val="left" w:pos="1700"/>
        </w:tabs>
        <w:spacing w:before="28"/>
        <w:ind w:left="1700"/>
        <w:rPr>
          <w:sz w:val="24"/>
          <w:szCs w:val="24"/>
        </w:rPr>
      </w:pPr>
      <w:r>
        <w:rPr>
          <w:sz w:val="24"/>
        </w:rPr>
        <w:t xml:space="preserve">Средба со </w:t>
      </w:r>
      <w:r w:rsidR="007F7DD0">
        <w:rPr>
          <w:sz w:val="24"/>
        </w:rPr>
        <w:t xml:space="preserve">стручните лица </w:t>
      </w:r>
      <w:r>
        <w:rPr>
          <w:sz w:val="24"/>
        </w:rPr>
        <w:t>од ИПА проектот „Поддршка на ЕУ за владеење на правото“</w:t>
      </w:r>
    </w:p>
    <w:p w14:paraId="181FCB00" w14:textId="77777777" w:rsidR="006A4308" w:rsidRPr="006A4308" w:rsidRDefault="006A4308" w:rsidP="006A4308">
      <w:pPr>
        <w:pStyle w:val="ListParagraph"/>
        <w:numPr>
          <w:ilvl w:val="0"/>
          <w:numId w:val="3"/>
        </w:numPr>
        <w:tabs>
          <w:tab w:val="left" w:pos="1693"/>
        </w:tabs>
        <w:spacing w:before="27"/>
        <w:ind w:hanging="355"/>
        <w:rPr>
          <w:sz w:val="24"/>
          <w:szCs w:val="24"/>
        </w:rPr>
      </w:pPr>
      <w:r>
        <w:rPr>
          <w:sz w:val="24"/>
        </w:rPr>
        <w:t>Министерството за внатрешни работи</w:t>
      </w:r>
    </w:p>
    <w:p w14:paraId="16BB85A9" w14:textId="77777777" w:rsidR="006A4308" w:rsidRPr="006A4308" w:rsidRDefault="006A4308" w:rsidP="006A4308">
      <w:pPr>
        <w:pStyle w:val="ListParagraph"/>
        <w:numPr>
          <w:ilvl w:val="0"/>
          <w:numId w:val="3"/>
        </w:numPr>
        <w:tabs>
          <w:tab w:val="left" w:pos="1693"/>
        </w:tabs>
        <w:ind w:hanging="355"/>
        <w:rPr>
          <w:sz w:val="24"/>
          <w:szCs w:val="24"/>
        </w:rPr>
      </w:pPr>
      <w:r>
        <w:rPr>
          <w:sz w:val="24"/>
        </w:rPr>
        <w:t>Министерството за внатрешни работи, Сектор за компјутерски криминал и дигитална форензика</w:t>
      </w:r>
    </w:p>
    <w:p w14:paraId="330362E3" w14:textId="77777777" w:rsidR="006A4308" w:rsidRPr="006A4308" w:rsidRDefault="006A4308" w:rsidP="006A4308">
      <w:pPr>
        <w:pStyle w:val="ListParagraph"/>
        <w:numPr>
          <w:ilvl w:val="0"/>
          <w:numId w:val="3"/>
        </w:numPr>
        <w:tabs>
          <w:tab w:val="left" w:pos="1693"/>
        </w:tabs>
        <w:spacing w:before="16"/>
        <w:ind w:hanging="355"/>
        <w:rPr>
          <w:sz w:val="24"/>
          <w:szCs w:val="24"/>
        </w:rPr>
      </w:pPr>
      <w:r>
        <w:rPr>
          <w:sz w:val="24"/>
        </w:rPr>
        <w:t>Министерството за правда</w:t>
      </w:r>
    </w:p>
    <w:p w14:paraId="23F564AD" w14:textId="77777777" w:rsidR="006A4308" w:rsidRPr="006A4308" w:rsidRDefault="006A4308" w:rsidP="006A4308">
      <w:pPr>
        <w:pStyle w:val="ListParagraph"/>
        <w:numPr>
          <w:ilvl w:val="0"/>
          <w:numId w:val="3"/>
        </w:numPr>
        <w:tabs>
          <w:tab w:val="left" w:pos="1693"/>
        </w:tabs>
        <w:ind w:hanging="355"/>
        <w:rPr>
          <w:sz w:val="24"/>
          <w:szCs w:val="24"/>
        </w:rPr>
      </w:pPr>
      <w:r>
        <w:rPr>
          <w:sz w:val="24"/>
        </w:rPr>
        <w:t>Канцеларијата на Народниот правобранител</w:t>
      </w:r>
    </w:p>
    <w:p w14:paraId="1823FBE5" w14:textId="77777777" w:rsidR="006A4308" w:rsidRPr="006A4308" w:rsidRDefault="006A4308" w:rsidP="006A4308">
      <w:pPr>
        <w:pStyle w:val="ListParagraph"/>
        <w:numPr>
          <w:ilvl w:val="0"/>
          <w:numId w:val="3"/>
        </w:numPr>
        <w:tabs>
          <w:tab w:val="left" w:pos="1700"/>
        </w:tabs>
        <w:ind w:left="1700"/>
        <w:rPr>
          <w:sz w:val="24"/>
          <w:szCs w:val="24"/>
        </w:rPr>
      </w:pPr>
      <w:r>
        <w:rPr>
          <w:sz w:val="24"/>
        </w:rPr>
        <w:t>Мисијата на ОБСЕ во Северна Македонија</w:t>
      </w:r>
    </w:p>
    <w:p w14:paraId="378338C3" w14:textId="77777777" w:rsidR="006A4308" w:rsidRPr="006A4308" w:rsidRDefault="006A4308" w:rsidP="006A4308">
      <w:pPr>
        <w:pStyle w:val="ListParagraph"/>
        <w:numPr>
          <w:ilvl w:val="0"/>
          <w:numId w:val="3"/>
        </w:numPr>
        <w:tabs>
          <w:tab w:val="left" w:pos="1700"/>
        </w:tabs>
        <w:spacing w:before="27"/>
        <w:ind w:left="1700"/>
        <w:rPr>
          <w:sz w:val="24"/>
          <w:szCs w:val="24"/>
        </w:rPr>
      </w:pPr>
      <w:r>
        <w:rPr>
          <w:sz w:val="24"/>
        </w:rPr>
        <w:t>Собранието (Законодавно правна комисија и законодавна единица)</w:t>
      </w:r>
    </w:p>
    <w:p w14:paraId="40257000" w14:textId="77777777" w:rsidR="006A4308" w:rsidRPr="006A4308" w:rsidRDefault="006A4308" w:rsidP="007D59F2">
      <w:pPr>
        <w:pStyle w:val="ListParagraph"/>
        <w:numPr>
          <w:ilvl w:val="0"/>
          <w:numId w:val="3"/>
        </w:numPr>
        <w:tabs>
          <w:tab w:val="left" w:pos="1693"/>
        </w:tabs>
        <w:spacing w:before="25" w:line="252" w:lineRule="auto"/>
        <w:ind w:right="96" w:hanging="356"/>
        <w:jc w:val="both"/>
        <w:rPr>
          <w:sz w:val="24"/>
          <w:szCs w:val="24"/>
        </w:rPr>
      </w:pPr>
      <w:r>
        <w:rPr>
          <w:sz w:val="24"/>
        </w:rPr>
        <w:t>Јавното обвинителство – обвинител кој ја следи постапката како одговор на нападите врз новинарите</w:t>
      </w:r>
    </w:p>
    <w:p w14:paraId="77467DB3" w14:textId="77777777" w:rsidR="006A4308" w:rsidRPr="006A4308" w:rsidRDefault="006A4308" w:rsidP="006A4308">
      <w:pPr>
        <w:pStyle w:val="ListParagraph"/>
        <w:numPr>
          <w:ilvl w:val="0"/>
          <w:numId w:val="3"/>
        </w:numPr>
        <w:tabs>
          <w:tab w:val="left" w:pos="1700"/>
        </w:tabs>
        <w:spacing w:before="9"/>
        <w:ind w:left="1700"/>
        <w:rPr>
          <w:sz w:val="24"/>
          <w:szCs w:val="24"/>
        </w:rPr>
      </w:pPr>
      <w:r>
        <w:rPr>
          <w:sz w:val="24"/>
        </w:rPr>
        <w:t>Јавните обвинителства (ЈО)</w:t>
      </w:r>
    </w:p>
    <w:p w14:paraId="665123BA" w14:textId="77777777" w:rsidR="006A4308" w:rsidRPr="006A4308" w:rsidRDefault="006A4308" w:rsidP="007D59F2">
      <w:pPr>
        <w:pStyle w:val="ListParagraph"/>
        <w:numPr>
          <w:ilvl w:val="0"/>
          <w:numId w:val="3"/>
        </w:numPr>
        <w:tabs>
          <w:tab w:val="left" w:pos="1700"/>
        </w:tabs>
        <w:spacing w:before="28" w:line="259" w:lineRule="auto"/>
        <w:ind w:left="1700" w:right="96"/>
        <w:jc w:val="both"/>
        <w:rPr>
          <w:sz w:val="24"/>
          <w:szCs w:val="24"/>
        </w:rPr>
      </w:pPr>
      <w:r>
        <w:rPr>
          <w:sz w:val="24"/>
        </w:rPr>
        <w:t>Јавното обвинителство за гонење организиран криминал и корупција (ЈОГОКК)</w:t>
      </w:r>
    </w:p>
    <w:p w14:paraId="51D47F65" w14:textId="77777777" w:rsidR="006A4308" w:rsidRPr="006A4308" w:rsidRDefault="006A4308" w:rsidP="006A4308">
      <w:pPr>
        <w:pStyle w:val="ListParagraph"/>
        <w:numPr>
          <w:ilvl w:val="0"/>
          <w:numId w:val="3"/>
        </w:numPr>
        <w:tabs>
          <w:tab w:val="left" w:pos="1693"/>
        </w:tabs>
        <w:spacing w:before="9"/>
        <w:ind w:hanging="355"/>
        <w:rPr>
          <w:sz w:val="24"/>
          <w:szCs w:val="24"/>
        </w:rPr>
      </w:pPr>
      <w:r>
        <w:rPr>
          <w:sz w:val="24"/>
        </w:rPr>
        <w:t>Јавниот радиодифузен сервис (МРТВ)</w:t>
      </w:r>
    </w:p>
    <w:p w14:paraId="602823F3" w14:textId="77777777" w:rsidR="006A4308" w:rsidRPr="006A4308" w:rsidRDefault="006A4308" w:rsidP="006A4308">
      <w:pPr>
        <w:pStyle w:val="ListParagraph"/>
        <w:numPr>
          <w:ilvl w:val="0"/>
          <w:numId w:val="3"/>
        </w:numPr>
        <w:tabs>
          <w:tab w:val="left" w:pos="1700"/>
        </w:tabs>
        <w:ind w:left="1700"/>
        <w:rPr>
          <w:sz w:val="24"/>
          <w:szCs w:val="24"/>
        </w:rPr>
      </w:pPr>
      <w:r>
        <w:rPr>
          <w:sz w:val="24"/>
        </w:rPr>
        <w:t>Државниот завод за ревизија</w:t>
      </w:r>
    </w:p>
    <w:p w14:paraId="7EF80E72" w14:textId="77777777" w:rsidR="006A4308" w:rsidRPr="006A4308" w:rsidRDefault="006A4308" w:rsidP="006A4308">
      <w:pPr>
        <w:pStyle w:val="ListParagraph"/>
        <w:numPr>
          <w:ilvl w:val="0"/>
          <w:numId w:val="3"/>
        </w:numPr>
        <w:tabs>
          <w:tab w:val="left" w:pos="1700"/>
        </w:tabs>
        <w:spacing w:before="25"/>
        <w:ind w:left="1700"/>
        <w:rPr>
          <w:sz w:val="24"/>
          <w:szCs w:val="24"/>
        </w:rPr>
      </w:pPr>
      <w:r>
        <w:rPr>
          <w:sz w:val="24"/>
        </w:rPr>
        <w:t>Државната комисија за спречување корупција (ДКСК)</w:t>
      </w:r>
    </w:p>
    <w:p w14:paraId="0D4F1E35" w14:textId="77777777" w:rsidR="006A4308" w:rsidRPr="006A4308" w:rsidRDefault="006A4308" w:rsidP="006A4308">
      <w:pPr>
        <w:pStyle w:val="ListParagraph"/>
        <w:numPr>
          <w:ilvl w:val="0"/>
          <w:numId w:val="3"/>
        </w:numPr>
        <w:tabs>
          <w:tab w:val="left" w:pos="1700"/>
        </w:tabs>
        <w:spacing w:before="27"/>
        <w:ind w:left="1700"/>
        <w:rPr>
          <w:sz w:val="24"/>
          <w:szCs w:val="24"/>
        </w:rPr>
      </w:pPr>
      <w:r>
        <w:rPr>
          <w:sz w:val="24"/>
        </w:rPr>
        <w:lastRenderedPageBreak/>
        <w:t>Врховниот суд</w:t>
      </w:r>
    </w:p>
    <w:p w14:paraId="4E29C483" w14:textId="4A3F58E5" w:rsidR="006B31F7" w:rsidRPr="00D234A9" w:rsidRDefault="006A4308" w:rsidP="00D234A9">
      <w:pPr>
        <w:pStyle w:val="ListParagraph"/>
        <w:keepNext/>
        <w:keepLines/>
        <w:numPr>
          <w:ilvl w:val="0"/>
          <w:numId w:val="3"/>
        </w:numPr>
        <w:tabs>
          <w:tab w:val="left" w:pos="1693"/>
        </w:tabs>
        <w:spacing w:before="28" w:after="100" w:line="221" w:lineRule="auto"/>
        <w:jc w:val="both"/>
        <w:rPr>
          <w:i/>
          <w:sz w:val="24"/>
        </w:rPr>
      </w:pPr>
      <w:r>
        <w:rPr>
          <w:i/>
          <w:sz w:val="24"/>
        </w:rPr>
        <w:t>Транспаренси Интернешнл – Македонија</w:t>
      </w:r>
    </w:p>
    <w:sectPr w:rsidR="006B31F7" w:rsidRPr="00D234A9">
      <w:footerReference w:type="default" r:id="rId83"/>
      <w:pgSz w:w="11900" w:h="16840"/>
      <w:pgMar w:top="1437" w:right="1361" w:bottom="1629" w:left="1371" w:header="1009"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39DE4" w14:textId="77777777" w:rsidR="003462D5" w:rsidRDefault="003462D5">
      <w:r>
        <w:separator/>
      </w:r>
    </w:p>
  </w:endnote>
  <w:endnote w:type="continuationSeparator" w:id="0">
    <w:p w14:paraId="1709AA64" w14:textId="77777777" w:rsidR="003462D5" w:rsidRDefault="003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83905"/>
      <w:docPartObj>
        <w:docPartGallery w:val="Page Numbers (Bottom of Page)"/>
        <w:docPartUnique/>
      </w:docPartObj>
    </w:sdtPr>
    <w:sdtEndPr>
      <w:rPr>
        <w:rFonts w:ascii="Times New Roman" w:hAnsi="Times New Roman" w:cs="Times New Roman"/>
        <w:noProof/>
        <w:sz w:val="20"/>
        <w:szCs w:val="20"/>
      </w:rPr>
    </w:sdtEndPr>
    <w:sdtContent>
      <w:p w14:paraId="2D094961" w14:textId="30043A0C" w:rsidR="008D523D" w:rsidRPr="00415B37" w:rsidRDefault="008D523D">
        <w:pPr>
          <w:pStyle w:val="Footer"/>
          <w:jc w:val="center"/>
          <w:rPr>
            <w:rFonts w:ascii="Times New Roman" w:hAnsi="Times New Roman" w:cs="Times New Roman"/>
            <w:sz w:val="20"/>
            <w:szCs w:val="20"/>
          </w:rPr>
        </w:pPr>
        <w:r w:rsidRPr="00415B37">
          <w:rPr>
            <w:rFonts w:ascii="Times New Roman" w:hAnsi="Times New Roman" w:cs="Times New Roman"/>
            <w:sz w:val="20"/>
          </w:rPr>
          <w:fldChar w:fldCharType="begin"/>
        </w:r>
        <w:r w:rsidRPr="00415B37">
          <w:rPr>
            <w:rFonts w:ascii="Times New Roman" w:hAnsi="Times New Roman" w:cs="Times New Roman"/>
            <w:sz w:val="20"/>
          </w:rPr>
          <w:instrText xml:space="preserve"> PAGE   \* MERGEFORMAT </w:instrText>
        </w:r>
        <w:r w:rsidRPr="00415B37">
          <w:rPr>
            <w:rFonts w:ascii="Times New Roman" w:hAnsi="Times New Roman" w:cs="Times New Roman"/>
            <w:sz w:val="20"/>
          </w:rPr>
          <w:fldChar w:fldCharType="separate"/>
        </w:r>
        <w:r w:rsidR="00530328">
          <w:rPr>
            <w:rFonts w:ascii="Times New Roman" w:hAnsi="Times New Roman" w:cs="Times New Roman"/>
            <w:noProof/>
            <w:sz w:val="20"/>
          </w:rPr>
          <w:t>8</w:t>
        </w:r>
        <w:r w:rsidRPr="00415B37">
          <w:rPr>
            <w:rFonts w:ascii="Times New Roman" w:hAnsi="Times New Roman" w:cs="Times New Roman"/>
            <w:sz w:val="20"/>
          </w:rPr>
          <w:fldChar w:fldCharType="end"/>
        </w:r>
      </w:p>
    </w:sdtContent>
  </w:sdt>
  <w:p w14:paraId="76B27C65" w14:textId="77777777" w:rsidR="008D523D" w:rsidRDefault="008D52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260F2" w14:textId="77777777" w:rsidR="008D523D" w:rsidRDefault="008D523D">
    <w:pPr>
      <w:spacing w:line="1" w:lineRule="exact"/>
    </w:pPr>
    <w:r>
      <w:rPr>
        <w:noProof/>
        <w:lang w:val="en-US" w:bidi="ar-SA"/>
      </w:rPr>
      <mc:AlternateContent>
        <mc:Choice Requires="wps">
          <w:drawing>
            <wp:anchor distT="0" distB="0" distL="0" distR="0" simplePos="0" relativeHeight="62914695" behindDoc="1" locked="0" layoutInCell="1" allowOverlap="1" wp14:anchorId="36296BB3" wp14:editId="6E158798">
              <wp:simplePos x="0" y="0"/>
              <wp:positionH relativeFrom="page">
                <wp:posOffset>3726180</wp:posOffset>
              </wp:positionH>
              <wp:positionV relativeFrom="page">
                <wp:posOffset>9876790</wp:posOffset>
              </wp:positionV>
              <wp:extent cx="128270"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0921EF03" w14:textId="7C3ED32A" w:rsidR="008D523D" w:rsidRDefault="008D523D">
                          <w:pPr>
                            <w:pStyle w:val="Headerorfooter20"/>
                            <w:rPr>
                              <w:sz w:val="24"/>
                              <w:szCs w:val="24"/>
                            </w:rPr>
                          </w:pPr>
                          <w:r>
                            <w:t>26</w:t>
                          </w:r>
                        </w:p>
                      </w:txbxContent>
                    </wps:txbx>
                    <wps:bodyPr wrap="none" lIns="0" tIns="0" rIns="0" bIns="0">
                      <a:spAutoFit/>
                    </wps:bodyPr>
                  </wps:wsp>
                </a:graphicData>
              </a:graphic>
            </wp:anchor>
          </w:drawing>
        </mc:Choice>
        <mc:Fallback xmlns:w15="http://schemas.microsoft.com/office/word/2012/wordml">
          <w:pict>
            <v:shapetype w14:anchorId="36296BB3" id="_x0000_t202" coordsize="21600,21600" o:spt="202" path="m,l,21600r21600,l21600,xe">
              <v:stroke joinstyle="miter"/>
              <v:path gradientshapeok="t" o:connecttype="rect"/>
            </v:shapetype>
            <v:shape id="Shape 11" o:spid="_x0000_s1030" type="#_x0000_t202" style="position:absolute;margin-left:293.4pt;margin-top:777.7pt;width:10.1pt;height:8.1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A2kwEAACM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" filled="f" stroked="f">
              <v:textbox style="mso-fit-shape-to-text:t" inset="0,0,0,0">
                <w:txbxContent>
                  <w:p w14:paraId="0921EF03" w14:textId="7C3ED32A" w:rsidR="002B0E98" w:rsidRDefault="002B0E98">
                    <w:pPr>
                      <w:pStyle w:val="Headerorfooter20"/>
                      <w:rPr>
                        <w:sz w:val="24"/>
                        <w:szCs w:val="24"/>
                      </w:rPr>
                    </w:pPr>
                    <w:r>
                      <w:t>26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608B9" w14:textId="77777777" w:rsidR="003462D5" w:rsidRDefault="003462D5">
      <w:r>
        <w:separator/>
      </w:r>
    </w:p>
  </w:footnote>
  <w:footnote w:type="continuationSeparator" w:id="0">
    <w:p w14:paraId="1526917D" w14:textId="77777777" w:rsidR="003462D5" w:rsidRDefault="003462D5">
      <w:r>
        <w:continuationSeparator/>
      </w:r>
    </w:p>
  </w:footnote>
  <w:footnote w:id="1">
    <w:p w14:paraId="4AFFBCB1" w14:textId="1B5AAE12" w:rsidR="008D523D" w:rsidRDefault="008D523D" w:rsidP="00C94B51">
      <w:pPr>
        <w:pStyle w:val="Footnote0"/>
        <w:tabs>
          <w:tab w:val="left" w:pos="284"/>
        </w:tabs>
        <w:ind w:left="284" w:hanging="284"/>
        <w:jc w:val="both"/>
      </w:pPr>
      <w:r>
        <w:rPr>
          <w:vertAlign w:val="superscript"/>
        </w:rPr>
        <w:footnoteRef/>
      </w:r>
      <w:r>
        <w:tab/>
        <w:t>Членови 98 и 106 од Уставот на Република Северна Македонија.</w:t>
      </w:r>
    </w:p>
  </w:footnote>
  <w:footnote w:id="2">
    <w:p w14:paraId="233A6C17" w14:textId="3E938FC1" w:rsidR="008D523D" w:rsidRDefault="008D523D" w:rsidP="00D234A9">
      <w:pPr>
        <w:pStyle w:val="Footnote0"/>
        <w:tabs>
          <w:tab w:val="left" w:pos="284"/>
        </w:tabs>
        <w:ind w:left="0" w:firstLine="0"/>
        <w:jc w:val="both"/>
      </w:pPr>
      <w:r>
        <w:rPr>
          <w:vertAlign w:val="superscript"/>
        </w:rPr>
        <w:footnoteRef/>
      </w:r>
      <w:r>
        <w:tab/>
        <w:t>Контактна точка е воспоставена од октомври 2022 година.</w:t>
      </w:r>
    </w:p>
  </w:footnote>
  <w:footnote w:id="3">
    <w:p w14:paraId="33D5A3B0" w14:textId="19B69BF7" w:rsidR="008D523D" w:rsidRDefault="008D523D" w:rsidP="00D234A9">
      <w:pPr>
        <w:pStyle w:val="FootnoteText"/>
        <w:tabs>
          <w:tab w:val="left" w:pos="284"/>
        </w:tabs>
        <w:ind w:left="284" w:hanging="284"/>
        <w:jc w:val="both"/>
      </w:pPr>
      <w:r>
        <w:rPr>
          <w:rStyle w:val="FootnoteReference"/>
        </w:rPr>
        <w:footnoteRef/>
      </w:r>
      <w:r>
        <w:tab/>
      </w:r>
      <w:r w:rsidRPr="00D234A9">
        <w:rPr>
          <w:rFonts w:ascii="Times New Roman" w:eastAsia="Times New Roman" w:hAnsi="Times New Roman" w:cs="Times New Roman"/>
        </w:rPr>
        <w:t>Истражување на Евробарометар FL540, спроведено меѓу пошироката јавност помеѓу 14 февруари и 27 февруари 2024 година, и истражување на Евробарометар FL541, спроведено меѓу компаниите помеѓу 14 февруари и 5 март 2024 година. Нивото на перципирана судска независност е категоризирано на следниов начин: многу ниско (под 30% од испитаниците ја перципираат судската независност како прилично добра и многу добра); ниска (помеѓу 30-39%), просечна (помеѓу 40-59%), висока (помеѓу 60-75%), многу висока (над 75%).</w:t>
      </w:r>
    </w:p>
  </w:footnote>
  <w:footnote w:id="4">
    <w:p w14:paraId="5A6846CC" w14:textId="3DFEC7A4" w:rsidR="008D523D" w:rsidRDefault="008D523D" w:rsidP="00C94B51">
      <w:pPr>
        <w:pStyle w:val="Footnote0"/>
        <w:tabs>
          <w:tab w:val="left" w:pos="284"/>
        </w:tabs>
        <w:ind w:left="0" w:firstLine="0"/>
        <w:jc w:val="both"/>
      </w:pPr>
      <w:r>
        <w:rPr>
          <w:vertAlign w:val="superscript"/>
        </w:rPr>
        <w:footnoteRef/>
      </w:r>
      <w:r>
        <w:tab/>
        <w:t>Европска комисија (2015), Итни реформски приоритети за Поранешната Југословенска Република Македонија.</w:t>
      </w:r>
    </w:p>
  </w:footnote>
  <w:footnote w:id="5">
    <w:p w14:paraId="6D70E410" w14:textId="723DA0F6" w:rsidR="008D523D" w:rsidRDefault="008D523D" w:rsidP="00C94B51">
      <w:pPr>
        <w:pStyle w:val="Footnote0"/>
        <w:tabs>
          <w:tab w:val="left" w:pos="284"/>
        </w:tabs>
        <w:ind w:left="0" w:firstLine="0"/>
        <w:jc w:val="both"/>
      </w:pPr>
      <w:r>
        <w:rPr>
          <w:vertAlign w:val="superscript"/>
        </w:rPr>
        <w:footnoteRef/>
      </w:r>
      <w:r>
        <w:tab/>
        <w:t>Мислење на Венецијанската комисија (CDL-AD(2018)022, CDL-AD(2018)033, CDL-AD(2019)008).</w:t>
      </w:r>
    </w:p>
  </w:footnote>
  <w:footnote w:id="6">
    <w:p w14:paraId="1EEA1F7E" w14:textId="4154FB06" w:rsidR="008D523D" w:rsidRDefault="008D523D" w:rsidP="00C94B51">
      <w:pPr>
        <w:pStyle w:val="Footnote0"/>
        <w:tabs>
          <w:tab w:val="left" w:pos="284"/>
        </w:tabs>
        <w:ind w:left="284" w:hanging="284"/>
        <w:jc w:val="both"/>
      </w:pPr>
      <w:r>
        <w:rPr>
          <w:vertAlign w:val="superscript"/>
        </w:rPr>
        <w:footnoteRef/>
      </w:r>
      <w:r>
        <w:tab/>
        <w:t>Во 2015 година Комисијата побара од групата независни високи експерти за владеењето на правото да ги процени системските прашања за владеењето на правото, што ја обезбеди основата за Итните реформски приоритети. Во 2017 година истата група го оцени напредокот во решавањето на нивните претходни наоди и даде нови препораки. Оцена и препораки на Вишата експертска група за системски прашања за владеењето на правото 2017 година. Види: Европска комисија (2015), Поранешна Југословенска Република Македонија: Препораки на Вишата експертска група за системски прашања за владеењето на правото во врска со следењето на комуникацијата откриена во пролетта 2015 година и Европската комисија (2017), Поранешна Југословенска Република Македонија: Оцени и препораки на Вишата експертска група за системски прашања за владеењето на правото 2017 година.</w:t>
      </w:r>
    </w:p>
  </w:footnote>
  <w:footnote w:id="7">
    <w:p w14:paraId="16C6EAFC" w14:textId="742EE02E" w:rsidR="008D523D" w:rsidRDefault="008D523D" w:rsidP="00A77867">
      <w:pPr>
        <w:pStyle w:val="Footnote0"/>
        <w:ind w:left="284" w:hanging="284"/>
        <w:jc w:val="both"/>
      </w:pPr>
      <w:r>
        <w:rPr>
          <w:vertAlign w:val="superscript"/>
        </w:rPr>
        <w:footnoteRef/>
      </w:r>
      <w:r>
        <w:tab/>
        <w:t>Закон за Судски совет на Република Северна Македонија, Службен весник бр. 102/2019. Закон за судови, Службен весник бр. 58/2006, 62/2006, 35/2008, 150/2010, 83/2018 и 198/2018.</w:t>
      </w:r>
    </w:p>
  </w:footnote>
  <w:footnote w:id="8">
    <w:p w14:paraId="68318097" w14:textId="586A0272" w:rsidR="008D523D" w:rsidRDefault="008D523D" w:rsidP="00A21F1B">
      <w:pPr>
        <w:pStyle w:val="Footnote0"/>
        <w:tabs>
          <w:tab w:val="left" w:pos="284"/>
        </w:tabs>
        <w:ind w:left="284" w:hanging="284"/>
        <w:jc w:val="both"/>
      </w:pPr>
      <w:r>
        <w:rPr>
          <w:vertAlign w:val="superscript"/>
        </w:rPr>
        <w:footnoteRef/>
      </w:r>
      <w:r>
        <w:tab/>
        <w:t>Скрининг-извештај за 2023 година за Северна Македонија, Кластер 1, Фундаментални вредности, стр. 37.</w:t>
      </w:r>
    </w:p>
  </w:footnote>
  <w:footnote w:id="9">
    <w:p w14:paraId="4E1EFFCA" w14:textId="75ECC68C" w:rsidR="008D523D" w:rsidRDefault="008D523D" w:rsidP="00A21F1B">
      <w:pPr>
        <w:pStyle w:val="Footnote0"/>
        <w:tabs>
          <w:tab w:val="left" w:pos="284"/>
        </w:tabs>
        <w:ind w:left="0" w:firstLine="0"/>
      </w:pPr>
      <w:r>
        <w:rPr>
          <w:vertAlign w:val="superscript"/>
        </w:rPr>
        <w:footnoteRef/>
      </w:r>
      <w:r>
        <w:tab/>
        <w:t>Министерство за правда (2023), Новата развојна секторска стратегија за правосудство 2024-2028.</w:t>
      </w:r>
    </w:p>
  </w:footnote>
  <w:footnote w:id="10">
    <w:p w14:paraId="1647C78B" w14:textId="1789E1B9" w:rsidR="008D523D" w:rsidRDefault="008D523D">
      <w:pPr>
        <w:pStyle w:val="Footnote0"/>
        <w:jc w:val="both"/>
      </w:pPr>
      <w:r>
        <w:rPr>
          <w:vertAlign w:val="superscript"/>
        </w:rPr>
        <w:footnoteRef/>
      </w:r>
      <w:r>
        <w:tab/>
        <w:t>Според извештаите за спроведување, заклучно со 2022 година, од вкупно 227 активности утврдени во Стратегијата, целосно се реализирани 118 активности, 30 се во тек, 34 доцнат, 40 активности се спроведуваат континуирано, три активности директно зависат од претходното донесување на законските измени, додека две активностите не можеа да се спроведат. Поради нецелосното спроведување, властите пријавија доцнење во парламентарната работа, на пример, поради предвремените парламентарни избори во 2020 година, одложувањата предизвикани од пандемијата со КОВИД-19, како и политичката поларизација и отсуството на култура на градење консензус, особено за законски измени за кои е потребно квалификувано мнозинство. Министерство за правда (2023), Новата развојна секторска стратегија за правосудството 2024-2028. Дел II.</w:t>
      </w:r>
    </w:p>
  </w:footnote>
  <w:footnote w:id="11">
    <w:p w14:paraId="5ABEED32" w14:textId="1FA5293C" w:rsidR="008D523D" w:rsidRDefault="008D523D" w:rsidP="00C94B51">
      <w:pPr>
        <w:pStyle w:val="Footnote0"/>
        <w:ind w:left="284" w:hanging="284"/>
        <w:jc w:val="both"/>
      </w:pPr>
      <w:r>
        <w:rPr>
          <w:vertAlign w:val="superscript"/>
        </w:rPr>
        <w:footnoteRef/>
      </w:r>
      <w:r>
        <w:tab/>
        <w:t>Стратегијата идентификува пет посебни приоритетни области: Судство и јавното обвинителство во согласност со стандардите на ЕУ; Институции на правосудниот систем; Самостојни професии и јавни служби; Реформа на Уставниот суд на Република Северна Македонија; Реформи во посебни правни области (кривична и граѓанска).</w:t>
      </w:r>
    </w:p>
  </w:footnote>
  <w:footnote w:id="12">
    <w:p w14:paraId="699E7EDD" w14:textId="1E2BB106" w:rsidR="008D523D" w:rsidRDefault="008D523D">
      <w:pPr>
        <w:pStyle w:val="Footnote0"/>
        <w:jc w:val="both"/>
      </w:pPr>
      <w:r>
        <w:rPr>
          <w:vertAlign w:val="superscript"/>
        </w:rPr>
        <w:footnoteRef/>
      </w:r>
      <w:r>
        <w:tab/>
        <w:t>Пишан придонес од Северна Македонија во контекст на посетата на земјата, стр. 1; исто така види: Министерство за правда, Соопштение за медиумите 26.3.2024 година. Со Советот ќе претседава министерот за правда, а други членови се: министерот за внатрешни работи; министерот за информатичко општество и администрација; министерот за финансии; заменик претседателот на Владата задолжен за европски прашања; заменик на претседателот на Владата задолжен за политики за добро владеење; јавен обвинител; претседател на Врховниот суд; претседател на Судскиот совет; претседател на Советот на јавни обвинители, како и угледни професори, експерти и претставници на граѓанското општество. На техничко ниво, во март 2024 година беше формирана работна група во рамките на Министерството за правда која треба да се состанува месечно за да го следи напредокот во спроведувањето на Акцискиот план на Стратегијата.</w:t>
      </w:r>
    </w:p>
  </w:footnote>
  <w:footnote w:id="13">
    <w:p w14:paraId="0075CD1D" w14:textId="0D32FEF0" w:rsidR="008D523D" w:rsidRDefault="008D523D" w:rsidP="00C94B51">
      <w:pPr>
        <w:pStyle w:val="Footnote0"/>
        <w:ind w:left="284" w:hanging="284"/>
      </w:pPr>
      <w:r>
        <w:rPr>
          <w:vertAlign w:val="superscript"/>
        </w:rPr>
        <w:footnoteRef/>
      </w:r>
      <w:r>
        <w:tab/>
        <w:t>Мисија на ОБСЕ во Скопје, 2023 година, Процена на ризиците од корупција во правосудството во Северна Македонија, стр. 14-16.</w:t>
      </w:r>
    </w:p>
  </w:footnote>
  <w:footnote w:id="14">
    <w:p w14:paraId="424A896F" w14:textId="786AE2CC" w:rsidR="008D523D" w:rsidRDefault="008D523D" w:rsidP="00B80A91">
      <w:pPr>
        <w:pStyle w:val="Footnote0"/>
        <w:ind w:left="340" w:hanging="340"/>
        <w:jc w:val="both"/>
      </w:pPr>
      <w:r>
        <w:rPr>
          <w:vertAlign w:val="superscript"/>
        </w:rPr>
        <w:footnoteRef/>
      </w:r>
      <w:r>
        <w:tab/>
        <w:t>Ibidem. Во споредба со резултатите од правната анализа на ОБСЕ од 2009 година за независноста на правосудството, забележан е пораст на перципираниот притисок или обиди за влијание од колегите судии (+12 %), судиите од повисок ранг (+12 %) и членови на Судскиот совет (+9 %). Примарниот внатрешен корупциски ризик што го идентификуваа судиите се однесува на влијанието што го имаат претседателите на судовите преку Годишниот распоред за работа на Судиите, особено истакнувајќи дека ад хок промените направени во годишниот распоред може да резултираат со распоредување на одредени судии во предмети од висок јавен интерес.</w:t>
      </w:r>
    </w:p>
  </w:footnote>
  <w:footnote w:id="15">
    <w:p w14:paraId="40872E22" w14:textId="378BB35B" w:rsidR="008D523D" w:rsidRDefault="008D523D" w:rsidP="00B80A91">
      <w:pPr>
        <w:pStyle w:val="Footnote0"/>
        <w:ind w:left="284" w:hanging="284"/>
        <w:jc w:val="both"/>
      </w:pPr>
      <w:r>
        <w:rPr>
          <w:vertAlign w:val="superscript"/>
        </w:rPr>
        <w:footnoteRef/>
      </w:r>
      <w:r>
        <w:tab/>
        <w:t>Врховен суд на Северна Македонија, Соопштение за медиумите, 6.11.2023 година. Вести на Гласот на Америка 17.1.2024 година.</w:t>
      </w:r>
    </w:p>
  </w:footnote>
  <w:footnote w:id="16">
    <w:p w14:paraId="1D01A63F" w14:textId="056C7EA8" w:rsidR="008D523D" w:rsidRDefault="008D523D" w:rsidP="00B80A91">
      <w:pPr>
        <w:pStyle w:val="Footnote0"/>
        <w:ind w:left="284" w:hanging="284"/>
        <w:jc w:val="both"/>
      </w:pPr>
      <w:r>
        <w:rPr>
          <w:vertAlign w:val="superscript"/>
        </w:rPr>
        <w:footnoteRef/>
      </w:r>
      <w:r>
        <w:tab/>
        <w:t>Мисија на ОБСЕ во Скопје (2023), Процена на ризиците од корупција во правосудството во Северна Македонија, стр. 31. 36 % од јавните обвинители изјавиле дека доживеале обиди за влијание од членови на извршната власт, а 29 % од претставници на политички партии.</w:t>
      </w:r>
    </w:p>
  </w:footnote>
  <w:footnote w:id="17">
    <w:p w14:paraId="635374D5" w14:textId="2E43A948" w:rsidR="008D523D" w:rsidRDefault="008D523D" w:rsidP="00B80A91">
      <w:pPr>
        <w:pStyle w:val="Footnote0"/>
        <w:ind w:left="284" w:hanging="284"/>
        <w:jc w:val="both"/>
      </w:pPr>
      <w:r>
        <w:rPr>
          <w:vertAlign w:val="superscript"/>
        </w:rPr>
        <w:footnoteRef/>
      </w:r>
      <w:r>
        <w:tab/>
        <w:t>Ibidem. 41 % од обвинителите изјавиле дека искусиле обиди од адвокати, додека 36 % и 35 % имале сличен притисок од високи јавни обвинители и колеги, соодветно.</w:t>
      </w:r>
    </w:p>
  </w:footnote>
  <w:footnote w:id="18">
    <w:p w14:paraId="13B60731" w14:textId="74C1F61C" w:rsidR="008D523D" w:rsidRDefault="008D523D" w:rsidP="00B80A91">
      <w:pPr>
        <w:pStyle w:val="Footnote0"/>
        <w:ind w:left="284" w:hanging="284"/>
        <w:jc w:val="both"/>
      </w:pPr>
      <w:r>
        <w:rPr>
          <w:vertAlign w:val="superscript"/>
        </w:rPr>
        <w:footnoteRef/>
      </w:r>
      <w:r>
        <w:tab/>
        <w:t>Ibidem, стр. 17, стр. 32.</w:t>
      </w:r>
    </w:p>
  </w:footnote>
  <w:footnote w:id="19">
    <w:p w14:paraId="493EA749" w14:textId="500B90E6" w:rsidR="008D523D" w:rsidRDefault="008D523D" w:rsidP="00B80A91">
      <w:pPr>
        <w:pStyle w:val="Footnote0"/>
        <w:ind w:left="284" w:hanging="284"/>
        <w:jc w:val="both"/>
      </w:pPr>
      <w:r>
        <w:rPr>
          <w:vertAlign w:val="superscript"/>
        </w:rPr>
        <w:footnoteRef/>
      </w:r>
      <w:r>
        <w:tab/>
        <w:t>Информации добиени во контекст на посетата на Северна Македонија од засегнати страни од правосудниот систем. Предлогот е вклучен во програмата за работа на Програмата за работа на Јавното обвинителство 2024-2030 (2024).</w:t>
      </w:r>
    </w:p>
  </w:footnote>
  <w:footnote w:id="20">
    <w:p w14:paraId="03A4761D" w14:textId="66C2A3CA" w:rsidR="008D523D" w:rsidRDefault="008D523D" w:rsidP="00B80A91">
      <w:pPr>
        <w:pStyle w:val="Footnote0"/>
        <w:ind w:left="284" w:hanging="284"/>
        <w:jc w:val="both"/>
      </w:pPr>
      <w:r>
        <w:rPr>
          <w:vertAlign w:val="superscript"/>
        </w:rPr>
        <w:footnoteRef/>
      </w:r>
      <w:r>
        <w:tab/>
        <w:t>Во ноември 2022 година, поранешниот претседател на Советот поднесе оставка поради несоодветно влијание од правосудството и бизнис заедницата. Последователно избраниот претседател беше разрешен од оваа функција по само неколку месеци на функцијата во април 2023 година, во контроверзен процес на гласање кој не е во согласност со деловникот за работа. Во знак на протест против ова гласање, во јуни 2023 година, двајца членови на Судскиот совет поднесоа оставка. Види исто така: Коалицијата на здруженија на граѓани „Сите за правично судење“ - Скопје (2024), Извештај од мониторингот на Судскиот совет и Советот на јавни обвинители во 2023 година.</w:t>
      </w:r>
    </w:p>
  </w:footnote>
  <w:footnote w:id="21">
    <w:p w14:paraId="46FDC104" w14:textId="5D6613C1" w:rsidR="008D523D" w:rsidRDefault="008D523D" w:rsidP="003735E8">
      <w:pPr>
        <w:pStyle w:val="Footnote0"/>
        <w:tabs>
          <w:tab w:val="left" w:pos="283"/>
        </w:tabs>
        <w:ind w:left="284" w:hanging="284"/>
        <w:jc w:val="both"/>
      </w:pPr>
      <w:r>
        <w:rPr>
          <w:vertAlign w:val="superscript"/>
        </w:rPr>
        <w:footnoteRef/>
      </w:r>
      <w:r>
        <w:tab/>
        <w:t>Комуникација за политиката на проширување на ЕУ од 2023 година, Извештај за Северна Македонија, стр. 18-19. Види исто така: Здружение на граѓани Институт за човекови права, Скопје 2023, Мониторинг-извештај за работата на Судскиот совет јануари - јули 2023 година; Коалиција на здруженија на граѓани „Сите за правично судење“ - Скопје (2024), Извештај од мониторингот на Судскиот совет и Советот на јавни обвинители во 2023 година.</w:t>
      </w:r>
    </w:p>
  </w:footnote>
  <w:footnote w:id="22">
    <w:p w14:paraId="0FE2886E" w14:textId="54126D39" w:rsidR="008D523D" w:rsidRDefault="008D523D" w:rsidP="00B80A91">
      <w:pPr>
        <w:pStyle w:val="Footnote0"/>
        <w:tabs>
          <w:tab w:val="left" w:pos="284"/>
        </w:tabs>
        <w:ind w:left="284" w:hanging="284"/>
        <w:jc w:val="both"/>
      </w:pPr>
      <w:r>
        <w:rPr>
          <w:vertAlign w:val="superscript"/>
        </w:rPr>
        <w:footnoteRef/>
      </w:r>
      <w:r>
        <w:tab/>
        <w:t>Здружение на граѓани Институт за човекови права, Скопје 2023 година, Мониторинг-извештај за работата на Судскиот совет јануари - јули 2023 година, стр. 5-6. Судскиот совет одржа седници кои претходно не беа најавени, па јавноста поради неинформираност немаше можност да присуствува на нив. На овие седници беа преземени повеќе дејства кои според законот требаше да бидат јавни. Дополнително, системот за говорење и гласање не беше во функција одреден период по незаконското разрешување на поранешниот претседател.</w:t>
      </w:r>
    </w:p>
  </w:footnote>
  <w:footnote w:id="23">
    <w:p w14:paraId="00988C80" w14:textId="61F512AD" w:rsidR="008D523D" w:rsidRDefault="008D523D" w:rsidP="00B80A91">
      <w:pPr>
        <w:pStyle w:val="Footnote0"/>
        <w:jc w:val="both"/>
      </w:pPr>
      <w:r>
        <w:rPr>
          <w:vertAlign w:val="superscript"/>
        </w:rPr>
        <w:footnoteRef/>
      </w:r>
      <w:r>
        <w:tab/>
        <w:t>Мисија на ОБСЕ во Скопје (2023), Процена на ризиците од корупција во правосудството во Северна Македонија. 72 % од интервјуираните судии или целосно не се согласуваат (27 %) или делумно не се согласуваат (45 %) дека Судскиот совет ефективно ја штити судската независност, а само 26 % се согласуваат.</w:t>
      </w:r>
    </w:p>
  </w:footnote>
  <w:footnote w:id="24">
    <w:p w14:paraId="7752C83D" w14:textId="7F64A0F6" w:rsidR="008D523D" w:rsidRDefault="008D523D" w:rsidP="00B80A91">
      <w:pPr>
        <w:pStyle w:val="Footnote0"/>
        <w:jc w:val="both"/>
      </w:pPr>
      <w:r>
        <w:rPr>
          <w:vertAlign w:val="superscript"/>
        </w:rPr>
        <w:footnoteRef/>
      </w:r>
      <w:r>
        <w:tab/>
        <w:t>Оваа одлука Судскиот совет ја донел врз основа на јавен оглас од Државната комисија за спречување корупција, кој се повикува на одредба во изборниот законик која се однесува на запирање на решенијата за именување јавни службеници. Законот не прецизира дека ова ќе вклучува и назначувања судии. Судскиот совет немаше обврска да го следи ова барање, а прекинот на овие активности отвора прашања за неговата независност. Советот на јавни обвинители вообичаено продолжува со работа во изборниот период. Одложувањето на овие постапки до одржувањето на парламентарните избори не само што ги зајакнува прашањата за независноста на Советот, туку може и негативно да влијае на одложувањата во судовите.</w:t>
      </w:r>
    </w:p>
  </w:footnote>
  <w:footnote w:id="25">
    <w:p w14:paraId="3DD8BFC7" w14:textId="527FE884" w:rsidR="008D523D" w:rsidRDefault="008D523D" w:rsidP="00B80A91">
      <w:pPr>
        <w:pStyle w:val="Footnote0"/>
        <w:jc w:val="both"/>
      </w:pPr>
      <w:r>
        <w:rPr>
          <w:vertAlign w:val="superscript"/>
        </w:rPr>
        <w:footnoteRef/>
      </w:r>
      <w:r>
        <w:tab/>
        <w:t>Контроверзните одлуки вклучуваа, на пример, покренување дисциплинска постапка против претседателот на Врховниот суд и неназначување судија, што најверојатно ќе доведе до истекување на статутот на застареност во случај на корупција на високо ниво. Види исто така: Здружение на граѓани Институт за човекови права, Скопје 2023, Извештај од мониторингот на работата на Судскиот совет јануари-јули 2023 година; Вести на Гласот на Америка 17.1.2024. Види исто така информации добиени во контекст на посетата на Северна Македонија од засегнати страни од правосудниот систем.</w:t>
      </w:r>
    </w:p>
  </w:footnote>
  <w:footnote w:id="26">
    <w:p w14:paraId="3F41FECC" w14:textId="1007E034" w:rsidR="008D523D" w:rsidRDefault="008D523D" w:rsidP="00B80A91">
      <w:pPr>
        <w:pStyle w:val="Footnote0"/>
        <w:jc w:val="both"/>
      </w:pPr>
      <w:r>
        <w:rPr>
          <w:vertAlign w:val="superscript"/>
        </w:rPr>
        <w:footnoteRef/>
      </w:r>
      <w:r>
        <w:tab/>
        <w:t>Мисија на ОБСЕ во Скопје (2023), Процена на ризиците од корупција во правосудството во Северна Македонија, стр. 19. Мнозинството од интервјуираните судии (57 %) не веруваат дека дисциплинските постапки иницирани од Судскиот совет се спроведуваат објективно. Види исто така: Здружение на граѓани Институт за човекови права, Скопје 2023, Извештај од мониторингот на работата на Судскиот совет август - декември 2023 година.</w:t>
      </w:r>
    </w:p>
  </w:footnote>
  <w:footnote w:id="27">
    <w:p w14:paraId="61D8B937" w14:textId="1930F2F9" w:rsidR="008D523D" w:rsidRDefault="008D523D" w:rsidP="00B80A91">
      <w:pPr>
        <w:pStyle w:val="Footnote0"/>
        <w:jc w:val="both"/>
      </w:pPr>
      <w:r>
        <w:rPr>
          <w:vertAlign w:val="superscript"/>
        </w:rPr>
        <w:footnoteRef/>
      </w:r>
      <w:r>
        <w:tab/>
        <w:t>Ibidem. Извештајот се однесуваше на високи санкции за помали грешки и многу ниска санкција за намерно одложување на предмети на корупција на високо ниво, од висок профил, што доведе до истекување на застареноста.</w:t>
      </w:r>
    </w:p>
  </w:footnote>
  <w:footnote w:id="28">
    <w:p w14:paraId="52465C67" w14:textId="05E60A42" w:rsidR="008D523D" w:rsidRDefault="008D523D" w:rsidP="00B80A91">
      <w:pPr>
        <w:pStyle w:val="Footnote0"/>
        <w:jc w:val="both"/>
      </w:pPr>
      <w:r>
        <w:rPr>
          <w:vertAlign w:val="superscript"/>
        </w:rPr>
        <w:footnoteRef/>
      </w:r>
      <w:r>
        <w:tab/>
        <w:t>И покрај тоа што Законот за судски совет предвидува дека конечните одлуки за дисциплинска постапка ги носи Советот, Врховниот суд тврди дека правото на судска оцена не е доволно обезбедено, особено во случаи кога Судскиот совет нема ефективно да ја спроведе одлуката на апелациониот суд. За да се поправи оваа ситуација, Врховниот суд донесе начелен став за директна примена на Уставот и на Европската конвенција за човекови права (ЕКЧП), особено во однос на одредбите што го гарантираат правото на жалба, со што ќе се дозволи судски одлуки по втора жалба. Судскиот совет од друга страна критикува дека Врховниот суд ги пречекорува своите надлежности ограничени на правна ревизија на постапките и носи суштински одлуки во дисциплински постапки против судиите. Ова беше наод на оценската мисија.</w:t>
      </w:r>
    </w:p>
  </w:footnote>
  <w:footnote w:id="29">
    <w:p w14:paraId="7053CB0F" w14:textId="65244A9C" w:rsidR="008D523D" w:rsidRDefault="008D523D" w:rsidP="00B80A91">
      <w:pPr>
        <w:pStyle w:val="Footnote0"/>
        <w:jc w:val="both"/>
      </w:pPr>
      <w:r>
        <w:rPr>
          <w:vertAlign w:val="superscript"/>
        </w:rPr>
        <w:footnoteRef/>
      </w:r>
      <w:r>
        <w:tab/>
        <w:t>Во септември 2023 година, експертски тим на ЕУ спроведе оценска мисија фокусирана на зајакнување на функционирањето и независноста на Судскиот совет преку програмата ТАИЕКС на ЕУ.</w:t>
      </w:r>
    </w:p>
  </w:footnote>
  <w:footnote w:id="30">
    <w:p w14:paraId="59A1F103" w14:textId="3C4F2B33" w:rsidR="008D523D" w:rsidRDefault="008D523D" w:rsidP="00B80A91">
      <w:pPr>
        <w:pStyle w:val="Footnote0"/>
        <w:jc w:val="both"/>
      </w:pPr>
      <w:r>
        <w:rPr>
          <w:vertAlign w:val="superscript"/>
        </w:rPr>
        <w:footnoteRef/>
      </w:r>
      <w:r>
        <w:tab/>
        <w:t>Оваа работна група беше формирана во ноември 2023 година, составена од членови од судството, академската заедница и граѓанските организации. Пишан придонес од Северна Македонија во контекст на посетата на земјата, стр. 2. Групата одржа 23 состаноци, донесе предлог со нацрт-измени до јуни 2024 година. Види го соопштението за медиумите од Министерството за правда од 11.6.2024 година.</w:t>
      </w:r>
    </w:p>
  </w:footnote>
  <w:footnote w:id="31">
    <w:p w14:paraId="34A7F5F4" w14:textId="443905EA" w:rsidR="008D523D" w:rsidRDefault="008D523D" w:rsidP="00B80A91">
      <w:pPr>
        <w:pStyle w:val="Footnote0"/>
        <w:jc w:val="both"/>
      </w:pPr>
      <w:r>
        <w:rPr>
          <w:vertAlign w:val="superscript"/>
        </w:rPr>
        <w:footnoteRef/>
      </w:r>
      <w:r>
        <w:tab/>
        <w:t>Акцискиот план беше донесен во февруари 2024 година и вклучува 16 мерки и детални временски рокови. Измените на деловникот за работа беа донесени во мај 2024 година, пред крајниот рок предвиден во Акцискиот план за спроведување на препораките од оценската мисија од страна на Советот. Измените на деловникот за работа особено воспоставија правни основи кои имаат за цел да го подобрат просечното време потребно за решавање на жалбите против судските службеници.</w:t>
      </w:r>
    </w:p>
  </w:footnote>
  <w:footnote w:id="32">
    <w:p w14:paraId="2A9360C4" w14:textId="5AA4B94C" w:rsidR="008D523D" w:rsidRDefault="008D523D">
      <w:pPr>
        <w:pStyle w:val="Footnote0"/>
        <w:jc w:val="both"/>
      </w:pPr>
      <w:r>
        <w:rPr>
          <w:vertAlign w:val="superscript"/>
        </w:rPr>
        <w:footnoteRef/>
      </w:r>
      <w:r>
        <w:tab/>
        <w:t>Во мај 2024 година, судија на Врховниот суд беше уапсен под сомнение дека примил награда за противзаконито влијание. Како одговор на приведувањето, Судскиот совет на полноќ одржа итна седница на која одлучи да му го одземе имунитетот на засегнатиот судија. Член на Советот на јавните обвинители беше исто така под сомнение дека е вмешан. Истрагите сѐ уште се во тек.</w:t>
      </w:r>
    </w:p>
  </w:footnote>
  <w:footnote w:id="33">
    <w:p w14:paraId="72F411D9" w14:textId="7C6589E6" w:rsidR="008D523D" w:rsidRDefault="008D523D" w:rsidP="00A64271">
      <w:pPr>
        <w:pStyle w:val="Footnote0"/>
        <w:tabs>
          <w:tab w:val="left" w:pos="284"/>
        </w:tabs>
        <w:ind w:left="0" w:firstLine="0"/>
        <w:jc w:val="both"/>
      </w:pPr>
      <w:r>
        <w:rPr>
          <w:vertAlign w:val="superscript"/>
        </w:rPr>
        <w:footnoteRef/>
      </w:r>
      <w:r>
        <w:tab/>
        <w:t>Беше објавен конкурс за замена на член на Судски совет чиј мандат истекува наесен.</w:t>
      </w:r>
    </w:p>
  </w:footnote>
  <w:footnote w:id="34">
    <w:p w14:paraId="185D9916" w14:textId="5E682EF8" w:rsidR="008D523D" w:rsidRDefault="008D523D" w:rsidP="00A64271">
      <w:pPr>
        <w:pStyle w:val="Footnote0"/>
        <w:tabs>
          <w:tab w:val="left" w:pos="284"/>
        </w:tabs>
        <w:ind w:left="0" w:firstLine="0"/>
        <w:jc w:val="both"/>
      </w:pPr>
      <w:r>
        <w:rPr>
          <w:vertAlign w:val="superscript"/>
        </w:rPr>
        <w:footnoteRef/>
      </w:r>
      <w:r>
        <w:tab/>
        <w:t>Предлог-програма за работа на Владата (2024-2028)</w:t>
      </w:r>
    </w:p>
  </w:footnote>
  <w:footnote w:id="35">
    <w:p w14:paraId="59C6A028" w14:textId="5DDEC805" w:rsidR="008D523D" w:rsidRDefault="008D523D">
      <w:pPr>
        <w:pStyle w:val="Footnote0"/>
        <w:ind w:left="300" w:hanging="300"/>
        <w:jc w:val="both"/>
      </w:pPr>
      <w:r>
        <w:rPr>
          <w:vertAlign w:val="superscript"/>
        </w:rPr>
        <w:footnoteRef/>
      </w:r>
      <w:r>
        <w:tab/>
      </w:r>
      <w:r w:rsidRPr="00156319">
        <w:t xml:space="preserve">Информации добиени во контекст на посетата на Северна Македонија од засегнати страни од правосудниот систем и граѓанското општество. Види исто така: Коалиција на здруженија на граѓани „Сите </w:t>
      </w:r>
      <w:r w:rsidRPr="00614DA1">
        <w:t>за правично судење“ - Скопје, (2024), Извештај од мониторингот на Судскиот совет и Советот на јавни обвинители во 2023 година. Изборот на јавни обвинители спаѓа исклучиво во надлежност</w:t>
      </w:r>
      <w:r w:rsidRPr="0057459F">
        <w:t xml:space="preserve"> на Советот за јавни</w:t>
      </w:r>
      <w:r>
        <w:t xml:space="preserve"> обвинители. Како што е наведено во Законот за јавно обвинителство, Советот има задача да го надгледува работењето на јавните обвинители. Дополнително, одлучува во второстепени дисциплински дејства против јавните обвинители и одговара за утврдување прекин или престанок на мандатот на јавниот обвинител. Формирана е работна група за подготовка на нов закон за Јавното обвинителство и за Закон за Советот на јавни обвинители.</w:t>
      </w:r>
    </w:p>
  </w:footnote>
  <w:footnote w:id="36">
    <w:p w14:paraId="33FAFD18" w14:textId="46AC3F2F" w:rsidR="008D523D" w:rsidRDefault="008D523D">
      <w:pPr>
        <w:pStyle w:val="Footnote0"/>
        <w:jc w:val="both"/>
      </w:pPr>
      <w:r>
        <w:rPr>
          <w:vertAlign w:val="superscript"/>
        </w:rPr>
        <w:footnoteRef/>
      </w:r>
      <w:r>
        <w:tab/>
        <w:t>Европската мрежа на совети за правосудство на Европа (ENCJ) (2012), Даблинска декларација за стандарди за вработување и назначување членови на правосудството, I. 10. Информации добиени за време на посетата на земјата од страна на засегнатите страни од правосудниот систем и граѓанското општество. Види исто така: Здружение на граѓани Институт за човекови права, Скопје 2023, Извештај од мониторингот на работата на Судскиот совет јануари-јули 2023 година.</w:t>
      </w:r>
    </w:p>
  </w:footnote>
  <w:footnote w:id="37">
    <w:p w14:paraId="3ECC3E09" w14:textId="5900BFF8" w:rsidR="008D523D" w:rsidRDefault="008D523D">
      <w:pPr>
        <w:pStyle w:val="Footnote0"/>
        <w:ind w:left="300" w:hanging="300"/>
        <w:jc w:val="both"/>
      </w:pPr>
      <w:r>
        <w:rPr>
          <w:vertAlign w:val="superscript"/>
        </w:rPr>
        <w:footnoteRef/>
      </w:r>
      <w:r>
        <w:tab/>
        <w:t>Информации добиени во контекст на посетата на Северна Македонија од засегнати страни од правосудниот систем и граѓанското општество. Според Мисијата на ОБСЕ во Скопје (2023), Процена на ризиците од корупција во правосудството во Северна Македонија, 73 % од интервјуираните судии не се согласуваат со идејата дека унапредувањето на судиите се врши на начин кој се придржува до објективни, мерливи и правични критериуми. Слично на тоа, значителен дел од судиите (65 %) изразуваат скептицизам во однос на транспарентноста и објективноста на изборниот процес (стр. 20-21). За јавен обвинител, повеќе од половина (54 %) не се согласуваат дека именувањата се спроведуваат на објективен и транспарентен начин (стр. 34). Види исто така: Коалиција на здруженија на граѓани „Сите за правично судење“ - Скопје (2024), Извештај од мониторингот на Судскиот совет и Советот на јавни обвинители во 2023 година. Здружение на граѓани Институт за човекови права, Скопје (2023), Извештај од мониторингот на работата на Судскиот совет јануари-јули 2023 година. Balkan Insight, (2023), „Партиски игри“? Во Северна Македонија, унапредувањата на судиите зависат од „врските“, Фридом Хаус (2024), Нации во транзит 2024 година, Извештај за земјата Северна Македонија.</w:t>
      </w:r>
    </w:p>
  </w:footnote>
  <w:footnote w:id="38">
    <w:p w14:paraId="3C74C193" w14:textId="0CD17B64" w:rsidR="008D523D" w:rsidRDefault="008D523D">
      <w:pPr>
        <w:pStyle w:val="Footnote0"/>
        <w:jc w:val="both"/>
      </w:pPr>
      <w:r>
        <w:rPr>
          <w:vertAlign w:val="superscript"/>
        </w:rPr>
        <w:footnoteRef/>
      </w:r>
      <w:r>
        <w:tab/>
        <w:t>Судски совет (2024), Акциски план за спроведување на препораките на ЕУ упатени до Судскиот совет. Акцискиот план на Судскиот совет вклучува мерки во врска со изборите и именувањата судии, особено, до декември 2024 година, одлуките за именување и унапредување треба да се образложат на индивидуален, конзистентен и компаративен начин врз основа на објективни стандарди, особено да се дава објаснување за неизборот на повисоко рангирани кандидати.</w:t>
      </w:r>
    </w:p>
  </w:footnote>
  <w:footnote w:id="39">
    <w:p w14:paraId="66330A3A" w14:textId="5B776D30" w:rsidR="008D523D" w:rsidRDefault="008D523D" w:rsidP="0075247B">
      <w:pPr>
        <w:pStyle w:val="Footnote0"/>
        <w:jc w:val="both"/>
      </w:pPr>
      <w:r>
        <w:rPr>
          <w:vertAlign w:val="superscript"/>
        </w:rPr>
        <w:footnoteRef/>
      </w:r>
      <w:r>
        <w:tab/>
      </w:r>
      <w:r w:rsidRPr="00F23153">
        <w:t>Советот за Отворено судство е формиран како дел од програмата Отворено владино партнерство и треба да ја поттикне отвореноста на</w:t>
      </w:r>
      <w:r>
        <w:t xml:space="preserve"> работата на судовите и правосудните институции и учеството на граѓанското општество во спроведувањето и следењето на иницијативата Отворено судство. Тој е составен од претставници од сите судски инстанци низ земјата: Судскиот совет, Академијата на судии и јавни обвинители, пет граѓански организации и членови на релевантни професионални здруженија. Се одржаа седум работни седници во периодот од март 2022 година до јануари 2024 година.</w:t>
      </w:r>
    </w:p>
  </w:footnote>
  <w:footnote w:id="40">
    <w:p w14:paraId="4F1C4D81" w14:textId="0FA4BDAE" w:rsidR="008D523D" w:rsidRDefault="008D523D" w:rsidP="0075247B">
      <w:pPr>
        <w:pStyle w:val="Footnote0"/>
        <w:jc w:val="both"/>
      </w:pPr>
      <w:r>
        <w:rPr>
          <w:vertAlign w:val="superscript"/>
        </w:rPr>
        <w:footnoteRef/>
      </w:r>
      <w:r>
        <w:tab/>
        <w:t>Придонес од Северна Македонија за Поткомитетот за правда, слобода и безбедност за 2024 година и Извештај за владеењето на правото, стр. 7.</w:t>
      </w:r>
    </w:p>
  </w:footnote>
  <w:footnote w:id="41">
    <w:p w14:paraId="0BD62010" w14:textId="3E0D7DA0" w:rsidR="008D523D" w:rsidRDefault="008D523D" w:rsidP="0075247B">
      <w:pPr>
        <w:pStyle w:val="Footnote0"/>
        <w:jc w:val="both"/>
      </w:pPr>
      <w:r>
        <w:rPr>
          <w:vertAlign w:val="superscript"/>
        </w:rPr>
        <w:footnoteRef/>
      </w:r>
      <w:r>
        <w:tab/>
        <w:t>Информации добиени од засегнатите страни од правосудниот систем и граѓанското општество во контекст на посетата на Северна Македонија. Врховниот суд, по предлог на неговиот претседател, во декември 2022 година зазеде начелен став дека сите судови треба да ги објават своите пресуди, без разлика дали се конечни или не, на нивните соодветни веб-страници. Комуникација за политиката на проширување на ЕУ од 2023 година, Извештај за Северна Македонија, стр. 20.</w:t>
      </w:r>
    </w:p>
  </w:footnote>
  <w:footnote w:id="42">
    <w:p w14:paraId="3098C341" w14:textId="26992C8E" w:rsidR="008D523D" w:rsidRDefault="008D523D" w:rsidP="0075247B">
      <w:pPr>
        <w:pStyle w:val="Footnote0"/>
        <w:jc w:val="both"/>
      </w:pPr>
      <w:r>
        <w:rPr>
          <w:vertAlign w:val="superscript"/>
        </w:rPr>
        <w:footnoteRef/>
      </w:r>
      <w:r>
        <w:tab/>
        <w:t>Граѓанските организации забележаа дека Судскиот совет, исто така, презел одредени чекори за зголемување на транспарентноста на својата работа, со објавување информации за закажани седници, записници од состаноци, донесени одлуки, составени извештаи и други релевантни документи на својата веб-страница. Здружение на граѓани Институт за човекови права, Скопје, 2023 година, Извештај од мониторингот на работата на Судскиот совет, август - декември 2023 година.</w:t>
      </w:r>
    </w:p>
  </w:footnote>
  <w:footnote w:id="43">
    <w:p w14:paraId="6F876C5A" w14:textId="5D4F1DB9" w:rsidR="008D523D" w:rsidRDefault="008D523D" w:rsidP="0075247B">
      <w:pPr>
        <w:pStyle w:val="Footnote0"/>
        <w:jc w:val="both"/>
      </w:pPr>
      <w:r>
        <w:rPr>
          <w:vertAlign w:val="superscript"/>
        </w:rPr>
        <w:footnoteRef/>
      </w:r>
      <w:r>
        <w:tab/>
        <w:t>Судски совет (2024). Комуникациска стратегија на Судскиот совет и судовите на Република Северна Македонија (2024-2028).</w:t>
      </w:r>
    </w:p>
  </w:footnote>
  <w:footnote w:id="44">
    <w:p w14:paraId="3954AD6F" w14:textId="3F342FC1" w:rsidR="008D523D" w:rsidRDefault="008D523D" w:rsidP="0075247B">
      <w:pPr>
        <w:pStyle w:val="Footnote0"/>
        <w:ind w:left="300" w:hanging="300"/>
        <w:jc w:val="both"/>
      </w:pPr>
      <w:r>
        <w:rPr>
          <w:vertAlign w:val="superscript"/>
        </w:rPr>
        <w:footnoteRef/>
      </w:r>
      <w:r>
        <w:tab/>
        <w:t>Информации добиени во контекст на посетата на Северна Македонија од засегнати страни од правосудниот систем и граѓанското општество. Види исто така Коалиција на здруженија на граѓани „Сите за правично судење“ - Скопје (2024), Извештај од мониторингот на Судскиот совет и Советот на јавни обвинители во 2023 година.</w:t>
      </w:r>
    </w:p>
  </w:footnote>
  <w:footnote w:id="45">
    <w:p w14:paraId="008E552B" w14:textId="5018C805" w:rsidR="008D523D" w:rsidRDefault="008D523D" w:rsidP="0075247B">
      <w:pPr>
        <w:pStyle w:val="Footnote0"/>
        <w:ind w:left="300" w:hanging="300"/>
        <w:jc w:val="both"/>
      </w:pPr>
      <w:r>
        <w:rPr>
          <w:vertAlign w:val="superscript"/>
        </w:rPr>
        <w:footnoteRef/>
      </w:r>
      <w:r>
        <w:tab/>
        <w:t>ГРЕКО (2024), Четврт круг на евалуација - Спречување на корупција кај пратениците, судиите и обвинителите, Втор адендум на Вториот извештај за усогласеност, препорака xiv, xv.</w:t>
      </w:r>
    </w:p>
  </w:footnote>
  <w:footnote w:id="46">
    <w:p w14:paraId="6F65FDED" w14:textId="61BE378A" w:rsidR="008D523D" w:rsidRDefault="008D523D" w:rsidP="0075247B">
      <w:pPr>
        <w:pStyle w:val="Footnote0"/>
        <w:jc w:val="both"/>
      </w:pPr>
      <w:r>
        <w:rPr>
          <w:vertAlign w:val="superscript"/>
        </w:rPr>
        <w:footnoteRef/>
      </w:r>
      <w:r>
        <w:tab/>
        <w:t>Советодавното тело за судска етика, составено од претседател и шест члена, може да дава мислења за етика и вршењето на судиска функција на барање на судија или здружение на судии. Членовите на Советодавното тело за судиска етика ги избира Управниот одбор на Здружението на судии од редот на судиите и судиите поротници, а по предлог на подружниците на Здружението на судии.</w:t>
      </w:r>
    </w:p>
  </w:footnote>
  <w:footnote w:id="47">
    <w:p w14:paraId="36CB6CDA" w14:textId="59658D29" w:rsidR="008D523D" w:rsidRDefault="008D523D" w:rsidP="00963D69">
      <w:pPr>
        <w:pStyle w:val="Footnote0"/>
        <w:tabs>
          <w:tab w:val="left" w:pos="284"/>
        </w:tabs>
        <w:ind w:left="0" w:firstLine="0"/>
        <w:jc w:val="both"/>
      </w:pPr>
      <w:r>
        <w:rPr>
          <w:vertAlign w:val="superscript"/>
        </w:rPr>
        <w:footnoteRef/>
      </w:r>
      <w:r>
        <w:tab/>
        <w:t>Пишан придонес од Северна Македонија во контекст на посетата на земјата, стр. 6.</w:t>
      </w:r>
    </w:p>
  </w:footnote>
  <w:footnote w:id="48">
    <w:p w14:paraId="351BC109" w14:textId="22697883" w:rsidR="008D523D" w:rsidRDefault="008D523D" w:rsidP="00963D69">
      <w:pPr>
        <w:pStyle w:val="Footnote0"/>
        <w:tabs>
          <w:tab w:val="left" w:pos="283"/>
        </w:tabs>
        <w:ind w:left="0" w:firstLine="0"/>
        <w:jc w:val="both"/>
      </w:pPr>
      <w:r>
        <w:rPr>
          <w:vertAlign w:val="superscript"/>
        </w:rPr>
        <w:footnoteRef/>
      </w:r>
      <w:r>
        <w:tab/>
        <w:t>Закон за судски буџет од 2010 година; Закон за судски буџет, Службен весник бр. 60/2003, 37/2006, 103/2008 и 145/2010.</w:t>
      </w:r>
    </w:p>
  </w:footnote>
  <w:footnote w:id="49">
    <w:p w14:paraId="04C947F2" w14:textId="4340EE0A" w:rsidR="008D523D" w:rsidRDefault="008D523D" w:rsidP="00963D69">
      <w:pPr>
        <w:pStyle w:val="Footnote0"/>
        <w:jc w:val="both"/>
      </w:pPr>
      <w:r>
        <w:rPr>
          <w:vertAlign w:val="superscript"/>
        </w:rPr>
        <w:footnoteRef/>
      </w:r>
      <w:r>
        <w:tab/>
        <w:t>Пишан придонес од Северна Македонија во контекст на посетата на Северна Македонија, стр. 6, и од проектот „Поддршка на ЕУ за владеењето на правото“, стр. 1. Информации добиени во контекст на посетата на Северна Македонија од засегнати страни од правосудниот систем.</w:t>
      </w:r>
    </w:p>
  </w:footnote>
  <w:footnote w:id="50">
    <w:p w14:paraId="38D9C1F1" w14:textId="2CF8D52B" w:rsidR="008D523D" w:rsidRPr="00614DA1" w:rsidRDefault="008D523D" w:rsidP="00963D69">
      <w:pPr>
        <w:pStyle w:val="Footnote0"/>
        <w:jc w:val="both"/>
      </w:pPr>
      <w:r>
        <w:rPr>
          <w:vertAlign w:val="superscript"/>
        </w:rPr>
        <w:footnoteRef/>
      </w:r>
      <w:r>
        <w:tab/>
      </w:r>
      <w:r w:rsidRPr="00614DA1">
        <w:t>Пишан придонес од проектот „Поддршка на ЕУ за владеењето на правото“ во контекст на посетата на Северна Македонија, стр. 1-2.</w:t>
      </w:r>
    </w:p>
  </w:footnote>
  <w:footnote w:id="51">
    <w:p w14:paraId="2447860C" w14:textId="61169CCC" w:rsidR="008D523D" w:rsidRDefault="008D523D" w:rsidP="00D234A9">
      <w:pPr>
        <w:pStyle w:val="Footnote0"/>
        <w:tabs>
          <w:tab w:val="left" w:pos="283"/>
        </w:tabs>
        <w:ind w:left="284" w:hanging="284"/>
        <w:jc w:val="both"/>
      </w:pPr>
      <w:r w:rsidRPr="00D37CB6">
        <w:rPr>
          <w:vertAlign w:val="superscript"/>
        </w:rPr>
        <w:footnoteRef/>
      </w:r>
      <w:r w:rsidRPr="0057459F">
        <w:tab/>
        <w:t>Комуникација за политиката на проширување на ЕУ од 2023 година, Извештај за Северна Македонија, стр. 21.</w:t>
      </w:r>
      <w:r>
        <w:t xml:space="preserve"> </w:t>
      </w:r>
      <w:r w:rsidRPr="0057459F">
        <w:t>Со измените се намалија</w:t>
      </w:r>
      <w:r>
        <w:t xml:space="preserve"> коефициентите за пресметка на платите.</w:t>
      </w:r>
    </w:p>
  </w:footnote>
  <w:footnote w:id="52">
    <w:p w14:paraId="66EE4656" w14:textId="3B8A3792" w:rsidR="008D523D" w:rsidRDefault="008D523D" w:rsidP="00963D69">
      <w:pPr>
        <w:pStyle w:val="Footnote0"/>
        <w:jc w:val="both"/>
      </w:pPr>
      <w:r>
        <w:rPr>
          <w:vertAlign w:val="superscript"/>
        </w:rPr>
        <w:footnoteRef/>
      </w:r>
      <w:r>
        <w:tab/>
        <w:t>Соопштение за медиумите од Здружението на судии од 7.3.2024 година и соопштение за медиумите од Судскиот совет од 6.3.2024 година.</w:t>
      </w:r>
    </w:p>
  </w:footnote>
  <w:footnote w:id="53">
    <w:p w14:paraId="5E0D321F" w14:textId="4082A060" w:rsidR="008D523D" w:rsidRDefault="008D523D" w:rsidP="00963D69">
      <w:pPr>
        <w:pStyle w:val="Footnote0"/>
        <w:ind w:left="340" w:hanging="340"/>
        <w:jc w:val="both"/>
      </w:pPr>
      <w:r>
        <w:rPr>
          <w:vertAlign w:val="superscript"/>
        </w:rPr>
        <w:footnoteRef/>
      </w:r>
      <w:r>
        <w:tab/>
        <w:t>Види Совет на Европа (2010), Препорака CM/Rec(2010)12 на Комитетот на Министри до земјите членки за судиите: независност, ефикасност и одговорности, став 35. Освен тоа, бидејќи правилното функционирање на правосудството е силно зависно од квалитетот на судиите, обвинителите и персоналот, човечките ресурси и статусот на правосудството претставуваат важна област на моделот за квалитет. Види CEPEJ (2008), Листа на проверка за унапредување на квалитетот на правда и судовите, стр. 4.</w:t>
      </w:r>
    </w:p>
  </w:footnote>
  <w:footnote w:id="54">
    <w:p w14:paraId="3B48CA25" w14:textId="6E4F4F86" w:rsidR="008D523D" w:rsidRDefault="008D523D" w:rsidP="00963D69">
      <w:pPr>
        <w:pStyle w:val="Footnote0"/>
        <w:ind w:left="340" w:hanging="340"/>
        <w:jc w:val="both"/>
      </w:pPr>
      <w:r>
        <w:rPr>
          <w:vertAlign w:val="superscript"/>
        </w:rPr>
        <w:footnoteRef/>
      </w:r>
      <w:r>
        <w:tab/>
        <w:t>На 1 јули 2022 година, Судскиот совет донесе Заклучок за престанок на судиската функција на 42 судии поради нов услов за старосна пензија, 64 години, како нова задолжителна возраст за пензионирање во Северна Македонија, согласно новите измени во член 104 од Законот за работни односи. Ова досега доведе до престанок на судиската функција на 42 судии, со што се зголеми недостигот на судии.</w:t>
      </w:r>
    </w:p>
  </w:footnote>
  <w:footnote w:id="55">
    <w:p w14:paraId="727FC315" w14:textId="73AAC0E9" w:rsidR="008D523D" w:rsidRDefault="008D523D" w:rsidP="00963D69">
      <w:pPr>
        <w:pStyle w:val="Footnote0"/>
        <w:ind w:left="340" w:hanging="340"/>
        <w:jc w:val="both"/>
      </w:pPr>
      <w:r>
        <w:rPr>
          <w:vertAlign w:val="superscript"/>
        </w:rPr>
        <w:footnoteRef/>
      </w:r>
      <w:r>
        <w:tab/>
        <w:t>Судски совет (2020), Стратегија за управување со човечки ресурси за судската мрежа, 2020 година. Јавно обвинителство (2020), Стратегија за управување со човечки ресурси на јавно обвинителската мрежа, 2020 година.</w:t>
      </w:r>
    </w:p>
  </w:footnote>
  <w:footnote w:id="56">
    <w:p w14:paraId="2A6BEE12" w14:textId="78B7A6F3" w:rsidR="008D523D" w:rsidRDefault="008D523D" w:rsidP="00963D69">
      <w:pPr>
        <w:pStyle w:val="Footnote0"/>
        <w:ind w:left="340" w:hanging="340"/>
        <w:jc w:val="both"/>
      </w:pPr>
      <w:r>
        <w:rPr>
          <w:vertAlign w:val="superscript"/>
        </w:rPr>
        <w:footnoteRef/>
      </w:r>
      <w:r>
        <w:tab/>
        <w:t>Види исто така: Скрининг-извештај за 2023 година Северна Македонија, Кластер 1, Фундаментални вредности, стр. 39; Комуникација за политиката на проширување на ЕУ од 2023 година, Извештај за Северна Македонија, стр. 21.</w:t>
      </w:r>
    </w:p>
  </w:footnote>
  <w:footnote w:id="57">
    <w:p w14:paraId="099902AE" w14:textId="388C9F4E" w:rsidR="008D523D" w:rsidRDefault="008D523D" w:rsidP="00963D69">
      <w:pPr>
        <w:pStyle w:val="Footnote0"/>
        <w:ind w:left="340" w:hanging="340"/>
        <w:jc w:val="both"/>
      </w:pPr>
      <w:r>
        <w:rPr>
          <w:vertAlign w:val="superscript"/>
        </w:rPr>
        <w:footnoteRef/>
      </w:r>
      <w:r>
        <w:tab/>
        <w:t>Пишан придонес од проектот „Поддршка на ЕУ за владеењето на правото“ во контекст на посетата на Северна Македонија, стр. 2-3.</w:t>
      </w:r>
    </w:p>
  </w:footnote>
  <w:footnote w:id="58">
    <w:p w14:paraId="4E089464" w14:textId="05C843E3" w:rsidR="008D523D" w:rsidRDefault="008D523D" w:rsidP="00963D69">
      <w:pPr>
        <w:pStyle w:val="Footnote0"/>
        <w:tabs>
          <w:tab w:val="left" w:pos="284"/>
        </w:tabs>
        <w:ind w:left="0" w:firstLine="0"/>
        <w:jc w:val="both"/>
      </w:pPr>
      <w:r>
        <w:rPr>
          <w:vertAlign w:val="superscript"/>
        </w:rPr>
        <w:footnoteRef/>
      </w:r>
      <w:r>
        <w:tab/>
        <w:t>Ibidem.</w:t>
      </w:r>
    </w:p>
  </w:footnote>
  <w:footnote w:id="59">
    <w:p w14:paraId="3A31AF99" w14:textId="6EE1190E" w:rsidR="008D523D" w:rsidRDefault="008D523D" w:rsidP="0095285D">
      <w:pPr>
        <w:pStyle w:val="Footnote0"/>
        <w:ind w:left="284" w:hanging="284"/>
        <w:jc w:val="both"/>
      </w:pPr>
      <w:r>
        <w:rPr>
          <w:vertAlign w:val="superscript"/>
        </w:rPr>
        <w:footnoteRef/>
      </w:r>
      <w:r>
        <w:tab/>
        <w:t>Пишан придонес од Северна Македонија во контекст на посетата на земјата на Северна Македонија, стр. 9: Според одлуката на Советот на јавни обвинители, вкупниот број обвинители е предвиден да биде 261.</w:t>
      </w:r>
    </w:p>
  </w:footnote>
  <w:footnote w:id="60">
    <w:p w14:paraId="1F2A504F" w14:textId="4C8B13C3" w:rsidR="008D523D" w:rsidRDefault="008D523D" w:rsidP="0095285D">
      <w:pPr>
        <w:pStyle w:val="Footnote0"/>
        <w:ind w:left="284" w:hanging="284"/>
        <w:jc w:val="both"/>
      </w:pPr>
      <w:r>
        <w:rPr>
          <w:vertAlign w:val="superscript"/>
        </w:rPr>
        <w:footnoteRef/>
      </w:r>
      <w:r>
        <w:tab/>
        <w:t>Во 2024 година ќе бидат избрани 130 кандидати кои ќе продолжат со програмата за обука до средината на јули. Придонес од Северна Македонија за Поткомитетот за правда, слобода и безбедност за 2024 година и Извештај за владеењето на правото, стр. 2</w:t>
      </w:r>
    </w:p>
  </w:footnote>
  <w:footnote w:id="61">
    <w:p w14:paraId="3557A45E" w14:textId="0E820C6A" w:rsidR="008D523D" w:rsidRDefault="008D523D" w:rsidP="0095285D">
      <w:pPr>
        <w:pStyle w:val="Footnote0"/>
        <w:ind w:left="284" w:hanging="284"/>
        <w:jc w:val="both"/>
      </w:pPr>
      <w:r>
        <w:rPr>
          <w:vertAlign w:val="superscript"/>
        </w:rPr>
        <w:footnoteRef/>
      </w:r>
      <w:r>
        <w:tab/>
        <w:t>Службен весник бр.129/23; За спроведување на новиот Закон за Академијата се подготвуваат неколку подзаконски акти: нов Статут на Академијата за судии и јавни обвинители (објавен во Службен весник бр. 172/23; нов Правилник за полагање на приемниот испит (на седницата на Управниот одбор на 18 септември 2023 година, нов Правилник за континуирана обука (на седницата на Управниот одбор на 27.11.2023 година); нов Правилник за теоретска настава (на седница на Управниот одбор на 27.11.2023 година); нов Правилник за хонорари (на седницата на Управниот одбор на 21.12.2023 година); нов Правилник за вршење на функцијата судија/јавен обвинител; нов Правилник за завршен испит; Етички кодекс.</w:t>
      </w:r>
    </w:p>
  </w:footnote>
  <w:footnote w:id="62">
    <w:p w14:paraId="7E49706D" w14:textId="2E22F98D" w:rsidR="008D523D" w:rsidRDefault="008D523D" w:rsidP="0095285D">
      <w:pPr>
        <w:pStyle w:val="Footnote0"/>
        <w:ind w:left="284" w:hanging="284"/>
        <w:jc w:val="both"/>
      </w:pPr>
      <w:r>
        <w:rPr>
          <w:vertAlign w:val="superscript"/>
        </w:rPr>
        <w:footnoteRef/>
      </w:r>
      <w:r>
        <w:tab/>
        <w:t>Надлежните посочија дека приемниот испит е блокиран поради проблеми поврзани со јавните набавки за одржување на софтверот за полагање испити за државните институции. Придонес од Северна Македонија за Извештајот за владеењето на правото за 2024 година, стр. 2.</w:t>
      </w:r>
    </w:p>
  </w:footnote>
  <w:footnote w:id="63">
    <w:p w14:paraId="626B1456" w14:textId="0ECC7529" w:rsidR="008D523D" w:rsidRPr="00CB23DB" w:rsidRDefault="008D523D" w:rsidP="0095285D">
      <w:pPr>
        <w:pStyle w:val="Footnote0"/>
        <w:ind w:left="284" w:hanging="284"/>
        <w:jc w:val="both"/>
      </w:pPr>
      <w:r>
        <w:rPr>
          <w:vertAlign w:val="superscript"/>
        </w:rPr>
        <w:footnoteRef/>
      </w:r>
      <w:r>
        <w:tab/>
      </w:r>
      <w:r w:rsidRPr="00CB23DB">
        <w:t>Службен весник 53 од 4.3.2024 година.</w:t>
      </w:r>
    </w:p>
  </w:footnote>
  <w:footnote w:id="64">
    <w:p w14:paraId="40F80221" w14:textId="54B75EB0" w:rsidR="008D523D" w:rsidRDefault="008D523D" w:rsidP="0095285D">
      <w:pPr>
        <w:pStyle w:val="Footnote0"/>
        <w:ind w:left="284" w:hanging="284"/>
        <w:jc w:val="both"/>
      </w:pPr>
      <w:r w:rsidRPr="00CB23DB">
        <w:rPr>
          <w:vertAlign w:val="superscript"/>
        </w:rPr>
        <w:footnoteRef/>
      </w:r>
      <w:r w:rsidRPr="00CB23DB">
        <w:tab/>
        <w:t>Информации добиени од засегнатите</w:t>
      </w:r>
      <w:r>
        <w:t xml:space="preserve"> страни од правосудниот систем во контекст на посетата на Северна Македонија. Види исто така: Скрининг-извештај за 2023 година Северна Македонија, Кластер 1, - Фундаментални вредности, стр. 43.</w:t>
      </w:r>
    </w:p>
  </w:footnote>
  <w:footnote w:id="65">
    <w:p w14:paraId="0576927E" w14:textId="19B87A01" w:rsidR="008D523D" w:rsidRDefault="008D523D" w:rsidP="0095285D">
      <w:pPr>
        <w:pStyle w:val="Footnote0"/>
        <w:ind w:left="284" w:hanging="284"/>
        <w:jc w:val="both"/>
      </w:pPr>
      <w:r>
        <w:rPr>
          <w:vertAlign w:val="superscript"/>
        </w:rPr>
        <w:footnoteRef/>
      </w:r>
      <w:r>
        <w:tab/>
        <w:t>Министерот за правда во декември 2023 година го донесе новиот Правилник за составот и начинот на работа на Советот за координирање на информатичко-комуникациска технологија во правосудните органи. Конститутивната седница на ова тело се одржа на 6 февруари 2024 година.</w:t>
      </w:r>
    </w:p>
  </w:footnote>
  <w:footnote w:id="66">
    <w:p w14:paraId="30DEB1D5" w14:textId="552D39B3" w:rsidR="008D523D" w:rsidRDefault="008D523D" w:rsidP="0095285D">
      <w:pPr>
        <w:pStyle w:val="Footnote0"/>
        <w:ind w:left="284" w:hanging="284"/>
        <w:jc w:val="both"/>
      </w:pPr>
      <w:r>
        <w:rPr>
          <w:vertAlign w:val="superscript"/>
        </w:rPr>
        <w:footnoteRef/>
      </w:r>
      <w:r>
        <w:tab/>
        <w:t>Министерството за правда врши надзор над АКМИС системот. Во 2023 година беа планирани 19 надзори, но спроведени само во 8 судови. Во 2024 година, од вкупно 18 судови, Комисијата за надзор извршила надзор над шест судови до средината на 2024 година.</w:t>
      </w:r>
    </w:p>
  </w:footnote>
  <w:footnote w:id="67">
    <w:p w14:paraId="6A590BD9" w14:textId="77777777" w:rsidR="008D523D" w:rsidRDefault="008D523D" w:rsidP="0095285D">
      <w:pPr>
        <w:pStyle w:val="Footnote0"/>
        <w:tabs>
          <w:tab w:val="left" w:pos="283"/>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18.</w:t>
      </w:r>
    </w:p>
  </w:footnote>
  <w:footnote w:id="68">
    <w:p w14:paraId="75286B01" w14:textId="430B70DA" w:rsidR="008D523D" w:rsidRDefault="008D523D" w:rsidP="0095285D">
      <w:pPr>
        <w:pStyle w:val="Footnote0"/>
        <w:ind w:left="284" w:hanging="284"/>
        <w:jc w:val="both"/>
      </w:pPr>
      <w:r>
        <w:rPr>
          <w:vertAlign w:val="superscript"/>
        </w:rPr>
        <w:footnoteRef/>
      </w:r>
      <w:r>
        <w:tab/>
        <w:t>Јавното обвинителство е поддржано од проектот „ЕУ - Поддршка за владеењето на правото“ за да развие нов систем за управување со предмети, особено за да се земе предвид сложеноста на конкретни предмети.</w:t>
      </w:r>
    </w:p>
  </w:footnote>
  <w:footnote w:id="69">
    <w:p w14:paraId="2A9E0A23" w14:textId="4A7EBFC5" w:rsidR="008D523D" w:rsidRDefault="008D523D" w:rsidP="0095285D">
      <w:pPr>
        <w:pStyle w:val="Footnote0"/>
        <w:tabs>
          <w:tab w:val="left" w:pos="0"/>
        </w:tabs>
        <w:ind w:left="284" w:hanging="284"/>
        <w:jc w:val="both"/>
      </w:pPr>
      <w:r>
        <w:rPr>
          <w:vertAlign w:val="superscript"/>
        </w:rPr>
        <w:footnoteRef/>
      </w:r>
      <w:r>
        <w:tab/>
        <w:t>Мисија на ОБСЕ во Скопје (2023), Извештај за процена на ризиците од корупција, стр. 30. Некои јавни обвинители ја критикуваа постојната постапка за распределба на п</w:t>
      </w:r>
      <w:r w:rsidR="00A25B4D">
        <w:t>редмети, која и покрај тоа што се одвива по случаен избор</w:t>
      </w:r>
      <w:r>
        <w:t>, сепак дозволува дискреција на шефовите на јавните обвинителства. Тие тврдат дека понекогаш, поради различните можности на јавните обвинители, одредени предмети треба да им се доделат на оние кои се поспособни.</w:t>
      </w:r>
    </w:p>
  </w:footnote>
  <w:footnote w:id="70">
    <w:p w14:paraId="0BF7B576" w14:textId="62AA044F" w:rsidR="008D523D" w:rsidRDefault="008D523D">
      <w:pPr>
        <w:pStyle w:val="Footnote0"/>
        <w:jc w:val="both"/>
      </w:pPr>
      <w:r>
        <w:rPr>
          <w:vertAlign w:val="superscript"/>
        </w:rPr>
        <w:footnoteRef/>
      </w:r>
      <w:r>
        <w:tab/>
        <w:t>Информации добиени во контекст на посетата на Северна Македонија од засегнати страни од правосудниот систем. Види исто така: Судски совет (2024), Годишен извештај за работата на Судскиот совет.</w:t>
      </w:r>
    </w:p>
  </w:footnote>
  <w:footnote w:id="71">
    <w:p w14:paraId="38F9340D" w14:textId="2F743D7E" w:rsidR="008D523D" w:rsidRDefault="008D523D">
      <w:pPr>
        <w:pStyle w:val="Footnote0"/>
        <w:ind w:left="340" w:hanging="340"/>
        <w:jc w:val="both"/>
      </w:pPr>
      <w:r>
        <w:rPr>
          <w:vertAlign w:val="superscript"/>
        </w:rPr>
        <w:footnoteRef/>
      </w:r>
      <w:r>
        <w:tab/>
        <w:t>CEPEJ (2023), Контролна табла Западен Балкан - Собирање податоци за 2022 година. Дојдовните првостепени граѓански и трговски парнични предмети се зголемени за 17,3 %, додека решените предмети се зголемени само за 1,4 %.</w:t>
      </w:r>
    </w:p>
  </w:footnote>
  <w:footnote w:id="72">
    <w:p w14:paraId="4B4EBBCD" w14:textId="1967C8BE" w:rsidR="008D523D" w:rsidRDefault="008D523D">
      <w:pPr>
        <w:pStyle w:val="Footnote0"/>
        <w:jc w:val="both"/>
      </w:pPr>
      <w:r>
        <w:rPr>
          <w:vertAlign w:val="superscript"/>
        </w:rPr>
        <w:footnoteRef/>
      </w:r>
      <w:r>
        <w:tab/>
        <w:t>За второстепени кривични предмети, стапката на решавање се намали од 2021 година за 1,1 процентен поен на 99 % во 2022 година, а времето на диспозиција 129 дена (намалување од 4,3 % од 2021 година).</w:t>
      </w:r>
    </w:p>
  </w:footnote>
  <w:footnote w:id="73">
    <w:p w14:paraId="26878296" w14:textId="3D8CDCD1" w:rsidR="008D523D" w:rsidRDefault="008D523D">
      <w:pPr>
        <w:pStyle w:val="Footnote0"/>
        <w:jc w:val="both"/>
      </w:pPr>
      <w:r>
        <w:rPr>
          <w:vertAlign w:val="superscript"/>
        </w:rPr>
        <w:footnoteRef/>
      </w:r>
      <w:r>
        <w:tab/>
        <w:t>Специјално јавно обвинителство (СЈО) постоело за да се справи со криминалот на високо ниво на јавни функционери. Неговиот мандат заврши во 2019 година и ОЈОГОКК ги презеде случаите за понатамошно гонење на кривични дела поврзани и кои произлегуваат од содржината на незаконски пресретнати комуникации. Европска Комисија. Скрининг-извештај за 2023 година Северна Македонија, Кластер 1 - Фундаментални вредности</w:t>
      </w:r>
    </w:p>
  </w:footnote>
  <w:footnote w:id="74">
    <w:p w14:paraId="37A98989" w14:textId="600015D1" w:rsidR="008D523D" w:rsidRDefault="008D523D">
      <w:pPr>
        <w:pStyle w:val="Footnote0"/>
        <w:jc w:val="both"/>
      </w:pPr>
      <w:r>
        <w:rPr>
          <w:vertAlign w:val="superscript"/>
        </w:rPr>
        <w:footnoteRef/>
      </w:r>
      <w:r>
        <w:tab/>
        <w:t>Транспаренси Интернешнл, Индекс на перцепција на корупцијата 2023 (2024), стр. 2-3. Нивото на перципирана корупција е категоризирано на следниов начин: ниско (перцепцијата кај стручните лица и деловните директори за корупција во јавниот сектор е над 79); релативно ниски (оцени помеѓу 79-60), релативно високи (оцени помеѓу 59-50), високи (оцени под 50).</w:t>
      </w:r>
    </w:p>
  </w:footnote>
  <w:footnote w:id="75">
    <w:p w14:paraId="7E0E2CD3" w14:textId="7E51CF3C" w:rsidR="008D523D" w:rsidRDefault="008D523D">
      <w:pPr>
        <w:pStyle w:val="Footnote0"/>
        <w:jc w:val="both"/>
      </w:pPr>
      <w:r>
        <w:rPr>
          <w:vertAlign w:val="superscript"/>
        </w:rPr>
        <w:footnoteRef/>
      </w:r>
      <w:r>
        <w:tab/>
        <w:t>Во 2019 година резултатот бил 35, додека во 2023 година оценката е 42. Резултатот значително се зголемува/намалува кога се менува за повеќе од пет поени; се подобрува/влошува (се менува помеѓу 4-5 поени); е релативно стабилен (промени од 1-3 поени) во последните пет години.</w:t>
      </w:r>
    </w:p>
  </w:footnote>
  <w:footnote w:id="76">
    <w:p w14:paraId="00DA959D" w14:textId="2388289C" w:rsidR="008D523D" w:rsidRDefault="008D523D">
      <w:pPr>
        <w:pStyle w:val="Footnote0"/>
        <w:jc w:val="both"/>
      </w:pPr>
      <w:r>
        <w:rPr>
          <w:vertAlign w:val="superscript"/>
        </w:rPr>
        <w:footnoteRef/>
      </w:r>
      <w:r>
        <w:tab/>
        <w:t>Државна комисија за спречување корупција (2020), Национална стратегија за спречување на корупцијата и судирот на интереси 2021-2025 година.</w:t>
      </w:r>
    </w:p>
  </w:footnote>
  <w:footnote w:id="77">
    <w:p w14:paraId="5CAA5E5B" w14:textId="398AAD3B" w:rsidR="008D523D" w:rsidRDefault="008D523D">
      <w:pPr>
        <w:pStyle w:val="Footnote0"/>
        <w:jc w:val="both"/>
      </w:pPr>
      <w:r>
        <w:rPr>
          <w:vertAlign w:val="superscript"/>
        </w:rPr>
        <w:footnoteRef/>
      </w:r>
      <w:r>
        <w:tab/>
        <w:t>Државна комисија за спречување корупција (2024), Годишен извештај за спроведување на Националната стратегија за спречување на корупцијата и судирот на интереси 2021-2025 година за периодот 1.1.2023 - 31.12.2023 година.</w:t>
      </w:r>
    </w:p>
  </w:footnote>
  <w:footnote w:id="78">
    <w:p w14:paraId="0EF2BD5A" w14:textId="674A7E7A" w:rsidR="008D523D" w:rsidRDefault="008D523D" w:rsidP="00786BA6">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25.</w:t>
      </w:r>
    </w:p>
  </w:footnote>
  <w:footnote w:id="79">
    <w:p w14:paraId="1156E10B" w14:textId="182491FE" w:rsidR="008D523D" w:rsidRDefault="008D523D">
      <w:pPr>
        <w:pStyle w:val="Footnote0"/>
      </w:pPr>
      <w:r>
        <w:rPr>
          <w:vertAlign w:val="superscript"/>
        </w:rPr>
        <w:footnoteRef/>
      </w:r>
      <w:r>
        <w:tab/>
        <w:t>Годишен извештај за спроведување на Националната стратегија за спречување на корупцијата и судирот на интереси 2021-2025 година за периодот 1.1.2023 - 31.12.2023 година.</w:t>
      </w:r>
    </w:p>
  </w:footnote>
  <w:footnote w:id="80">
    <w:p w14:paraId="4D041114" w14:textId="4E0183C8" w:rsidR="008D523D" w:rsidRDefault="008D523D">
      <w:pPr>
        <w:pStyle w:val="Footnote0"/>
        <w:jc w:val="both"/>
      </w:pPr>
      <w:r>
        <w:rPr>
          <w:vertAlign w:val="superscript"/>
        </w:rPr>
        <w:footnoteRef/>
      </w:r>
      <w:r>
        <w:tab/>
        <w:t>Закон за ратификација на Конвенцијата на ОН против корупцијата (Службен весник бр. 37/2007); Закон за ратификација на дополнителниот протокол за казнената конвенција за корупција (Службен весник бр. 83/2005); Закон за ратификација на казнената конвенција за корупција на Советот на Европа (Службен весник бр. 32/1999)</w:t>
      </w:r>
    </w:p>
  </w:footnote>
  <w:footnote w:id="81">
    <w:p w14:paraId="300FFAF1" w14:textId="2B296693" w:rsidR="008D523D" w:rsidRDefault="008D523D">
      <w:pPr>
        <w:pStyle w:val="Footnote0"/>
        <w:jc w:val="both"/>
      </w:pPr>
      <w:r>
        <w:rPr>
          <w:vertAlign w:val="superscript"/>
        </w:rPr>
        <w:footnoteRef/>
      </w:r>
      <w:r>
        <w:tab/>
        <w:t>Кривичниот законик е изменет над 30 пати од неговото донесување во 1996 година. Честите промени ја намалија правната сигурност и предвидливост.</w:t>
      </w:r>
    </w:p>
  </w:footnote>
  <w:footnote w:id="82">
    <w:p w14:paraId="701ABEBF" w14:textId="6E50E3DA" w:rsidR="008D523D" w:rsidRDefault="008D523D" w:rsidP="0053597B">
      <w:pPr>
        <w:pStyle w:val="Footnote0"/>
        <w:jc w:val="both"/>
      </w:pPr>
      <w:r>
        <w:rPr>
          <w:vertAlign w:val="superscript"/>
        </w:rPr>
        <w:footnoteRef/>
      </w:r>
      <w:r>
        <w:tab/>
        <w:t>Формирана е работна група со која претседава Министерството за правда и поддржана е од ОБСЕ, со цел да се преиспита целиот Кривичен законик за да може да се измени во неговиот интегритет. Нацрт-текстот на новиот Кривичен законик подготвен од работната група беше поставен на Единствениот национален електронски регистар на прописи (ЕНЕР) на 7 јули 2022 година. Тој беше подложен на целосен процес на јавна консултација. Поголемиот дел од повратните информации и коментарите беа вклучени во текстот. Официјалната работна група ја заврши својата работа во мај 2023 година и го достави текстот до Министерството за правда. Понатаму, властите известија дека ревидиран Кодекс за кривична постапка е во подготовка и ќе биде консултиран со засегнатите страни. Пишан придонес од Северна Македонија.</w:t>
      </w:r>
    </w:p>
  </w:footnote>
  <w:footnote w:id="83">
    <w:p w14:paraId="4D14A55D" w14:textId="304202DB" w:rsidR="008D523D" w:rsidRDefault="008D523D" w:rsidP="0053597B">
      <w:pPr>
        <w:pStyle w:val="Footnote0"/>
        <w:tabs>
          <w:tab w:val="left" w:pos="284"/>
        </w:tabs>
        <w:ind w:left="0" w:firstLine="0"/>
        <w:jc w:val="both"/>
      </w:pPr>
      <w:r>
        <w:rPr>
          <w:vertAlign w:val="superscript"/>
        </w:rPr>
        <w:footnoteRef/>
      </w:r>
      <w:r>
        <w:tab/>
        <w:t>Службен весник 188/2023.</w:t>
      </w:r>
    </w:p>
  </w:footnote>
  <w:footnote w:id="84">
    <w:p w14:paraId="7E827EF0" w14:textId="134575EC" w:rsidR="008D523D" w:rsidRDefault="008D523D" w:rsidP="00E85680">
      <w:pPr>
        <w:pStyle w:val="Footnote0"/>
        <w:tabs>
          <w:tab w:val="left" w:pos="278"/>
        </w:tabs>
        <w:ind w:left="284" w:hanging="284"/>
        <w:jc w:val="both"/>
      </w:pPr>
      <w:r>
        <w:rPr>
          <w:vertAlign w:val="superscript"/>
        </w:rPr>
        <w:footnoteRef/>
      </w:r>
      <w:r>
        <w:tab/>
        <w:t>Комуникација за политиката за проширување на ЕУ за 2023 година, Извештај за Северна Македонија и Европска служба за надворешно</w:t>
      </w:r>
      <w:r>
        <w:rPr>
          <w:lang w:val="en-US"/>
        </w:rPr>
        <w:t xml:space="preserve"> </w:t>
      </w:r>
      <w:r>
        <w:t>дејствување, Соопштение за медиумите од 27.4.2023 година:</w:t>
      </w:r>
      <w:r>
        <w:rPr>
          <w:lang w:val="en-US"/>
        </w:rPr>
        <w:t xml:space="preserve"> </w:t>
      </w:r>
      <w:r>
        <w:t>18-ти состанок на Поткомитетот за стабилизација и асоцијација</w:t>
      </w:r>
      <w:r>
        <w:rPr>
          <w:lang w:val="en-US"/>
        </w:rPr>
        <w:t xml:space="preserve"> </w:t>
      </w:r>
      <w:r>
        <w:t>со Северна Македонија за правда, слобода и безбедност.</w:t>
      </w:r>
    </w:p>
  </w:footnote>
  <w:footnote w:id="85">
    <w:p w14:paraId="6F4CB9DE" w14:textId="6F744B52" w:rsidR="008D523D" w:rsidRDefault="008D523D" w:rsidP="0053597B">
      <w:pPr>
        <w:pStyle w:val="Footnote0"/>
        <w:tabs>
          <w:tab w:val="left" w:pos="284"/>
        </w:tabs>
        <w:ind w:left="0" w:firstLine="0"/>
        <w:jc w:val="both"/>
      </w:pPr>
      <w:r>
        <w:rPr>
          <w:vertAlign w:val="superscript"/>
        </w:rPr>
        <w:footnoteRef/>
      </w:r>
      <w:r>
        <w:tab/>
        <w:t>Кривичен законик, член 353 став 5.</w:t>
      </w:r>
    </w:p>
  </w:footnote>
  <w:footnote w:id="86">
    <w:p w14:paraId="6D835D13" w14:textId="5B7A78BB" w:rsidR="008D523D" w:rsidRDefault="008D523D" w:rsidP="0053597B">
      <w:pPr>
        <w:pStyle w:val="Footnote0"/>
        <w:ind w:left="300" w:hanging="300"/>
        <w:jc w:val="both"/>
      </w:pPr>
      <w:r>
        <w:rPr>
          <w:vertAlign w:val="superscript"/>
        </w:rPr>
        <w:footnoteRef/>
      </w:r>
      <w:r>
        <w:tab/>
        <w:t>Информации добиени од институции вклучени во борбата против корупцијата во контекст на посетата на Северна Македонија.</w:t>
      </w:r>
    </w:p>
  </w:footnote>
  <w:footnote w:id="87">
    <w:p w14:paraId="6396A39A" w14:textId="0476862A" w:rsidR="008D523D" w:rsidRDefault="008D523D" w:rsidP="0053597B">
      <w:pPr>
        <w:pStyle w:val="Footnote0"/>
        <w:ind w:left="300" w:hanging="300"/>
        <w:jc w:val="both"/>
      </w:pPr>
      <w:r>
        <w:rPr>
          <w:vertAlign w:val="superscript"/>
        </w:rPr>
        <w:footnoteRef/>
      </w:r>
      <w:r>
        <w:tab/>
        <w:t>Скратената кривична постапка ја ограничува временската рамка за предистражни истраги, вклучително и употребата на посебни истражни мерки (на пример, мерки за надзор) и подразбира судења кај еден судија.</w:t>
      </w:r>
    </w:p>
  </w:footnote>
  <w:footnote w:id="88">
    <w:p w14:paraId="250F34F9" w14:textId="52059FC5" w:rsidR="008D523D" w:rsidRDefault="008D523D" w:rsidP="0053597B">
      <w:pPr>
        <w:pStyle w:val="Footnote0"/>
        <w:tabs>
          <w:tab w:val="left" w:pos="284"/>
        </w:tabs>
        <w:ind w:left="0" w:firstLine="0"/>
        <w:jc w:val="both"/>
      </w:pPr>
      <w:r>
        <w:rPr>
          <w:vertAlign w:val="superscript"/>
        </w:rPr>
        <w:footnoteRef/>
      </w:r>
      <w:r>
        <w:tab/>
        <w:t>Види погоре фуснота 70.</w:t>
      </w:r>
    </w:p>
  </w:footnote>
  <w:footnote w:id="89">
    <w:p w14:paraId="536FE8C2" w14:textId="3CCF3058" w:rsidR="008D523D" w:rsidRDefault="008D523D" w:rsidP="0053597B">
      <w:pPr>
        <w:pStyle w:val="Footnote0"/>
        <w:ind w:left="300" w:hanging="300"/>
        <w:jc w:val="both"/>
      </w:pPr>
      <w:r>
        <w:rPr>
          <w:vertAlign w:val="superscript"/>
        </w:rPr>
        <w:footnoteRef/>
      </w:r>
      <w:r>
        <w:tab/>
        <w:t>Раководителот на Јавното обвинителство соопшти дека поднеле иницијатива до Врховниот суд за вонреден правен лек за оспорување на практиката судовите да констатираат дека злоупотребата на службената положба во јавните набавки е декриминализирана. Прес-конференција на раководителот на ОЈО на 1.3.2024 година.</w:t>
      </w:r>
    </w:p>
  </w:footnote>
  <w:footnote w:id="90">
    <w:p w14:paraId="6A44A752" w14:textId="05BF8DF1" w:rsidR="008D523D" w:rsidRDefault="008D523D" w:rsidP="00116ECA">
      <w:pPr>
        <w:pStyle w:val="Footnote0"/>
        <w:tabs>
          <w:tab w:val="left" w:pos="283"/>
        </w:tabs>
        <w:ind w:left="284" w:hanging="284"/>
        <w:jc w:val="both"/>
      </w:pPr>
      <w:r>
        <w:rPr>
          <w:vertAlign w:val="superscript"/>
        </w:rPr>
        <w:footnoteRef/>
      </w:r>
      <w:r>
        <w:tab/>
        <w:t>Комуникација за политиката за проширување на ЕУ за 2023 година, Извештај за Северна Македонија; Исто така види: Платформа на граѓански организации за борба против корупцијата; Блупринт група; Транспаренси Интернешнл Северна Македонија (2024), Барометар на корупција.</w:t>
      </w:r>
    </w:p>
  </w:footnote>
  <w:footnote w:id="91">
    <w:p w14:paraId="66D3ED7F" w14:textId="539E4831" w:rsidR="008D523D" w:rsidRDefault="008D523D" w:rsidP="00116ECA">
      <w:pPr>
        <w:pStyle w:val="Footnote0"/>
        <w:tabs>
          <w:tab w:val="left" w:pos="284"/>
          <w:tab w:val="left" w:pos="7707"/>
        </w:tabs>
        <w:ind w:left="0" w:firstLine="0"/>
        <w:jc w:val="both"/>
      </w:pPr>
      <w:r>
        <w:rPr>
          <w:vertAlign w:val="superscript"/>
        </w:rPr>
        <w:footnoteRef/>
      </w:r>
      <w:r>
        <w:tab/>
        <w:t>Idem стр. 22</w:t>
      </w:r>
    </w:p>
  </w:footnote>
  <w:footnote w:id="92">
    <w:p w14:paraId="6B4B12E0" w14:textId="77777777" w:rsidR="008D523D" w:rsidRDefault="008D523D" w:rsidP="0053597B">
      <w:pPr>
        <w:pStyle w:val="Footnote0"/>
        <w:tabs>
          <w:tab w:val="left" w:pos="283"/>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w:t>
      </w:r>
    </w:p>
  </w:footnote>
  <w:footnote w:id="93">
    <w:p w14:paraId="3A20113D" w14:textId="7A446D6B" w:rsidR="008D523D" w:rsidRDefault="008D523D" w:rsidP="0053597B">
      <w:pPr>
        <w:pStyle w:val="Footnote0"/>
        <w:tabs>
          <w:tab w:val="left" w:pos="284"/>
        </w:tabs>
        <w:ind w:left="0" w:firstLine="0"/>
        <w:jc w:val="both"/>
      </w:pPr>
      <w:r>
        <w:rPr>
          <w:vertAlign w:val="superscript"/>
        </w:rPr>
        <w:footnoteRef/>
      </w:r>
      <w:r>
        <w:tab/>
        <w:t>Пишан придонес од Северна Македонија во контекст на посетата на Северна Македонија.</w:t>
      </w:r>
    </w:p>
  </w:footnote>
  <w:footnote w:id="94">
    <w:p w14:paraId="7B42205B" w14:textId="2E26981C" w:rsidR="008D523D" w:rsidRDefault="008D523D" w:rsidP="008A066D">
      <w:pPr>
        <w:pStyle w:val="Footnote0"/>
        <w:tabs>
          <w:tab w:val="left" w:pos="284"/>
        </w:tabs>
        <w:ind w:left="0" w:firstLine="0"/>
        <w:jc w:val="both"/>
      </w:pPr>
      <w:r>
        <w:rPr>
          <w:vertAlign w:val="superscript"/>
        </w:rPr>
        <w:footnoteRef/>
      </w:r>
      <w:r>
        <w:tab/>
        <w:t>Idem стр. 25.</w:t>
      </w:r>
    </w:p>
  </w:footnote>
  <w:footnote w:id="95">
    <w:p w14:paraId="32E0430A" w14:textId="19A635ED" w:rsidR="008D523D" w:rsidRDefault="008D523D" w:rsidP="008A066D">
      <w:pPr>
        <w:pStyle w:val="Footnote0"/>
        <w:ind w:left="300" w:hanging="300"/>
        <w:jc w:val="both"/>
      </w:pPr>
      <w:r>
        <w:rPr>
          <w:vertAlign w:val="superscript"/>
        </w:rPr>
        <w:footnoteRef/>
      </w:r>
      <w:r>
        <w:tab/>
        <w:t>Информации добиени од институции вклучени во борбата против корупцијата и граѓанското општество во контекст на посетата на Северна Македонија.</w:t>
      </w:r>
    </w:p>
  </w:footnote>
  <w:footnote w:id="96">
    <w:p w14:paraId="60789366" w14:textId="186F9114" w:rsidR="008D523D" w:rsidRDefault="008D523D" w:rsidP="008A066D">
      <w:pPr>
        <w:pStyle w:val="Footnote0"/>
        <w:tabs>
          <w:tab w:val="left" w:pos="284"/>
        </w:tabs>
        <w:ind w:left="0" w:firstLine="0"/>
        <w:jc w:val="both"/>
      </w:pPr>
      <w:r>
        <w:rPr>
          <w:vertAlign w:val="superscript"/>
        </w:rPr>
        <w:footnoteRef/>
      </w:r>
      <w:r>
        <w:tab/>
        <w:t>Информации добиени од граѓанското општество во контекст на посетата на Северна Македонија.</w:t>
      </w:r>
    </w:p>
  </w:footnote>
  <w:footnote w:id="97">
    <w:p w14:paraId="0CBB95D0" w14:textId="0B1D66CA" w:rsidR="008D523D" w:rsidRPr="008B2AD7" w:rsidRDefault="008D523D" w:rsidP="008A066D">
      <w:pPr>
        <w:pStyle w:val="Footnote0"/>
        <w:ind w:left="300" w:hanging="300"/>
        <w:jc w:val="both"/>
      </w:pPr>
      <w:r>
        <w:rPr>
          <w:vertAlign w:val="superscript"/>
        </w:rPr>
        <w:footnoteRef/>
      </w:r>
      <w:r>
        <w:tab/>
      </w:r>
      <w:r w:rsidRPr="008B2AD7">
        <w:t>Одлука за формирање на Меѓуресорското тело за координација на активностите против корупцијата (Службен весник бр.145/23).</w:t>
      </w:r>
    </w:p>
  </w:footnote>
  <w:footnote w:id="98">
    <w:p w14:paraId="136EF34E" w14:textId="01FD018B" w:rsidR="008D523D" w:rsidRDefault="008D523D" w:rsidP="008A066D">
      <w:pPr>
        <w:pStyle w:val="Footnote0"/>
        <w:ind w:left="300" w:hanging="300"/>
        <w:jc w:val="both"/>
      </w:pPr>
      <w:r w:rsidRPr="008B2AD7">
        <w:rPr>
          <w:vertAlign w:val="superscript"/>
        </w:rPr>
        <w:footnoteRef/>
      </w:r>
      <w:r w:rsidRPr="008B2AD7">
        <w:tab/>
        <w:t>Со него претседава заменикот</w:t>
      </w:r>
      <w:r>
        <w:t xml:space="preserve"> на Претседателот на Владата задолжен за политики за добро владеење и членови - претставници на Јавното обвинителство, Судскиот совет, Советот на јавни обвинители, Државната комисија за спречување корупција, Државниот завод за ревизија, Владата на Северна Македонија - Канцеларијата на заменикот на Претседателот на Владата задолжен за политики на добро владеење, Министерството за внатрешни работи, Министерството за правда, Министерството за финансии, Министерството за информатичко општество и администрација, Управата за финансиска полиција, Царинската управа, Управата за финансиско разузнавање, Бирото за јавни набавки, Агенцијата за управување со одземен имот, Секретаријатот за европски прашања и Делегацијата на Северна Македонија во ГРЕКО.</w:t>
      </w:r>
    </w:p>
  </w:footnote>
  <w:footnote w:id="99">
    <w:p w14:paraId="2278A74B" w14:textId="6230E0C6" w:rsidR="008D523D" w:rsidRDefault="008D523D" w:rsidP="008A066D">
      <w:pPr>
        <w:pStyle w:val="Footnote0"/>
        <w:ind w:left="300" w:hanging="300"/>
        <w:jc w:val="both"/>
      </w:pPr>
      <w:r>
        <w:rPr>
          <w:vertAlign w:val="superscript"/>
        </w:rPr>
        <w:footnoteRef/>
      </w:r>
      <w:r>
        <w:tab/>
        <w:t>Според податоците на ДКСК: Во текот на 2023 година до ДКСК се поднесени 549 нови пријави за предмети на корупција, а самоиницијативно се отворени 13 предмети, завршени се вкупно 1139 предмети (1074 решенија и 65 заклучоци). Од завршените 1139 предмети, до надлежното основно јавно обвинителство се поднесени 29 иницијативи за поведување постапка за кривично гонење (за 13 има одговор, а за 16 се очекува одговор), 28 иницијативи за утврдување одговорност на раководни лица и службени лица се доставени до надлежните институции (за 10 иницијативи има одговор, а за 18 се очекува одговор), 24 други иницијативи и барања произлегуваат од постапување по предмети, 22 препораки и 10 укажувања се доставени до државните институции и органи за преземање конкретни мерки врз основа на констатираните состојби.</w:t>
      </w:r>
    </w:p>
  </w:footnote>
  <w:footnote w:id="100">
    <w:p w14:paraId="09B6A551" w14:textId="082BFD61" w:rsidR="008D523D" w:rsidRDefault="008D523D" w:rsidP="008A066D">
      <w:pPr>
        <w:pStyle w:val="Footnote0"/>
        <w:tabs>
          <w:tab w:val="left" w:pos="284"/>
        </w:tabs>
        <w:ind w:left="0" w:firstLine="0"/>
        <w:jc w:val="both"/>
      </w:pPr>
      <w:r>
        <w:rPr>
          <w:vertAlign w:val="superscript"/>
        </w:rPr>
        <w:footnoteRef/>
      </w:r>
      <w:r>
        <w:tab/>
        <w:t>Јавна изјава како што е објавено во медиумите од 8 февруари 2024 година.</w:t>
      </w:r>
    </w:p>
  </w:footnote>
  <w:footnote w:id="101">
    <w:p w14:paraId="3EF0C953" w14:textId="1AA41682" w:rsidR="008D523D" w:rsidRDefault="008D523D" w:rsidP="008A066D">
      <w:pPr>
        <w:pStyle w:val="Footnote0"/>
        <w:ind w:left="300" w:hanging="300"/>
        <w:jc w:val="both"/>
      </w:pPr>
      <w:r>
        <w:rPr>
          <w:vertAlign w:val="superscript"/>
        </w:rPr>
        <w:footnoteRef/>
      </w:r>
      <w:r>
        <w:tab/>
        <w:t>Во текот на 2023 година, до ДКСК се поднесени вкупно 1377 изјави за имотна состојба, од кои 808 за избор/именување на функција, 74 за престанок и 495 за промена на имотната состојба. ДКСК ги обработува новодоставените изјави и ги ажурира податоците за промените во имотната состојба. На нејзината веб-страница (</w:t>
      </w:r>
      <w:hyperlink r:id="rId1" w:history="1">
        <w:r>
          <w:t>www.dksk.org.mk</w:t>
        </w:r>
      </w:hyperlink>
      <w:r>
        <w:t>) се објавени податоци за 2023 година од изјави на 10633 избрани и именувани лица. Понатаму, ДКСК води регистар на избрани и именувани лица како единствена база на податоци.</w:t>
      </w:r>
    </w:p>
  </w:footnote>
  <w:footnote w:id="102">
    <w:p w14:paraId="36685822" w14:textId="24002968" w:rsidR="008D523D" w:rsidRDefault="008D523D" w:rsidP="008A066D">
      <w:pPr>
        <w:pStyle w:val="Footnote0"/>
        <w:ind w:left="300" w:hanging="300"/>
        <w:jc w:val="both"/>
      </w:pPr>
      <w:r>
        <w:rPr>
          <w:vertAlign w:val="superscript"/>
        </w:rPr>
        <w:footnoteRef/>
      </w:r>
      <w:r>
        <w:tab/>
        <w:t>ГРЕКО (2023), Петти круг на евалуација - Спречување на корупцијата и промовирање на интегритетот кај централната власт (највисоки извршни функции) и органите за спроведување на законот, Втор извештај за усогласеност.</w:t>
      </w:r>
    </w:p>
  </w:footnote>
  <w:footnote w:id="103">
    <w:p w14:paraId="5C09E82B" w14:textId="35414CC1" w:rsidR="008D523D" w:rsidRDefault="008D523D" w:rsidP="00963CEE">
      <w:pPr>
        <w:pStyle w:val="Footnote0"/>
        <w:ind w:left="300" w:hanging="300"/>
        <w:jc w:val="both"/>
      </w:pPr>
      <w:r>
        <w:rPr>
          <w:vertAlign w:val="superscript"/>
        </w:rPr>
        <w:footnoteRef/>
      </w:r>
      <w:r>
        <w:tab/>
        <w:t>Според надлежните ќе се зголеми бројот на вработени во Секретаријатот на ДКСК, така што од предвидените 64 работни места со актот за систематизација, ќе бидат пополнети 52 работни места, што претставува 81 % пополнетост и подобрување на состојбата со човечки ресурси во однос на претходната година кога искористеноста беше 75 %.</w:t>
      </w:r>
    </w:p>
  </w:footnote>
  <w:footnote w:id="104">
    <w:p w14:paraId="031C8EF8" w14:textId="252A5704" w:rsidR="008D523D" w:rsidRDefault="008D523D" w:rsidP="00963CEE">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24.</w:t>
      </w:r>
    </w:p>
  </w:footnote>
  <w:footnote w:id="105">
    <w:p w14:paraId="79A56F4C" w14:textId="6458F231" w:rsidR="008D523D" w:rsidRDefault="008D523D" w:rsidP="00963CEE">
      <w:pPr>
        <w:pStyle w:val="Footnote0"/>
        <w:ind w:left="300" w:hanging="300"/>
        <w:jc w:val="both"/>
      </w:pPr>
      <w:r>
        <w:rPr>
          <w:vertAlign w:val="superscript"/>
        </w:rPr>
        <w:footnoteRef/>
      </w:r>
      <w:r>
        <w:tab/>
        <w:t>ОДИХР (2024), Северна Македонија, Претседателски избори, 24 април 2024 година: Изјава за прелиминарни наоди и заклучоци.</w:t>
      </w:r>
    </w:p>
  </w:footnote>
  <w:footnote w:id="106">
    <w:p w14:paraId="5AABA115" w14:textId="4350356A" w:rsidR="008D523D" w:rsidRDefault="008D523D" w:rsidP="00E17BE9">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24.</w:t>
      </w:r>
    </w:p>
  </w:footnote>
  <w:footnote w:id="107">
    <w:p w14:paraId="054F97BF" w14:textId="771E07C2" w:rsidR="008D523D" w:rsidRDefault="008D523D" w:rsidP="00963CEE">
      <w:pPr>
        <w:pStyle w:val="Footnote0"/>
        <w:ind w:left="300" w:hanging="300"/>
        <w:jc w:val="both"/>
      </w:pPr>
      <w:r>
        <w:rPr>
          <w:vertAlign w:val="superscript"/>
        </w:rPr>
        <w:footnoteRef/>
      </w:r>
      <w:r>
        <w:rPr>
          <w:lang w:val="en-GB"/>
        </w:rPr>
        <w:tab/>
      </w:r>
      <w:r>
        <w:t>ДКСК извести дека зема активно учество во работната група одговорна за изменување на Законот за спречување на корупцијата и судирот на интереси, за да се осигури дека системот на санкции е усогласен со стандардите на ЕУ.</w:t>
      </w:r>
    </w:p>
  </w:footnote>
  <w:footnote w:id="108">
    <w:p w14:paraId="597D2A31" w14:textId="561C9F07" w:rsidR="008D523D" w:rsidRDefault="008D523D" w:rsidP="00963CEE">
      <w:pPr>
        <w:pStyle w:val="Footnote0"/>
        <w:ind w:left="300" w:hanging="300"/>
        <w:jc w:val="both"/>
      </w:pPr>
      <w:r>
        <w:rPr>
          <w:vertAlign w:val="superscript"/>
        </w:rPr>
        <w:footnoteRef/>
      </w:r>
      <w:r>
        <w:tab/>
        <w:t>ГРЕКО (2023), Петти круг на евалуација - Спречување на корупцијата и промовирање на интегритетот кај централната власт (највисоки извршни функции) и органите за спроведување на законот, Втор извештај за усогласеност.</w:t>
      </w:r>
    </w:p>
  </w:footnote>
  <w:footnote w:id="109">
    <w:p w14:paraId="31C86F4C" w14:textId="5E7E2264" w:rsidR="008D523D" w:rsidRDefault="008D523D" w:rsidP="008D3E50">
      <w:pPr>
        <w:pStyle w:val="Footnote0"/>
        <w:tabs>
          <w:tab w:val="left" w:pos="284"/>
        </w:tabs>
        <w:ind w:left="0" w:firstLine="0"/>
        <w:jc w:val="both"/>
      </w:pPr>
      <w:r>
        <w:rPr>
          <w:vertAlign w:val="superscript"/>
        </w:rPr>
        <w:footnoteRef/>
      </w:r>
      <w:r>
        <w:tab/>
        <w:t xml:space="preserve">Службен весник </w:t>
      </w:r>
      <w:r w:rsidRPr="00903E4F">
        <w:t>122/2021 од 3.6.2021 година</w:t>
      </w:r>
    </w:p>
  </w:footnote>
  <w:footnote w:id="110">
    <w:p w14:paraId="716273C0" w14:textId="27FA4D8A" w:rsidR="008D523D" w:rsidRDefault="008D523D" w:rsidP="00963CEE">
      <w:pPr>
        <w:pStyle w:val="Footnote0"/>
        <w:ind w:left="300" w:hanging="300"/>
        <w:jc w:val="both"/>
      </w:pPr>
      <w:r>
        <w:rPr>
          <w:vertAlign w:val="superscript"/>
        </w:rPr>
        <w:footnoteRef/>
      </w:r>
      <w:r>
        <w:tab/>
        <w:t>ДКСК изработи и пушти во функција електронски Регистар на лобисти, лоби организации и лобирање, до кој може да се пристапи преку линк објавен на нејзиниот веб-портал. Види: Регистар на лобисти и организации.</w:t>
      </w:r>
    </w:p>
  </w:footnote>
  <w:footnote w:id="111">
    <w:p w14:paraId="68FF6EFB" w14:textId="487D8099" w:rsidR="008D523D" w:rsidRDefault="008D523D" w:rsidP="00963CEE">
      <w:pPr>
        <w:pStyle w:val="Footnote0"/>
        <w:ind w:left="300" w:hanging="300"/>
        <w:jc w:val="both"/>
      </w:pPr>
      <w:r>
        <w:rPr>
          <w:vertAlign w:val="superscript"/>
        </w:rPr>
        <w:footnoteRef/>
      </w:r>
      <w:r>
        <w:tab/>
        <w:t>И покрај тоа што се предвидени прекршочни санкции за прекршување на пропишаните обврски на лобист/лоби организација и лобираните лица, тие изгледаат неефикасни или неприменети.</w:t>
      </w:r>
    </w:p>
  </w:footnote>
  <w:footnote w:id="112">
    <w:p w14:paraId="2A51721F" w14:textId="11BB42C7" w:rsidR="008D523D" w:rsidRDefault="008D523D" w:rsidP="00106440">
      <w:pPr>
        <w:pStyle w:val="Footnote0"/>
        <w:tabs>
          <w:tab w:val="left" w:pos="284"/>
        </w:tabs>
        <w:ind w:left="0" w:firstLine="0"/>
        <w:jc w:val="both"/>
      </w:pPr>
      <w:r>
        <w:rPr>
          <w:vertAlign w:val="superscript"/>
        </w:rPr>
        <w:footnoteRef/>
      </w:r>
      <w:r>
        <w:tab/>
        <w:t>Службен весник, бр. 76/2004, 86/2008, 161/2008, 96/2009, 148/11, 142/12, 23/13, 140/18 и 294/20</w:t>
      </w:r>
    </w:p>
  </w:footnote>
  <w:footnote w:id="113">
    <w:p w14:paraId="1193C80F" w14:textId="57FD93EC" w:rsidR="008D523D" w:rsidRDefault="008D523D" w:rsidP="00963CEE">
      <w:pPr>
        <w:pStyle w:val="Footnote0"/>
        <w:ind w:left="300" w:hanging="300"/>
        <w:jc w:val="both"/>
      </w:pPr>
      <w:r>
        <w:rPr>
          <w:vertAlign w:val="superscript"/>
        </w:rPr>
        <w:footnoteRef/>
      </w:r>
      <w:r>
        <w:tab/>
        <w:t>Службен весник, бр. 40/2006, 127/2006, 136/2008, 155/2008, 163/2008, 44/11, 51/11, 142/12, 31/13, 34/13, 14/14, 30/14, 31/15, 196/15, 35/16, 97/16, 99/16, 136/16, 142/16, 57/17, 67/17, 125/17, 35/18, 99/18, 140/18, 208/18, 27/19, 98/19, 146/19, 42/20, 74/21, 215/21 и 58/24</w:t>
      </w:r>
    </w:p>
  </w:footnote>
  <w:footnote w:id="114">
    <w:p w14:paraId="6D6EB526" w14:textId="3620B773" w:rsidR="008D523D" w:rsidRDefault="008D523D" w:rsidP="00106440">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w:t>
      </w:r>
    </w:p>
  </w:footnote>
  <w:footnote w:id="115">
    <w:p w14:paraId="4B285A81" w14:textId="202A9424" w:rsidR="008D523D" w:rsidRDefault="008D523D" w:rsidP="00106440">
      <w:pPr>
        <w:pStyle w:val="Footnote0"/>
        <w:tabs>
          <w:tab w:val="left" w:pos="284"/>
        </w:tabs>
        <w:ind w:left="0" w:firstLine="0"/>
        <w:jc w:val="both"/>
      </w:pPr>
      <w:r>
        <w:rPr>
          <w:vertAlign w:val="superscript"/>
        </w:rPr>
        <w:footnoteRef/>
      </w:r>
      <w:r>
        <w:tab/>
        <w:t>Скрининг-извештај за 2023 година Северна Македонија, Кластер 1 - Фундаментални вредности, стр. 10.</w:t>
      </w:r>
    </w:p>
  </w:footnote>
  <w:footnote w:id="116">
    <w:p w14:paraId="6624EFB0" w14:textId="1C81E8FF" w:rsidR="008D523D" w:rsidRDefault="008D523D" w:rsidP="00963CEE">
      <w:pPr>
        <w:pStyle w:val="Footnote0"/>
        <w:jc w:val="both"/>
      </w:pPr>
      <w:r>
        <w:rPr>
          <w:vertAlign w:val="superscript"/>
        </w:rPr>
        <w:footnoteRef/>
      </w:r>
      <w:r>
        <w:tab/>
        <w:t>Набљудувачка мисија на изборите на ОБСЕ/ОДИХР (2024), Привремен извештај за претседателските и парламентарните избори од 2024 година.</w:t>
      </w:r>
    </w:p>
  </w:footnote>
  <w:footnote w:id="117">
    <w:p w14:paraId="320C1133" w14:textId="3ED42FCA" w:rsidR="008D523D" w:rsidRDefault="008D523D" w:rsidP="00963CEE">
      <w:pPr>
        <w:pStyle w:val="Footnote0"/>
        <w:tabs>
          <w:tab w:val="left" w:pos="284"/>
        </w:tabs>
        <w:ind w:left="0" w:firstLine="0"/>
        <w:jc w:val="both"/>
      </w:pPr>
      <w:r>
        <w:rPr>
          <w:vertAlign w:val="superscript"/>
        </w:rPr>
        <w:footnoteRef/>
      </w:r>
      <w:r>
        <w:tab/>
        <w:t>Службен весник, бр. 196/15, 35/18 и 257/20.6</w:t>
      </w:r>
    </w:p>
  </w:footnote>
  <w:footnote w:id="118">
    <w:p w14:paraId="13FC9856" w14:textId="6D3A3837" w:rsidR="008D523D" w:rsidRDefault="008D523D" w:rsidP="00963CEE">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25.</w:t>
      </w:r>
    </w:p>
  </w:footnote>
  <w:footnote w:id="119">
    <w:p w14:paraId="5C6CE7AB" w14:textId="6D8B7C08" w:rsidR="008D523D" w:rsidRDefault="008D523D" w:rsidP="00963CEE">
      <w:pPr>
        <w:pStyle w:val="Footnote0"/>
        <w:jc w:val="both"/>
      </w:pPr>
      <w:r>
        <w:rPr>
          <w:vertAlign w:val="superscript"/>
        </w:rPr>
        <w:footnoteRef/>
      </w:r>
      <w:r>
        <w:tab/>
        <w:t>ГРЕКО (2023), Петти круг на евалуација - Спречување на корупцијата и промовирање на интегритетот кај централната власт (највисоки извршни функции) и органите за спроведување на законот, Втор извештај за усогласеност.</w:t>
      </w:r>
    </w:p>
  </w:footnote>
  <w:footnote w:id="120">
    <w:p w14:paraId="59006F73" w14:textId="1B222809" w:rsidR="008D523D" w:rsidRDefault="008D523D" w:rsidP="00963CEE">
      <w:pPr>
        <w:pStyle w:val="Footnote0"/>
        <w:jc w:val="both"/>
      </w:pPr>
      <w:r>
        <w:rPr>
          <w:vertAlign w:val="superscript"/>
        </w:rPr>
        <w:footnoteRef/>
      </w:r>
      <w:r>
        <w:tab/>
        <w:t>Работната група е составена од претставници на: ДКСК, правосудство, Јавно обвинителство, Народен правобранител, Инспекциски совет, Министерство за внатрешни работи, Министерство за правда, академска заедница, граѓански организации и бизнис заедница и синдикати.</w:t>
      </w:r>
    </w:p>
  </w:footnote>
  <w:footnote w:id="121">
    <w:p w14:paraId="00C070F0" w14:textId="08668EC1" w:rsidR="008D523D" w:rsidRDefault="008D523D" w:rsidP="00963CEE">
      <w:pPr>
        <w:pStyle w:val="Footnote0"/>
        <w:jc w:val="both"/>
      </w:pPr>
      <w:r>
        <w:rPr>
          <w:vertAlign w:val="superscript"/>
        </w:rPr>
        <w:footnoteRef/>
      </w:r>
      <w:r>
        <w:tab/>
        <w:t>Совет на Европа (2024), Соопштение за медиумите од 5.12.2023 година,</w:t>
      </w:r>
      <w:hyperlink r:id="rId2" w:history="1">
        <w:r>
          <w:t xml:space="preserve"> </w:t>
        </w:r>
        <w:r>
          <w:rPr>
            <w:color w:val="0563C1"/>
            <w:u w:val="single"/>
          </w:rPr>
          <w:t>The Council of Europe supports the</w:t>
        </w:r>
      </w:hyperlink>
      <w:r>
        <w:rPr>
          <w:color w:val="0563C1"/>
          <w:u w:val="single"/>
        </w:rPr>
        <w:t xml:space="preserve"> </w:t>
      </w:r>
      <w:hyperlink r:id="rId3" w:history="1">
        <w:r>
          <w:rPr>
            <w:color w:val="0563C1"/>
            <w:u w:val="single"/>
          </w:rPr>
          <w:t>whistleblower protection reform in North Macedonia</w:t>
        </w:r>
        <w:r>
          <w:t>.</w:t>
        </w:r>
      </w:hyperlink>
    </w:p>
  </w:footnote>
  <w:footnote w:id="122">
    <w:p w14:paraId="71B958B6" w14:textId="617F3F67" w:rsidR="008D523D" w:rsidRDefault="008D523D" w:rsidP="00106440">
      <w:pPr>
        <w:pStyle w:val="Footnote0"/>
        <w:tabs>
          <w:tab w:val="left" w:pos="284"/>
        </w:tabs>
        <w:ind w:left="0" w:firstLine="0"/>
        <w:jc w:val="both"/>
      </w:pPr>
      <w:r>
        <w:rPr>
          <w:vertAlign w:val="superscript"/>
        </w:rPr>
        <w:footnoteRef/>
      </w:r>
      <w:r>
        <w:tab/>
      </w:r>
      <w:r>
        <w:rPr>
          <w:i/>
          <w:iCs/>
        </w:rPr>
        <w:t>Транспаренси Интернешнл Македонија</w:t>
      </w:r>
      <w:r>
        <w:t xml:space="preserve"> (2023), Оцена на Националниот систем за интегритет на Северна Македонија.</w:t>
      </w:r>
    </w:p>
  </w:footnote>
  <w:footnote w:id="123">
    <w:p w14:paraId="6E8D40CA" w14:textId="69B04295" w:rsidR="008D523D" w:rsidRDefault="008D523D" w:rsidP="00963CEE">
      <w:pPr>
        <w:pStyle w:val="Footnote0"/>
        <w:tabs>
          <w:tab w:val="left" w:pos="284"/>
        </w:tabs>
        <w:ind w:left="0" w:firstLine="0"/>
        <w:jc w:val="both"/>
      </w:pPr>
      <w:r>
        <w:rPr>
          <w:vertAlign w:val="superscript"/>
        </w:rPr>
        <w:footnoteRef/>
      </w:r>
      <w:r>
        <w:tab/>
        <w:t>Скрининг-извештај за 2023 година Северна Македонија, Кластер 1 - Фундаментални вредности, стр. 51.</w:t>
      </w:r>
    </w:p>
  </w:footnote>
  <w:footnote w:id="124">
    <w:p w14:paraId="3BFB88BC" w14:textId="29F74B1C" w:rsidR="008D523D" w:rsidRDefault="008D523D" w:rsidP="00963CEE">
      <w:pPr>
        <w:pStyle w:val="Footnote0"/>
        <w:tabs>
          <w:tab w:val="left" w:pos="284"/>
        </w:tabs>
        <w:ind w:left="0" w:firstLine="0"/>
        <w:jc w:val="both"/>
      </w:pPr>
      <w:r>
        <w:rPr>
          <w:vertAlign w:val="superscript"/>
        </w:rPr>
        <w:footnoteRef/>
      </w:r>
      <w:r>
        <w:tab/>
        <w:t>Ibidem.</w:t>
      </w:r>
    </w:p>
  </w:footnote>
  <w:footnote w:id="125">
    <w:p w14:paraId="3BB957CF" w14:textId="0F094A1D" w:rsidR="008D523D" w:rsidRDefault="008D523D" w:rsidP="00106440">
      <w:pPr>
        <w:pStyle w:val="Footnote0"/>
        <w:tabs>
          <w:tab w:val="left" w:pos="284"/>
        </w:tabs>
        <w:ind w:left="0" w:firstLine="0"/>
        <w:jc w:val="both"/>
      </w:pPr>
      <w:r>
        <w:rPr>
          <w:vertAlign w:val="superscript"/>
        </w:rPr>
        <w:footnoteRef/>
      </w:r>
      <w:r>
        <w:tab/>
      </w:r>
      <w:r>
        <w:rPr>
          <w:i/>
          <w:iCs/>
        </w:rPr>
        <w:t>Транспаренси Интернешнл Македонија</w:t>
      </w:r>
      <w:r>
        <w:t xml:space="preserve"> (2023), Оцена на Националниот систем за интегритет на Северна Македонија.</w:t>
      </w:r>
    </w:p>
  </w:footnote>
  <w:footnote w:id="126">
    <w:p w14:paraId="506A6CED" w14:textId="726D0550" w:rsidR="008D523D" w:rsidRDefault="008D523D" w:rsidP="00106440">
      <w:pPr>
        <w:pStyle w:val="Footnote0"/>
        <w:tabs>
          <w:tab w:val="left" w:pos="284"/>
        </w:tabs>
        <w:ind w:left="0" w:firstLine="0"/>
        <w:jc w:val="both"/>
      </w:pPr>
      <w:r>
        <w:rPr>
          <w:vertAlign w:val="superscript"/>
        </w:rPr>
        <w:footnoteRef/>
      </w:r>
      <w:r>
        <w:tab/>
      </w:r>
      <w:r w:rsidRPr="001A1781">
        <w:t>Ibidem. Извештај на Фридом Хаус (2024), Нации во транзит: Извештај за Северна Македонија.</w:t>
      </w:r>
    </w:p>
  </w:footnote>
  <w:footnote w:id="127">
    <w:p w14:paraId="1DE199F0" w14:textId="5B71B28A" w:rsidR="008D523D" w:rsidRDefault="008D523D" w:rsidP="00963CEE">
      <w:pPr>
        <w:pStyle w:val="Footnote0"/>
        <w:tabs>
          <w:tab w:val="left" w:pos="284"/>
        </w:tabs>
        <w:ind w:left="0" w:firstLine="0"/>
        <w:jc w:val="both"/>
      </w:pPr>
      <w:r>
        <w:rPr>
          <w:vertAlign w:val="superscript"/>
        </w:rPr>
        <w:footnoteRef/>
      </w:r>
      <w:r>
        <w:tab/>
        <w:t>Член 16 од Уставот.</w:t>
      </w:r>
    </w:p>
  </w:footnote>
  <w:footnote w:id="128">
    <w:p w14:paraId="72DB5DDB" w14:textId="33DB484D" w:rsidR="008D523D" w:rsidRDefault="008D523D" w:rsidP="00DA5CB7">
      <w:pPr>
        <w:pStyle w:val="Footnote0"/>
        <w:ind w:left="284" w:hanging="284"/>
        <w:jc w:val="both"/>
      </w:pPr>
      <w:r>
        <w:rPr>
          <w:vertAlign w:val="superscript"/>
        </w:rPr>
        <w:footnoteRef/>
      </w:r>
      <w:r>
        <w:tab/>
        <w:t>Закон за аудио и аудиовизуелни медиумски услуги. Северна Македонија е рангирана на 36-то место на Индексот за слобода на медиумите на Репортери без граници за 2024 година, споредено со 38-то место во 2023 година.</w:t>
      </w:r>
    </w:p>
  </w:footnote>
  <w:footnote w:id="129">
    <w:p w14:paraId="64AC9A4F" w14:textId="7E718896" w:rsidR="008D523D" w:rsidRDefault="008D523D" w:rsidP="00714035">
      <w:pPr>
        <w:pStyle w:val="Footnote0"/>
        <w:tabs>
          <w:tab w:val="left" w:pos="284"/>
        </w:tabs>
        <w:ind w:left="0" w:firstLine="0"/>
        <w:jc w:val="both"/>
      </w:pPr>
      <w:r>
        <w:rPr>
          <w:vertAlign w:val="superscript"/>
        </w:rPr>
        <w:footnoteRef/>
      </w:r>
      <w:r>
        <w:tab/>
        <w:t>Закон за аудио и аудиовизуелни медиумски услуги.</w:t>
      </w:r>
    </w:p>
  </w:footnote>
  <w:footnote w:id="130">
    <w:p w14:paraId="4CA8BD5D" w14:textId="6491E1CB" w:rsidR="008D523D" w:rsidRDefault="008D523D" w:rsidP="00714035">
      <w:pPr>
        <w:pStyle w:val="Footnote0"/>
        <w:ind w:left="284" w:hanging="284"/>
        <w:jc w:val="both"/>
      </w:pPr>
      <w:r>
        <w:rPr>
          <w:vertAlign w:val="superscript"/>
        </w:rPr>
        <w:footnoteRef/>
      </w:r>
      <w:r>
        <w:tab/>
        <w:t>Законот за аудио и аудиовизуелни медиумски услуги прецизира дека износот на јавното финансирање на јавниот радиодифузен сервис, Агенцијата за аудио и аудиовизуелни медиумски услуги и јавното радиодифузно претпријатие претставува 1 % од остварените даночни приходи утврдени во последната донесена завршна сметка на Буџетот на Северна Македонија.</w:t>
      </w:r>
    </w:p>
  </w:footnote>
  <w:footnote w:id="131">
    <w:p w14:paraId="00756B83" w14:textId="4B9019F6" w:rsidR="008D523D" w:rsidRDefault="008D523D" w:rsidP="00714035">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31.</w:t>
      </w:r>
    </w:p>
  </w:footnote>
  <w:footnote w:id="132">
    <w:p w14:paraId="33AA2215" w14:textId="7240DDD0" w:rsidR="008D523D" w:rsidRDefault="008D523D" w:rsidP="00DA5CB7">
      <w:pPr>
        <w:pStyle w:val="Footnote0"/>
        <w:ind w:left="284" w:hanging="284"/>
        <w:jc w:val="both"/>
      </w:pPr>
      <w:r>
        <w:rPr>
          <w:vertAlign w:val="superscript"/>
        </w:rPr>
        <w:footnoteRef/>
      </w:r>
      <w:r>
        <w:tab/>
        <w:t>Комуникација за политиката на проширување на ЕУ од 2023 година, Извештај за Северна Македонија, стр. 29. Ова важи и за Програмскиот совет на јавниот радиодифузен сервис.</w:t>
      </w:r>
    </w:p>
  </w:footnote>
  <w:footnote w:id="133">
    <w:p w14:paraId="20EA60E4" w14:textId="3D8A6089" w:rsidR="008D523D" w:rsidRDefault="008D523D" w:rsidP="00DA5CB7">
      <w:pPr>
        <w:pStyle w:val="Footnote0"/>
        <w:ind w:left="284" w:hanging="284"/>
        <w:jc w:val="both"/>
      </w:pPr>
      <w:r>
        <w:rPr>
          <w:vertAlign w:val="superscript"/>
        </w:rPr>
        <w:footnoteRef/>
      </w:r>
      <w:r>
        <w:tab/>
        <w:t>Член 108 - Именување членови на Програмскиот совет на МРТ; мнозинство гласови од вкупниот број пратеници кои припаѓаат на заедниците кои не се мнозинство во државата за овие именувања [двојно или т.н. Бадентерово мнозинство].</w:t>
      </w:r>
    </w:p>
  </w:footnote>
  <w:footnote w:id="134">
    <w:p w14:paraId="5A93C0F6" w14:textId="00A637DF" w:rsidR="008D523D" w:rsidRDefault="008D523D" w:rsidP="00106440">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31.</w:t>
      </w:r>
    </w:p>
  </w:footnote>
  <w:footnote w:id="135">
    <w:p w14:paraId="715E936A" w14:textId="03BA2029" w:rsidR="008D523D" w:rsidRDefault="008D523D" w:rsidP="00106440">
      <w:pPr>
        <w:pStyle w:val="Footnote0"/>
        <w:tabs>
          <w:tab w:val="left" w:pos="284"/>
        </w:tabs>
        <w:ind w:left="0" w:firstLine="0"/>
        <w:jc w:val="both"/>
      </w:pPr>
      <w:r>
        <w:rPr>
          <w:vertAlign w:val="superscript"/>
        </w:rPr>
        <w:footnoteRef/>
      </w:r>
      <w:r>
        <w:tab/>
        <w:t>Информации добиени од граѓанското општество во контекст на посетата на Северна Македонија.</w:t>
      </w:r>
    </w:p>
  </w:footnote>
  <w:footnote w:id="136">
    <w:p w14:paraId="544A3D32" w14:textId="16707693" w:rsidR="008D523D" w:rsidRDefault="008D523D" w:rsidP="00106440">
      <w:pPr>
        <w:pStyle w:val="Footnote0"/>
        <w:tabs>
          <w:tab w:val="left" w:pos="284"/>
        </w:tabs>
        <w:ind w:left="0" w:firstLine="0"/>
        <w:jc w:val="both"/>
      </w:pPr>
      <w:r>
        <w:rPr>
          <w:vertAlign w:val="superscript"/>
        </w:rPr>
        <w:footnoteRef/>
      </w:r>
      <w:r>
        <w:tab/>
        <w:t>Монитор на Медиумскиот плурализам за 2024 година, извештај за Северна Македонија, стр.13.</w:t>
      </w:r>
    </w:p>
  </w:footnote>
  <w:footnote w:id="137">
    <w:p w14:paraId="3F1A9263" w14:textId="7381B4C8" w:rsidR="008D523D" w:rsidRDefault="008D523D" w:rsidP="00714035">
      <w:pPr>
        <w:pStyle w:val="Footnote0"/>
        <w:tabs>
          <w:tab w:val="left" w:pos="284"/>
        </w:tabs>
        <w:ind w:left="0" w:firstLine="0"/>
        <w:jc w:val="both"/>
      </w:pPr>
      <w:r>
        <w:rPr>
          <w:vertAlign w:val="superscript"/>
        </w:rPr>
        <w:footnoteRef/>
      </w:r>
      <w:r>
        <w:tab/>
        <w:t>Совет за етика во медиумите, Фејсбук, 15 јануари 2024 година.</w:t>
      </w:r>
    </w:p>
  </w:footnote>
  <w:footnote w:id="138">
    <w:p w14:paraId="796EB707" w14:textId="52015340" w:rsidR="008D523D" w:rsidRDefault="008D523D" w:rsidP="00106440">
      <w:pPr>
        <w:pStyle w:val="Footnote0"/>
        <w:tabs>
          <w:tab w:val="left" w:pos="284"/>
        </w:tabs>
        <w:ind w:left="0" w:firstLine="0"/>
        <w:jc w:val="both"/>
      </w:pPr>
      <w:r>
        <w:rPr>
          <w:vertAlign w:val="superscript"/>
        </w:rPr>
        <w:footnoteRef/>
      </w:r>
      <w:r>
        <w:tab/>
        <w:t>Монитор на Медиумскиот плурализам за 2024 година, извештај за Северна Македонија, стр.23.</w:t>
      </w:r>
    </w:p>
  </w:footnote>
  <w:footnote w:id="139">
    <w:p w14:paraId="27708A4B" w14:textId="17E38E34" w:rsidR="008D523D" w:rsidRDefault="008D523D" w:rsidP="00714035">
      <w:pPr>
        <w:pStyle w:val="Footnote0"/>
        <w:jc w:val="both"/>
      </w:pPr>
      <w:r>
        <w:rPr>
          <w:vertAlign w:val="superscript"/>
        </w:rPr>
        <w:footnoteRef/>
      </w:r>
      <w:r>
        <w:tab/>
        <w:t>Идентификувани се спорадични инциденти на притисоци кои вклучуваат навреди од висок персонал на национална телевизија, закани од сопственици на медиуми по несогласување со одлуките на комисијата за жалби, известување на Фејсбук страницата на Советот за етика во медиумите. Види исто така: Скрининг-извештај за 2023 година Северна Македонија, Кластер 1 - Фундаментални вредности.</w:t>
      </w:r>
    </w:p>
  </w:footnote>
  <w:footnote w:id="140">
    <w:p w14:paraId="237637BD" w14:textId="0FD30D1A" w:rsidR="008D523D" w:rsidRDefault="008D523D" w:rsidP="00714035">
      <w:pPr>
        <w:pStyle w:val="Footnote0"/>
        <w:tabs>
          <w:tab w:val="left" w:pos="284"/>
        </w:tabs>
        <w:ind w:left="0" w:firstLine="0"/>
        <w:jc w:val="both"/>
      </w:pPr>
      <w:r>
        <w:rPr>
          <w:vertAlign w:val="superscript"/>
        </w:rPr>
        <w:footnoteRef/>
      </w:r>
      <w:hyperlink r:id="rId4" w:history="1">
        <w:r>
          <w:tab/>
          <w:t>Закон за медиуми и аудиовизуелни услуги.</w:t>
        </w:r>
      </w:hyperlink>
    </w:p>
  </w:footnote>
  <w:footnote w:id="141">
    <w:p w14:paraId="094514FF" w14:textId="2EAA585E" w:rsidR="008D523D" w:rsidRDefault="008D523D" w:rsidP="00714035">
      <w:pPr>
        <w:pStyle w:val="Footnote0"/>
        <w:tabs>
          <w:tab w:val="left" w:pos="284"/>
        </w:tabs>
        <w:ind w:left="0" w:firstLine="0"/>
        <w:jc w:val="both"/>
      </w:pPr>
      <w:r>
        <w:rPr>
          <w:vertAlign w:val="superscript"/>
        </w:rPr>
        <w:footnoteRef/>
      </w:r>
      <w:r>
        <w:tab/>
        <w:t>Монитор на Медиумскиот плурализам за 2024 година, извештај за Северна Македонија, стр. 15.</w:t>
      </w:r>
    </w:p>
  </w:footnote>
  <w:footnote w:id="142">
    <w:p w14:paraId="3A432B1E" w14:textId="580CD148" w:rsidR="008D523D" w:rsidRDefault="008D523D" w:rsidP="00624540">
      <w:pPr>
        <w:pStyle w:val="Footnote0"/>
        <w:tabs>
          <w:tab w:val="left" w:pos="284"/>
        </w:tabs>
        <w:ind w:left="0" w:firstLine="0"/>
        <w:jc w:val="both"/>
      </w:pPr>
      <w:r>
        <w:rPr>
          <w:vertAlign w:val="superscript"/>
        </w:rPr>
        <w:footnoteRef/>
      </w:r>
      <w:r>
        <w:tab/>
        <w:t>Монитор на Медиумскиот плурализам за 2024 година, извештај за Северна Македонија, стр. 15-16.</w:t>
      </w:r>
    </w:p>
  </w:footnote>
  <w:footnote w:id="143">
    <w:p w14:paraId="3DD9E561" w14:textId="7EC5ADC4" w:rsidR="008D523D" w:rsidRDefault="008D523D" w:rsidP="00624540">
      <w:pPr>
        <w:pStyle w:val="Footnote0"/>
        <w:tabs>
          <w:tab w:val="left" w:pos="284"/>
        </w:tabs>
        <w:ind w:left="0" w:firstLine="0"/>
        <w:jc w:val="both"/>
      </w:pPr>
      <w:r>
        <w:rPr>
          <w:vertAlign w:val="superscript"/>
        </w:rPr>
        <w:footnoteRef/>
      </w:r>
      <w:r>
        <w:tab/>
        <w:t>Ibid.</w:t>
      </w:r>
    </w:p>
  </w:footnote>
  <w:footnote w:id="144">
    <w:p w14:paraId="6B419F04" w14:textId="00A826A7" w:rsidR="008D523D" w:rsidRDefault="008D523D" w:rsidP="00DA5CB7">
      <w:pPr>
        <w:pStyle w:val="Footnote0"/>
        <w:ind w:left="284" w:hanging="284"/>
        <w:jc w:val="both"/>
      </w:pPr>
      <w:r>
        <w:rPr>
          <w:vertAlign w:val="superscript"/>
        </w:rPr>
        <w:footnoteRef/>
      </w:r>
      <w:r>
        <w:tab/>
        <w:t>Закон за аудио и аудиовизуелни медиумски услуги; Монитор на Медиумскиот плурализам за 2024 година, извештај за Северна Македонија, стр. 16.</w:t>
      </w:r>
    </w:p>
  </w:footnote>
  <w:footnote w:id="145">
    <w:p w14:paraId="4F7E420E" w14:textId="4DDF7E41" w:rsidR="008D523D" w:rsidRDefault="008D523D" w:rsidP="00DA5CB7">
      <w:pPr>
        <w:pStyle w:val="Footnote0"/>
        <w:ind w:left="284" w:hanging="284"/>
        <w:jc w:val="both"/>
      </w:pPr>
      <w:r>
        <w:rPr>
          <w:vertAlign w:val="superscript"/>
        </w:rPr>
        <w:footnoteRef/>
      </w:r>
      <w:r>
        <w:tab/>
        <w:t>Информации добиени од засегнатите страни во медиумскиот сектор во контекст на посетата на Северна Македонија. Види исто така: Safejournalists.net (2023), Северна Македонија: Индикатори за степенот на слободата на медиумите и безбедноста на новинарите во 2022 година. „Новинарите и медиумските работници велат дека најголем проблем е фактот што сопствениците на медиумите имаат друга основна дејност, а тоа не е медиумска работа. Најчесто зад медиумот стојат други фирми, кои пак се обврзани со тендери со министерства и институции и од тој аспект има табу теми за одредени медиуми.</w:t>
      </w:r>
    </w:p>
  </w:footnote>
  <w:footnote w:id="146">
    <w:p w14:paraId="39B8F89D" w14:textId="11FB5630" w:rsidR="008D523D" w:rsidRDefault="008D523D" w:rsidP="00624540">
      <w:pPr>
        <w:pStyle w:val="Footnote0"/>
        <w:tabs>
          <w:tab w:val="left" w:pos="284"/>
        </w:tabs>
        <w:ind w:left="0" w:firstLine="0"/>
        <w:jc w:val="both"/>
      </w:pPr>
      <w:r>
        <w:rPr>
          <w:vertAlign w:val="superscript"/>
        </w:rPr>
        <w:footnoteRef/>
      </w:r>
      <w:hyperlink r:id="rId5" w:history="1">
        <w:r>
          <w:tab/>
          <w:t>Закон за медиуми и аудиовизуелни услуги.</w:t>
        </w:r>
      </w:hyperlink>
    </w:p>
  </w:footnote>
  <w:footnote w:id="147">
    <w:p w14:paraId="08267D99" w14:textId="722634D2" w:rsidR="008D523D" w:rsidRDefault="008D523D" w:rsidP="00624540">
      <w:pPr>
        <w:pStyle w:val="Footnote0"/>
        <w:tabs>
          <w:tab w:val="left" w:pos="284"/>
        </w:tabs>
        <w:ind w:left="0" w:firstLine="0"/>
        <w:jc w:val="both"/>
      </w:pPr>
      <w:r>
        <w:rPr>
          <w:vertAlign w:val="superscript"/>
        </w:rPr>
        <w:footnoteRef/>
      </w:r>
      <w:r>
        <w:tab/>
        <w:t>Директива за аудиовизуелни медиумски услуги (ЕУ) 2018/1808.</w:t>
      </w:r>
    </w:p>
  </w:footnote>
  <w:footnote w:id="148">
    <w:p w14:paraId="47AD12E6" w14:textId="3EC53DC5" w:rsidR="008D523D" w:rsidRDefault="008D523D" w:rsidP="00624540">
      <w:pPr>
        <w:pStyle w:val="Footnote0"/>
        <w:tabs>
          <w:tab w:val="left" w:pos="284"/>
        </w:tabs>
        <w:ind w:left="0" w:firstLine="0"/>
        <w:jc w:val="both"/>
      </w:pPr>
      <w:r>
        <w:rPr>
          <w:vertAlign w:val="superscript"/>
        </w:rPr>
        <w:footnoteRef/>
      </w:r>
      <w:r>
        <w:tab/>
        <w:t>Таканаречената постапка „ЕУ-знаменце“, види ги деталите подолу, стр.22.</w:t>
      </w:r>
    </w:p>
  </w:footnote>
  <w:footnote w:id="149">
    <w:p w14:paraId="55BAE3DC" w14:textId="2FDF948C" w:rsidR="008D523D" w:rsidRDefault="008D523D" w:rsidP="004108FE">
      <w:pPr>
        <w:pStyle w:val="Footnote0"/>
        <w:jc w:val="both"/>
      </w:pPr>
      <w:r>
        <w:rPr>
          <w:vertAlign w:val="superscript"/>
        </w:rPr>
        <w:footnoteRef/>
      </w:r>
      <w:r>
        <w:tab/>
        <w:t>Првиот човек на медиумскиот регулатор, Агенцијата за аудио и аудиовизуелни медиумски услуги (АВМУ) и претседателот на Државната комисија за спречување на корупцијата ја споделија загриженоста јавно, види го извештајот од Призма (2024), Ризик од злоупотреба со парите за изборни реклами. Види исто така Комуникација за политиката на проширување на ЕУ од 2023 година, Извештај за Северна Македонија.</w:t>
      </w:r>
    </w:p>
  </w:footnote>
  <w:footnote w:id="150">
    <w:p w14:paraId="7DC454BF" w14:textId="2F527A81" w:rsidR="008D523D" w:rsidRDefault="008D523D" w:rsidP="00DA5CB7">
      <w:pPr>
        <w:pStyle w:val="Footnote0"/>
        <w:ind w:left="284" w:hanging="284"/>
        <w:jc w:val="both"/>
      </w:pPr>
      <w:r>
        <w:rPr>
          <w:vertAlign w:val="superscript"/>
        </w:rPr>
        <w:footnoteRef/>
      </w:r>
      <w:r>
        <w:tab/>
        <w:t xml:space="preserve">Информации добиени од </w:t>
      </w:r>
      <w:r>
        <w:rPr>
          <w:b/>
          <w:bCs/>
        </w:rPr>
        <w:t>Агенцијата за аудио и аудиовизуелни медиуми и од</w:t>
      </w:r>
      <w:r>
        <w:t xml:space="preserve"> </w:t>
      </w:r>
      <w:r>
        <w:rPr>
          <w:i/>
          <w:iCs/>
        </w:rPr>
        <w:t>Здружението на новинарите на Македонија</w:t>
      </w:r>
      <w:r>
        <w:t xml:space="preserve"> во контекст на посетата на Северна Македонија. Види исто така Монитор на Медиумскиот плурализам за 2024 година, извештај за Северна Македонија, стр. 34-35, 37.</w:t>
      </w:r>
    </w:p>
  </w:footnote>
  <w:footnote w:id="151">
    <w:p w14:paraId="6FF41DD1" w14:textId="0A3270D2" w:rsidR="008D523D" w:rsidRDefault="008D523D" w:rsidP="00F43D9E">
      <w:pPr>
        <w:pStyle w:val="Footnote0"/>
        <w:tabs>
          <w:tab w:val="left" w:pos="284"/>
        </w:tabs>
        <w:ind w:left="0" w:firstLine="0"/>
        <w:jc w:val="both"/>
      </w:pPr>
      <w:r>
        <w:rPr>
          <w:vertAlign w:val="superscript"/>
        </w:rPr>
        <w:footnoteRef/>
      </w:r>
      <w:r>
        <w:tab/>
        <w:t>Idem.</w:t>
      </w:r>
    </w:p>
  </w:footnote>
  <w:footnote w:id="152">
    <w:p w14:paraId="0328D3A4" w14:textId="4C1EE67B" w:rsidR="008D523D" w:rsidRDefault="008D523D" w:rsidP="004108FE">
      <w:pPr>
        <w:pStyle w:val="Footnote0"/>
        <w:jc w:val="both"/>
      </w:pPr>
      <w:r>
        <w:rPr>
          <w:vertAlign w:val="superscript"/>
        </w:rPr>
        <w:footnoteRef/>
      </w:r>
      <w:r>
        <w:tab/>
        <w:t>Медиум основан од Балканската мрежа за истражувачко новинарство. Види: Призма (2024), Медиумски реформи: На десно, во круг и назад.</w:t>
      </w:r>
    </w:p>
  </w:footnote>
  <w:footnote w:id="153">
    <w:p w14:paraId="504BDFAB" w14:textId="587CCD61" w:rsidR="008D523D" w:rsidRDefault="008D523D" w:rsidP="00F43D9E">
      <w:pPr>
        <w:pStyle w:val="Footnote0"/>
        <w:tabs>
          <w:tab w:val="left" w:pos="284"/>
        </w:tabs>
        <w:ind w:left="0" w:firstLine="0"/>
        <w:jc w:val="both"/>
      </w:pPr>
      <w:r>
        <w:rPr>
          <w:vertAlign w:val="superscript"/>
        </w:rPr>
        <w:footnoteRef/>
      </w:r>
      <w:hyperlink r:id="rId6" w:history="1">
        <w:r>
          <w:tab/>
          <w:t>Закон за медиуми и аудиовизуелни услуги.</w:t>
        </w:r>
      </w:hyperlink>
    </w:p>
  </w:footnote>
  <w:footnote w:id="154">
    <w:p w14:paraId="09D07998" w14:textId="46DFF421" w:rsidR="008D523D" w:rsidRDefault="008D523D" w:rsidP="004108FE">
      <w:pPr>
        <w:pStyle w:val="Footnote0"/>
        <w:jc w:val="both"/>
      </w:pPr>
      <w:r>
        <w:rPr>
          <w:vertAlign w:val="superscript"/>
        </w:rPr>
        <w:footnoteRef/>
      </w:r>
      <w:r>
        <w:tab/>
        <w:t>МРТ 1 - канал на македонски јазик; МРТ 2 - канал на албански јазик; МРТ 3 - канал што емитува спорт и забава; МРТ 4 - канал на јазиците на другите малцинства (како турски, српски, ромски, влашки и босански); МРТ 5 - канал за деца; МРТ Собраниски Канал - ги пренесува активностите на Собранието на Северна Македонија.</w:t>
      </w:r>
    </w:p>
  </w:footnote>
  <w:footnote w:id="155">
    <w:p w14:paraId="1DD577DD" w14:textId="53F5B76D" w:rsidR="008D523D" w:rsidRDefault="008D523D" w:rsidP="004108FE">
      <w:pPr>
        <w:pStyle w:val="Footnote0"/>
        <w:jc w:val="both"/>
      </w:pPr>
      <w:r>
        <w:rPr>
          <w:vertAlign w:val="superscript"/>
        </w:rPr>
        <w:footnoteRef/>
      </w:r>
      <w:r>
        <w:tab/>
        <w:t>Монитор на Медиумскиот плурализам за 2024 година, извештај за Северна Македонија, стр. 18 и 20. ММП 2024 нагласува „клиент</w:t>
      </w:r>
      <w:r w:rsidR="00365112">
        <w:t>ел</w:t>
      </w:r>
      <w:r>
        <w:t>истички практики меѓу политичките партии на власт и најголемите аудиовизуелни медиуми, кои ги изложуваат ранливостите за потенцијална политичка контрола врз овие медиуми“.</w:t>
      </w:r>
    </w:p>
  </w:footnote>
  <w:footnote w:id="156">
    <w:p w14:paraId="2164233E" w14:textId="1E49E37B" w:rsidR="008D523D" w:rsidRDefault="008D523D" w:rsidP="00DA5CB7">
      <w:pPr>
        <w:pStyle w:val="Footnote0"/>
        <w:ind w:left="284" w:hanging="284"/>
        <w:jc w:val="both"/>
      </w:pPr>
      <w:r>
        <w:rPr>
          <w:vertAlign w:val="superscript"/>
        </w:rPr>
        <w:footnoteRef/>
      </w:r>
      <w:r>
        <w:tab/>
        <w:t>Idem; Законот за аудио и аудиовизуелни медиумски услуги; Член 108 - Именување членови на Програмскиот совет на МРТ. Собранието на Република Северна Македонија ги именува членовите на Програмскиот совет на МРТ со двотретинско мнозинство гласови од вкупниот број пратеници, со што се обезбедува да има мнозинство гласови од вкупниот број пратеници кои припаѓаат на заедниците кои не се мнозинство.</w:t>
      </w:r>
    </w:p>
  </w:footnote>
  <w:footnote w:id="157">
    <w:p w14:paraId="19A8BFB7" w14:textId="3AA24C5B" w:rsidR="008D523D" w:rsidRDefault="008D523D" w:rsidP="00DA5CB7">
      <w:pPr>
        <w:pStyle w:val="Footnote0"/>
        <w:tabs>
          <w:tab w:val="left" w:pos="284"/>
          <w:tab w:val="left" w:pos="720"/>
          <w:tab w:val="center" w:pos="3965"/>
          <w:tab w:val="left" w:pos="4248"/>
          <w:tab w:val="left" w:pos="4776"/>
          <w:tab w:val="right" w:pos="6370"/>
          <w:tab w:val="left" w:pos="6403"/>
          <w:tab w:val="center" w:pos="6946"/>
          <w:tab w:val="center" w:pos="7243"/>
          <w:tab w:val="right" w:pos="7714"/>
        </w:tabs>
        <w:ind w:left="284" w:hanging="284"/>
        <w:jc w:val="both"/>
      </w:pPr>
      <w:r>
        <w:rPr>
          <w:vertAlign w:val="superscript"/>
        </w:rPr>
        <w:footnoteRef/>
      </w:r>
      <w:r>
        <w:tab/>
        <w:t>Комуникација за политиката на проширување на ЕУ од 2023 година, Извештај за Северна Македонија,</w:t>
      </w:r>
      <w:r>
        <w:rPr>
          <w:lang w:val="en-US"/>
        </w:rPr>
        <w:t xml:space="preserve"> </w:t>
      </w:r>
      <w:r>
        <w:t>стр. 6,</w:t>
      </w:r>
      <w:r>
        <w:rPr>
          <w:lang w:val="en-US"/>
        </w:rPr>
        <w:t xml:space="preserve"> </w:t>
      </w:r>
      <w:r>
        <w:t>29 и 30.</w:t>
      </w:r>
    </w:p>
  </w:footnote>
  <w:footnote w:id="158">
    <w:p w14:paraId="79CFA02D" w14:textId="77777777" w:rsidR="008D523D" w:rsidRDefault="008D523D" w:rsidP="004108FE">
      <w:pPr>
        <w:pStyle w:val="Footnote0"/>
        <w:tabs>
          <w:tab w:val="left" w:pos="312"/>
          <w:tab w:val="left" w:pos="720"/>
          <w:tab w:val="center" w:pos="3965"/>
          <w:tab w:val="left" w:pos="4248"/>
          <w:tab w:val="left" w:pos="4776"/>
          <w:tab w:val="right" w:pos="6326"/>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w:t>
      </w:r>
    </w:p>
  </w:footnote>
  <w:footnote w:id="159">
    <w:p w14:paraId="2D40D03D" w14:textId="77777777" w:rsidR="008D523D" w:rsidRDefault="008D523D" w:rsidP="004108FE">
      <w:pPr>
        <w:pStyle w:val="Footnote0"/>
        <w:tabs>
          <w:tab w:val="left" w:pos="312"/>
          <w:tab w:val="left" w:pos="720"/>
          <w:tab w:val="center" w:pos="3965"/>
          <w:tab w:val="left" w:pos="4248"/>
          <w:tab w:val="left" w:pos="4776"/>
          <w:tab w:val="right" w:pos="6326"/>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w:t>
      </w:r>
    </w:p>
  </w:footnote>
  <w:footnote w:id="160">
    <w:p w14:paraId="2A819199" w14:textId="77777777" w:rsidR="008D523D" w:rsidRDefault="008D523D" w:rsidP="00850B31">
      <w:pPr>
        <w:pStyle w:val="Footnote0"/>
        <w:tabs>
          <w:tab w:val="left" w:pos="284"/>
          <w:tab w:val="left" w:pos="6403"/>
          <w:tab w:val="center" w:pos="7075"/>
          <w:tab w:val="center" w:pos="7416"/>
        </w:tabs>
        <w:ind w:left="0" w:firstLine="0"/>
        <w:jc w:val="both"/>
      </w:pPr>
      <w:r>
        <w:rPr>
          <w:vertAlign w:val="superscript"/>
        </w:rPr>
        <w:footnoteRef/>
      </w:r>
      <w:r>
        <w:tab/>
        <w:t>Членови 4, 12 и 21 од Законот за слободен пристап до информации од јавен карактер (Службен весник бр. 101/19).</w:t>
      </w:r>
    </w:p>
  </w:footnote>
  <w:footnote w:id="161">
    <w:p w14:paraId="47BB6177" w14:textId="13F512BC" w:rsidR="008D523D" w:rsidRDefault="008D523D" w:rsidP="004108FE">
      <w:pPr>
        <w:pStyle w:val="Footnote0"/>
        <w:tabs>
          <w:tab w:val="left" w:pos="312"/>
          <w:tab w:val="left" w:pos="720"/>
          <w:tab w:val="center" w:pos="3965"/>
          <w:tab w:val="left" w:pos="4248"/>
          <w:tab w:val="left" w:pos="4776"/>
          <w:tab w:val="right" w:pos="6370"/>
          <w:tab w:val="left" w:pos="6403"/>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 стр. 16.</w:t>
      </w:r>
    </w:p>
  </w:footnote>
  <w:footnote w:id="162">
    <w:p w14:paraId="7A96E59F" w14:textId="13A8B915" w:rsidR="008D523D" w:rsidRDefault="008D523D" w:rsidP="00F43D9E">
      <w:pPr>
        <w:pStyle w:val="Footnote0"/>
        <w:tabs>
          <w:tab w:val="left" w:pos="284"/>
        </w:tabs>
        <w:ind w:left="0" w:firstLine="0"/>
        <w:jc w:val="both"/>
      </w:pPr>
      <w:r>
        <w:rPr>
          <w:vertAlign w:val="superscript"/>
        </w:rPr>
        <w:footnoteRef/>
      </w:r>
      <w:r>
        <w:tab/>
        <w:t>Скрининг-извештај за Северна Македонија за 2023 година, Кластер 1 - Фундаментални вредности.</w:t>
      </w:r>
    </w:p>
  </w:footnote>
  <w:footnote w:id="163">
    <w:p w14:paraId="09F40B56" w14:textId="4AD11479" w:rsidR="008D523D" w:rsidRDefault="008D523D" w:rsidP="004108FE">
      <w:pPr>
        <w:pStyle w:val="Footnote0"/>
        <w:jc w:val="both"/>
      </w:pPr>
      <w:r>
        <w:rPr>
          <w:vertAlign w:val="superscript"/>
        </w:rPr>
        <w:footnoteRef/>
      </w:r>
      <w:r>
        <w:tab/>
        <w:t>Информации добиени од засегнатите страни во медиумскиот сектор во контекст на посетата на Северна Македонија.</w:t>
      </w:r>
    </w:p>
  </w:footnote>
  <w:footnote w:id="164">
    <w:p w14:paraId="72639E68" w14:textId="520B487D" w:rsidR="008D523D" w:rsidRDefault="008D523D" w:rsidP="00F43D9E">
      <w:pPr>
        <w:pStyle w:val="Footnote0"/>
        <w:tabs>
          <w:tab w:val="left" w:pos="284"/>
        </w:tabs>
        <w:ind w:left="0" w:firstLine="0"/>
        <w:jc w:val="both"/>
      </w:pPr>
      <w:r>
        <w:rPr>
          <w:vertAlign w:val="superscript"/>
        </w:rPr>
        <w:footnoteRef/>
      </w:r>
      <w:r>
        <w:tab/>
        <w:t>Монитор на Медиумскиот плурализам за 2024 година, извештај за Северна Македонија, стр. 13.</w:t>
      </w:r>
    </w:p>
  </w:footnote>
  <w:footnote w:id="165">
    <w:p w14:paraId="72C0F683" w14:textId="15E8B7C8" w:rsidR="008D523D" w:rsidRDefault="008D523D" w:rsidP="00F43D9E">
      <w:pPr>
        <w:pStyle w:val="Footnote0"/>
        <w:tabs>
          <w:tab w:val="left" w:pos="284"/>
        </w:tabs>
        <w:ind w:left="0" w:firstLine="0"/>
        <w:jc w:val="both"/>
      </w:pPr>
      <w:r>
        <w:rPr>
          <w:vertAlign w:val="superscript"/>
        </w:rPr>
        <w:footnoteRef/>
      </w:r>
      <w:r>
        <w:tab/>
        <w:t>Службен весник 188/2023.</w:t>
      </w:r>
    </w:p>
  </w:footnote>
  <w:footnote w:id="166">
    <w:p w14:paraId="6FBDEDCF" w14:textId="1BDF3B5D" w:rsidR="008D523D" w:rsidRDefault="008D523D" w:rsidP="00F43D9E">
      <w:pPr>
        <w:pStyle w:val="Footnote0"/>
        <w:tabs>
          <w:tab w:val="left" w:pos="284"/>
        </w:tabs>
        <w:ind w:left="0" w:firstLine="0"/>
        <w:jc w:val="both"/>
      </w:pPr>
      <w:r>
        <w:rPr>
          <w:vertAlign w:val="superscript"/>
        </w:rPr>
        <w:footnoteRef/>
      </w:r>
      <w:r>
        <w:tab/>
        <w:t>Придонес од Северна Македонија за Извештајот за владеењето на правото за 2024 година, стр. 25.</w:t>
      </w:r>
    </w:p>
  </w:footnote>
  <w:footnote w:id="167">
    <w:p w14:paraId="6458FF87" w14:textId="5DF5321B" w:rsidR="008D523D" w:rsidRDefault="008D523D" w:rsidP="00F43D9E">
      <w:pPr>
        <w:pStyle w:val="Footnote0"/>
        <w:tabs>
          <w:tab w:val="left" w:pos="284"/>
        </w:tabs>
        <w:ind w:left="0" w:firstLine="0"/>
        <w:jc w:val="both"/>
      </w:pPr>
      <w:r>
        <w:rPr>
          <w:vertAlign w:val="superscript"/>
        </w:rPr>
        <w:footnoteRef/>
      </w:r>
      <w:r>
        <w:tab/>
        <w:t>Комуникација за политиката на проширување на ЕУ од 2023 година, Извештај за Северна Македонија.</w:t>
      </w:r>
    </w:p>
  </w:footnote>
  <w:footnote w:id="168">
    <w:p w14:paraId="454FDC72" w14:textId="22900F0D" w:rsidR="008D523D" w:rsidRDefault="008D523D" w:rsidP="00861785">
      <w:pPr>
        <w:pStyle w:val="Footnote0"/>
        <w:jc w:val="both"/>
      </w:pPr>
      <w:r>
        <w:rPr>
          <w:vertAlign w:val="superscript"/>
        </w:rPr>
        <w:footnoteRef/>
      </w:r>
      <w:r>
        <w:tab/>
        <w:t>Според надлежните, во 2023 година во четири случаи постапката е целосно спроведена и изречена е пресуда против сторителите на делата, а останатите три се во фаза на предистражна постапка. Придонес од Северна Македонија за Извештајот за владеењето на правото за 2024 година, стр. 25.</w:t>
      </w:r>
    </w:p>
  </w:footnote>
  <w:footnote w:id="169">
    <w:p w14:paraId="23C8EBAA" w14:textId="0B9E2604" w:rsidR="008D523D" w:rsidRDefault="008D523D" w:rsidP="00861785">
      <w:pPr>
        <w:pStyle w:val="Footnote0"/>
        <w:jc w:val="both"/>
      </w:pPr>
      <w:r>
        <w:rPr>
          <w:vertAlign w:val="superscript"/>
        </w:rPr>
        <w:footnoteRef/>
      </w:r>
      <w:r>
        <w:tab/>
      </w:r>
      <w:r>
        <w:rPr>
          <w:i/>
          <w:iCs/>
        </w:rPr>
        <w:t>Здружение на новинари на Македонија</w:t>
      </w:r>
      <w:r>
        <w:t xml:space="preserve"> (2023), Слобода на медиумите во Северна Македонија: Извештај од Мисијата за слободата на медиумите: напредок на стаклени нозе, стр. 10.</w:t>
      </w:r>
    </w:p>
  </w:footnote>
  <w:footnote w:id="170">
    <w:p w14:paraId="6E05A1F6" w14:textId="4D251515" w:rsidR="008D523D" w:rsidRDefault="008D523D" w:rsidP="00861785">
      <w:pPr>
        <w:pStyle w:val="Footnote0"/>
        <w:jc w:val="both"/>
      </w:pPr>
      <w:r>
        <w:rPr>
          <w:vertAlign w:val="superscript"/>
        </w:rPr>
        <w:footnoteRef/>
      </w:r>
      <w:r>
        <w:tab/>
        <w:t xml:space="preserve">Скрининг-извештај за Северна Македонија за 2023 година, Кластер 1 </w:t>
      </w:r>
      <w:r w:rsidRPr="005A5DF7">
        <w:t>–</w:t>
      </w:r>
      <w:r>
        <w:t xml:space="preserve"> Фундаментални вредности; Монитор на Медиумскиот плурализам за 2024 година, извештај за Северна Македонија, стр. 13.</w:t>
      </w:r>
    </w:p>
  </w:footnote>
  <w:footnote w:id="171">
    <w:p w14:paraId="692345F6" w14:textId="22A6B839" w:rsidR="008D523D" w:rsidRDefault="008D523D" w:rsidP="00861785">
      <w:pPr>
        <w:pStyle w:val="Footnote0"/>
        <w:jc w:val="both"/>
      </w:pPr>
      <w:r>
        <w:rPr>
          <w:vertAlign w:val="superscript"/>
        </w:rPr>
        <w:footnoteRef/>
      </w:r>
      <w:r>
        <w:tab/>
        <w:t xml:space="preserve">Една значајна пресуда за клевета широко окарактеризирана како СЛАПП предмет беше регистрирана во врска со истражувачки новинари на непрофитна медиумска организација. Види: </w:t>
      </w:r>
      <w:r>
        <w:rPr>
          <w:i/>
          <w:iCs/>
        </w:rPr>
        <w:t>Здружение на новинари на Македонија</w:t>
      </w:r>
      <w:r>
        <w:t xml:space="preserve"> (2023), Како да се осигури поефикасна заштита од стратешки тужби против јавното дејствување (СЛАПП)?, Монитор на Медиумскиот плурализам за 2024 година, извештај за Северна Македонија, стр. 12, 28, Брз одговор за медиумска слобода (2023), Судијата препорачува затворање на истражниот медиум Истражувачката репортерска лабораторија (ИРЛ) и Брз одговор за медиумска слобода (2023), судијката Јованка Спировска Панева пресуди против ИРЛ во случајот за клевета.</w:t>
      </w:r>
    </w:p>
  </w:footnote>
  <w:footnote w:id="172">
    <w:p w14:paraId="093FE847" w14:textId="70F62444" w:rsidR="008D523D" w:rsidRDefault="008D523D" w:rsidP="00861785">
      <w:pPr>
        <w:pStyle w:val="Footnote0"/>
        <w:jc w:val="both"/>
      </w:pPr>
      <w:r>
        <w:rPr>
          <w:vertAlign w:val="superscript"/>
        </w:rPr>
        <w:footnoteRef/>
      </w:r>
      <w:r>
        <w:tab/>
        <w:t>Од јули 2023 година, платформата за мапирање медиумски слободи на Европскиот центар за слобода на печатот и медиумите регистрираше шест инциденти кои вклучуваат заплашување/заканување или повреда (физички напад што резултира со повреда). Случаи на онлајн и офлајн вознемирување и вербални напади, особено на социјалните медиуми и зголемени врз новинарки беа забележани и од Европскиот граѓански форум (2024), Извештај за заштита на граѓанскиот простор за 2024 - Западен Балкан (Балканска мрежа за развој на граѓанското општество), стр. 337- 338.</w:t>
      </w:r>
    </w:p>
  </w:footnote>
  <w:footnote w:id="173">
    <w:p w14:paraId="73BEB392" w14:textId="2DDA426F" w:rsidR="008D523D" w:rsidRDefault="008D523D" w:rsidP="00861785">
      <w:pPr>
        <w:pStyle w:val="Footnote0"/>
        <w:jc w:val="both"/>
      </w:pPr>
      <w:r>
        <w:rPr>
          <w:vertAlign w:val="superscript"/>
        </w:rPr>
        <w:footnoteRef/>
      </w:r>
      <w:r>
        <w:tab/>
        <w:t>Комуникација за политиката за проширување на ЕУ за 2023 година, Извештај за Северна Македонија; Монитор на Медиумскиот плурализам за 2024 година, извештај за Северна Македонија, стр. 13.</w:t>
      </w:r>
    </w:p>
  </w:footnote>
  <w:footnote w:id="174">
    <w:p w14:paraId="75FBE8B0" w14:textId="29336E5F" w:rsidR="008D523D" w:rsidRDefault="008D523D" w:rsidP="00E43C50">
      <w:pPr>
        <w:pStyle w:val="Footnote0"/>
        <w:tabs>
          <w:tab w:val="left" w:pos="284"/>
        </w:tabs>
        <w:ind w:left="0" w:firstLine="0"/>
        <w:jc w:val="both"/>
      </w:pPr>
      <w:r>
        <w:rPr>
          <w:vertAlign w:val="superscript"/>
        </w:rPr>
        <w:footnoteRef/>
      </w:r>
      <w:r>
        <w:tab/>
        <w:t>Монитор на Медиумскиот плурализам за 2024 година, извештај за Северна Македонија, стр. 13.</w:t>
      </w:r>
    </w:p>
  </w:footnote>
  <w:footnote w:id="175">
    <w:p w14:paraId="5C1AA37E" w14:textId="351E0861" w:rsidR="008D523D" w:rsidRDefault="008D523D" w:rsidP="00E43C50">
      <w:pPr>
        <w:pStyle w:val="Footnote0"/>
        <w:tabs>
          <w:tab w:val="left" w:pos="284"/>
        </w:tabs>
        <w:ind w:left="0" w:firstLine="0"/>
        <w:jc w:val="both"/>
      </w:pPr>
      <w:r>
        <w:rPr>
          <w:vertAlign w:val="superscript"/>
        </w:rPr>
        <w:footnoteRef/>
      </w:r>
      <w:r>
        <w:tab/>
        <w:t>Меѓу другото, парламентот ги назначува судиите на Уставниот суд и Народниот правобранител.</w:t>
      </w:r>
    </w:p>
  </w:footnote>
  <w:footnote w:id="176">
    <w:p w14:paraId="04FF06D9" w14:textId="5C345138" w:rsidR="008D523D" w:rsidRDefault="008D523D" w:rsidP="00861785">
      <w:pPr>
        <w:pStyle w:val="Footnote0"/>
        <w:jc w:val="both"/>
      </w:pPr>
      <w:r>
        <w:rPr>
          <w:vertAlign w:val="superscript"/>
        </w:rPr>
        <w:footnoteRef/>
      </w:r>
      <w:r>
        <w:tab/>
        <w:t>Функционирањето и надлежностите се дефинирани во Поглавје III од Уставот, односно членовите 88, 89, Измената XXIII, 90, 91, 92, 93, 94, 95, 96 и 97.</w:t>
      </w:r>
    </w:p>
  </w:footnote>
  <w:footnote w:id="177">
    <w:p w14:paraId="46B65FCA" w14:textId="5E1CC555" w:rsidR="008D523D" w:rsidRDefault="008D523D" w:rsidP="00E43C50">
      <w:pPr>
        <w:pStyle w:val="Footnote0"/>
        <w:tabs>
          <w:tab w:val="left" w:pos="284"/>
        </w:tabs>
        <w:ind w:left="0" w:firstLine="0"/>
        <w:jc w:val="both"/>
      </w:pPr>
      <w:r>
        <w:rPr>
          <w:vertAlign w:val="superscript"/>
        </w:rPr>
        <w:footnoteRef/>
      </w:r>
      <w:r>
        <w:tab/>
        <w:t>Улогата и мандатот на претседателот се дефинирани во членовите 79, 80 и 84 од Уставот.</w:t>
      </w:r>
    </w:p>
  </w:footnote>
  <w:footnote w:id="178">
    <w:p w14:paraId="5D85A19F" w14:textId="10CB2E9D" w:rsidR="008D523D" w:rsidRDefault="008D523D" w:rsidP="00E43C50">
      <w:pPr>
        <w:pStyle w:val="Footnote0"/>
        <w:tabs>
          <w:tab w:val="left" w:pos="284"/>
        </w:tabs>
        <w:ind w:left="0" w:firstLine="0"/>
        <w:jc w:val="both"/>
      </w:pPr>
      <w:r>
        <w:rPr>
          <w:vertAlign w:val="superscript"/>
        </w:rPr>
        <w:footnoteRef/>
      </w:r>
      <w:r>
        <w:tab/>
        <w:t>Член 75 од Уставот.</w:t>
      </w:r>
    </w:p>
  </w:footnote>
  <w:footnote w:id="179">
    <w:p w14:paraId="6A963769" w14:textId="5DC8039E" w:rsidR="008D523D" w:rsidRDefault="008D523D" w:rsidP="00E43C50">
      <w:pPr>
        <w:pStyle w:val="Footnote0"/>
        <w:tabs>
          <w:tab w:val="left" w:pos="284"/>
        </w:tabs>
        <w:ind w:left="0" w:firstLine="0"/>
        <w:jc w:val="both"/>
      </w:pPr>
      <w:r>
        <w:rPr>
          <w:vertAlign w:val="superscript"/>
        </w:rPr>
        <w:footnoteRef/>
      </w:r>
      <w:r>
        <w:tab/>
        <w:t>Членови 108 и 110 од Уставот.</w:t>
      </w:r>
    </w:p>
  </w:footnote>
  <w:footnote w:id="180">
    <w:p w14:paraId="1FD8B181" w14:textId="5D3FA248" w:rsidR="008D523D" w:rsidRDefault="008D523D" w:rsidP="00861785">
      <w:pPr>
        <w:pStyle w:val="Footnote0"/>
        <w:jc w:val="both"/>
      </w:pPr>
      <w:r>
        <w:rPr>
          <w:vertAlign w:val="superscript"/>
        </w:rPr>
        <w:footnoteRef/>
      </w:r>
      <w:r>
        <w:tab/>
        <w:t>Народниот правобранител е акредитиран со статус Б од Глобалната алијанса на национални институции за човекови права (2023), Графикон на статусот на националните институции - Статус на акредитација од 2011 година.</w:t>
      </w:r>
    </w:p>
  </w:footnote>
  <w:footnote w:id="181">
    <w:p w14:paraId="571E6D17" w14:textId="6D4194D9" w:rsidR="008D523D" w:rsidRDefault="008D523D" w:rsidP="00861785">
      <w:pPr>
        <w:pStyle w:val="Footnote0"/>
        <w:jc w:val="both"/>
      </w:pPr>
      <w:r>
        <w:rPr>
          <w:vertAlign w:val="superscript"/>
        </w:rPr>
        <w:footnoteRef/>
      </w:r>
      <w:r>
        <w:tab/>
        <w:t>Уставниот суд сега е во полн состав по именувањата во февруари 2024 година. Назначени се шест заменици народни правобранители.</w:t>
      </w:r>
    </w:p>
  </w:footnote>
  <w:footnote w:id="182">
    <w:p w14:paraId="454BF348" w14:textId="07F829DE" w:rsidR="008D523D" w:rsidRDefault="008D523D" w:rsidP="00861785">
      <w:pPr>
        <w:pStyle w:val="Footnote0"/>
        <w:jc w:val="both"/>
      </w:pPr>
      <w:r>
        <w:rPr>
          <w:vertAlign w:val="superscript"/>
        </w:rPr>
        <w:footnoteRef/>
      </w:r>
      <w:r>
        <w:tab/>
        <w:t>Постојат различни видови законодавни постапки: редовна, итна, скратена и „ЕУ-знаменце“. Итните постапки се наменети за донесување закони за време на кризи, додека скратената постапка е наменета за помалку сложени предлог-закони, престанок на важење на закон или негови одредби или за помали интервенции за усогласување со правото на ЕУ. Постапката „ЕУ-знаменце“ се користи за актите со кои се транспонира правото на ЕУ во националното право и со нив се занимава Комисијата за европски прашања во Парламентот наместо инаку надлежната парламентарна комисија. Член 79.2, 135.5, од 171-а до 171-г од Деловникот за работа. Од јануари 2022 година до 15 јуни 2023 година донесени се 51 закон по редовна, а 86 по скратена постапка, со зголемување на односот на скратените постапки од 38 % на 58 %. Види исто така: Комуникација за политиката за проширување на ЕУ за 2023 година, Извештај за Северна Македонија.</w:t>
      </w:r>
    </w:p>
  </w:footnote>
  <w:footnote w:id="183">
    <w:p w14:paraId="0DC0E887" w14:textId="566AE5D1" w:rsidR="008D523D" w:rsidRDefault="008D523D" w:rsidP="00861785">
      <w:pPr>
        <w:pStyle w:val="Footnote0"/>
        <w:jc w:val="both"/>
      </w:pPr>
      <w:r>
        <w:rPr>
          <w:vertAlign w:val="superscript"/>
        </w:rPr>
        <w:footnoteRef/>
      </w:r>
      <w:r>
        <w:tab/>
        <w:t>Постапката „ЕУ-знаменце“ беше несоодветно искористена за измена на Кривичниот законик, воведување пониски казни за корупција и за измена на законите за работни односи, експропријација, урбанистичко планирање, градежништво и автопати. Особено во однос на измените на Кривичниот законик, поголемиот дел од измените не беа насочени кон усогласување со правото на ЕУ, а измените беа силно критикувани, вклучително и од Комисијата на ЕУ, бидејќи тие негативно влијаат на тековните случаи на корупција на високо ниво.</w:t>
      </w:r>
    </w:p>
  </w:footnote>
  <w:footnote w:id="184">
    <w:p w14:paraId="3CA52E94" w14:textId="5DFF574B" w:rsidR="008D523D" w:rsidRDefault="008D523D" w:rsidP="00861785">
      <w:pPr>
        <w:pStyle w:val="Footnote0"/>
        <w:jc w:val="both"/>
      </w:pPr>
      <w:r>
        <w:rPr>
          <w:vertAlign w:val="superscript"/>
        </w:rPr>
        <w:footnoteRef/>
      </w:r>
      <w:r>
        <w:tab/>
        <w:t>Донесен е Деловникот за работа на Собранието во ноември 2023 година (Сл. весник бр. 248/2023). Ревизиите се однесуваат на прашања поврзани со организирање конститутивна седница, поголем владин надзор, јавни расправи, собраниски календар и постапки за законите со „ЕУ-знаменце“ .</w:t>
      </w:r>
    </w:p>
  </w:footnote>
  <w:footnote w:id="185">
    <w:p w14:paraId="27F8ABB3" w14:textId="27C4C651" w:rsidR="008D523D" w:rsidRDefault="008D523D" w:rsidP="00861785">
      <w:pPr>
        <w:pStyle w:val="Footnote0"/>
        <w:jc w:val="both"/>
      </w:pPr>
      <w:r>
        <w:rPr>
          <w:vertAlign w:val="superscript"/>
        </w:rPr>
        <w:footnoteRef/>
      </w:r>
      <w:r>
        <w:tab/>
        <w:t>Единствениот национален електронски регистар на прописи (ЕНЕР) е главната алатка за консултации за законските предлози пред нивното поднесување во владина постапка, со рок од 20 дена за коментари. Северна Македонија известува дека 40 % од нацртите биле објавени на ЕНЕР. И двете бележат нагло намалување од 2018 година, кога бројката изнесуваше 86 %.</w:t>
      </w:r>
    </w:p>
  </w:footnote>
  <w:footnote w:id="186">
    <w:p w14:paraId="09DFB3E5" w14:textId="42F8E4BF" w:rsidR="008D523D" w:rsidRDefault="008D523D" w:rsidP="00F93642">
      <w:pPr>
        <w:pStyle w:val="Footnote0"/>
        <w:tabs>
          <w:tab w:val="left" w:pos="284"/>
        </w:tabs>
        <w:ind w:left="0" w:firstLine="0"/>
        <w:jc w:val="both"/>
      </w:pPr>
      <w:r>
        <w:rPr>
          <w:vertAlign w:val="superscript"/>
        </w:rPr>
        <w:footnoteRef/>
      </w:r>
      <w:r>
        <w:tab/>
        <w:t>Скрининг-извештај за Северна Македонија за 2023 година, Кластер 1 - Фундаментални вредности, стр. 25-26.</w:t>
      </w:r>
    </w:p>
  </w:footnote>
  <w:footnote w:id="187">
    <w:p w14:paraId="6604FEB4" w14:textId="616C4CA0" w:rsidR="008D523D" w:rsidRDefault="008D523D" w:rsidP="00861785">
      <w:pPr>
        <w:pStyle w:val="Footnote0"/>
        <w:jc w:val="both"/>
      </w:pPr>
      <w:r>
        <w:rPr>
          <w:vertAlign w:val="superscript"/>
        </w:rPr>
        <w:footnoteRef/>
      </w:r>
      <w:r>
        <w:tab/>
        <w:t>Информации добиени од граѓанското општество во контекст на посетата на Северна Македонија, види исто така: Комуникација за политиката на проширување на ЕУ за 2023 година, Извештај за Северна Македонија, стр. 14.</w:t>
      </w:r>
    </w:p>
  </w:footnote>
  <w:footnote w:id="188">
    <w:p w14:paraId="68AC272A" w14:textId="12C47CC8" w:rsidR="008D523D" w:rsidRDefault="008D523D" w:rsidP="00861785">
      <w:pPr>
        <w:pStyle w:val="Footnote0"/>
        <w:tabs>
          <w:tab w:val="left" w:pos="284"/>
        </w:tabs>
        <w:ind w:left="0" w:firstLine="0"/>
        <w:jc w:val="both"/>
      </w:pPr>
      <w:r>
        <w:rPr>
          <w:vertAlign w:val="superscript"/>
        </w:rPr>
        <w:footnoteRef/>
      </w:r>
      <w:r>
        <w:tab/>
        <w:t>Комуникација за политиката на проширување на ЕУ за 2023 година, Извештај за Северна Македонија, стр. 15.</w:t>
      </w:r>
    </w:p>
  </w:footnote>
  <w:footnote w:id="189">
    <w:p w14:paraId="2F67660D" w14:textId="16F3B24A" w:rsidR="008D523D" w:rsidRDefault="008D523D" w:rsidP="00861785">
      <w:pPr>
        <w:pStyle w:val="Footnote0"/>
        <w:jc w:val="both"/>
      </w:pPr>
      <w:r>
        <w:rPr>
          <w:vertAlign w:val="superscript"/>
        </w:rPr>
        <w:footnoteRef/>
      </w:r>
      <w:r>
        <w:tab/>
        <w:t>Во 2022 година, 25 % од новите закони донесени во 2020 година требаше да се изменети во рок од една година. Скрининг-извештај за Северна Македонија за 2023 година, Кластер 1 - Фундаментални вредности, стр. 25- 26.</w:t>
      </w:r>
    </w:p>
  </w:footnote>
  <w:footnote w:id="190">
    <w:p w14:paraId="2CC2DADD" w14:textId="1E0B8C1D" w:rsidR="008D523D" w:rsidRDefault="008D523D" w:rsidP="00861785">
      <w:pPr>
        <w:pStyle w:val="Footnote0"/>
        <w:jc w:val="both"/>
      </w:pPr>
      <w:r>
        <w:rPr>
          <w:vertAlign w:val="superscript"/>
        </w:rPr>
        <w:footnoteRef/>
      </w:r>
      <w:r>
        <w:tab/>
        <w:t>Донесувањето на неопходните мерки за извршување пресуда на Европскиот суд за човекови права е под надзор на Комитетот на министри на Советот на Европа. Практика на Комитетот е да групира случаи против држава која бара слични мерки за извршување, особено општи мерки, и заеднички да ги испитува. Првиот случај во групата е означен како водечки случај во однос на надзорот на општите мерки и повторливите случаи во групата може да се затворат кога ќе се оцени дека се преземени сите можни поединечни мерки потребни за да се обезбеди надомест на подносителот.</w:t>
      </w:r>
    </w:p>
  </w:footnote>
  <w:footnote w:id="191">
    <w:p w14:paraId="4A531777" w14:textId="3C0AF619" w:rsidR="008D523D" w:rsidRDefault="008D523D" w:rsidP="00861785">
      <w:pPr>
        <w:pStyle w:val="Footnote0"/>
        <w:jc w:val="both"/>
      </w:pPr>
      <w:r>
        <w:rPr>
          <w:vertAlign w:val="superscript"/>
        </w:rPr>
        <w:footnoteRef/>
      </w:r>
      <w:r>
        <w:tab/>
        <w:t>Сите цифри се пресметани од Мрежата на ЕУ за имплементација и се засноваат на бројот на предмети кои се сметаат за нерешени на годишниот пресечен датум од 1 јануари 2024 година. Види го Придонесот од Мрежата на ЕУ за имплементација за земјите во проширување за Извештајот за владеење на правото за 2024 година, стр. 2.</w:t>
      </w:r>
    </w:p>
  </w:footnote>
  <w:footnote w:id="192">
    <w:p w14:paraId="70B81F7F" w14:textId="0B8FF474" w:rsidR="008D523D" w:rsidRDefault="008D523D" w:rsidP="00861785">
      <w:pPr>
        <w:pStyle w:val="Footnote0"/>
        <w:jc w:val="both"/>
      </w:pPr>
      <w:r>
        <w:rPr>
          <w:vertAlign w:val="superscript"/>
        </w:rPr>
        <w:footnoteRef/>
      </w:r>
      <w:r>
        <w:tab/>
        <w:t xml:space="preserve">Пресуда на Европскиот суд за човекови права од 28 октомври 2010 година, </w:t>
      </w:r>
      <w:r>
        <w:rPr>
          <w:i/>
          <w:iCs/>
        </w:rPr>
        <w:t>Василкоски и други против Поранешна Југословенска Република Македонија</w:t>
      </w:r>
      <w:r>
        <w:t>, 28169/08, во очекување на спроведување од 2010 година.</w:t>
      </w:r>
    </w:p>
  </w:footnote>
  <w:footnote w:id="193">
    <w:p w14:paraId="629D4139" w14:textId="2CA1B1AD" w:rsidR="008D523D" w:rsidRDefault="008D523D" w:rsidP="00861785">
      <w:pPr>
        <w:pStyle w:val="Footnote0"/>
        <w:jc w:val="both"/>
      </w:pPr>
      <w:r>
        <w:rPr>
          <w:vertAlign w:val="superscript"/>
        </w:rPr>
        <w:footnoteRef/>
      </w:r>
      <w:r>
        <w:tab/>
        <w:t>Совет на Европа (2024), Надзор на извршувањето на пресудите и одлуките на Европскиот суд за човекови права - 17-ти годишен извештај на Комитетот на министри - 2023 година, стр. 138.</w:t>
      </w:r>
    </w:p>
  </w:footnote>
  <w:footnote w:id="194">
    <w:p w14:paraId="45DC0BBC" w14:textId="522A01C7" w:rsidR="008D523D" w:rsidRDefault="008D523D" w:rsidP="00861785">
      <w:pPr>
        <w:pStyle w:val="Footnote0"/>
        <w:tabs>
          <w:tab w:val="left" w:pos="284"/>
        </w:tabs>
        <w:ind w:left="0" w:firstLine="0"/>
        <w:jc w:val="both"/>
      </w:pPr>
      <w:r>
        <w:rPr>
          <w:vertAlign w:val="superscript"/>
        </w:rPr>
        <w:footnoteRef/>
      </w:r>
      <w:r>
        <w:tab/>
        <w:t>Податоци според онлајн базата на податоци на Советот на Европа (HUDOC).</w:t>
      </w:r>
    </w:p>
  </w:footnote>
  <w:footnote w:id="195">
    <w:p w14:paraId="25BB17F2" w14:textId="30931785" w:rsidR="008D523D" w:rsidRDefault="008D523D" w:rsidP="00861785">
      <w:pPr>
        <w:pStyle w:val="Footnote0"/>
        <w:jc w:val="both"/>
      </w:pPr>
      <w:r>
        <w:rPr>
          <w:vertAlign w:val="superscript"/>
        </w:rPr>
        <w:footnoteRef/>
      </w:r>
      <w:r>
        <w:tab/>
        <w:t>Мандатот на Народниот правобранител ги опфаќа Националниот превентивен механизам, Механизмот за граѓанска контрола, Националниот известувач за борба против трговија со луѓе и илегална миграција и Механизмот за следење на спроведувањето на Конвенцијата на Обединетите нации за правата на лицата со попреченост. Службен весник бр. 52/1991 (и подоцнежни измени) и Службен весник бр. 60/2003 од 10.9.2003 година.</w:t>
      </w:r>
    </w:p>
  </w:footnote>
  <w:footnote w:id="196">
    <w:p w14:paraId="2B9D3EEA" w14:textId="15FA1632" w:rsidR="008D523D" w:rsidRDefault="008D523D" w:rsidP="00861785">
      <w:pPr>
        <w:pStyle w:val="Footnote0"/>
        <w:tabs>
          <w:tab w:val="center" w:pos="3178"/>
          <w:tab w:val="left" w:pos="5002"/>
          <w:tab w:val="right" w:pos="8650"/>
          <w:tab w:val="right" w:pos="9010"/>
        </w:tabs>
        <w:ind w:left="284" w:hanging="284"/>
        <w:jc w:val="both"/>
      </w:pPr>
      <w:r>
        <w:rPr>
          <w:vertAlign w:val="superscript"/>
        </w:rPr>
        <w:footnoteRef/>
      </w:r>
      <w:r>
        <w:tab/>
        <w:t>Информации добиени од Канцеларијата на Народниот правобранител во контекст на посетата на Северна Македонија. Види исто така Годишен извештај на Канцеларијата на Народниот правобранител (2023). Комуникација за политиката за проширување на ЕУ за 2023 година, Извештај за Северна Македонија. Стр. 35.</w:t>
      </w:r>
    </w:p>
  </w:footnote>
  <w:footnote w:id="197">
    <w:p w14:paraId="005303EE" w14:textId="1BD6E9A1" w:rsidR="008D523D" w:rsidRDefault="008D523D" w:rsidP="00861785">
      <w:pPr>
        <w:pStyle w:val="Footnote0"/>
        <w:tabs>
          <w:tab w:val="left" w:pos="302"/>
          <w:tab w:val="center" w:pos="3178"/>
          <w:tab w:val="left" w:pos="5002"/>
          <w:tab w:val="right" w:pos="9000"/>
        </w:tabs>
        <w:ind w:left="284" w:hanging="284"/>
        <w:jc w:val="both"/>
      </w:pPr>
      <w:r>
        <w:rPr>
          <w:vertAlign w:val="superscript"/>
        </w:rPr>
        <w:footnoteRef/>
      </w:r>
      <w:r>
        <w:tab/>
        <w:t>По долготрајна постапка на Собранието за именување пет заменици народни правобранители, Народниот правобранител ги повлече предложените имиња и беше објавен нов оглас во мај 2023 година. Именувањата останаа на чекање, а постапката беше прекината за време на изборниот период во 2024 година.</w:t>
      </w:r>
    </w:p>
  </w:footnote>
  <w:footnote w:id="198">
    <w:p w14:paraId="6DBBF1FA" w14:textId="68A9FF39" w:rsidR="008D523D" w:rsidRDefault="008D523D" w:rsidP="001355A3">
      <w:pPr>
        <w:pStyle w:val="Footnote0"/>
        <w:ind w:left="284" w:hanging="284"/>
        <w:jc w:val="both"/>
      </w:pPr>
      <w:r>
        <w:rPr>
          <w:vertAlign w:val="superscript"/>
        </w:rPr>
        <w:footnoteRef/>
      </w:r>
      <w:r>
        <w:tab/>
        <w:t>Информации добиени од Канцеларијата на Народниот правобранител во контекст на посетата на Северна Македонија.</w:t>
      </w:r>
    </w:p>
  </w:footnote>
  <w:footnote w:id="199">
    <w:p w14:paraId="5E3EE511" w14:textId="36323D94" w:rsidR="008D523D" w:rsidRDefault="008D523D" w:rsidP="001A60BB">
      <w:pPr>
        <w:pStyle w:val="Footnote0"/>
        <w:jc w:val="both"/>
      </w:pPr>
      <w:r>
        <w:rPr>
          <w:vertAlign w:val="superscript"/>
        </w:rPr>
        <w:footnoteRef/>
      </w:r>
      <w:r>
        <w:tab/>
        <w:t>Во 2022 година, Канцеларијата постапила по 3.482 претставки од кои 3.209 биле примени во 2022 година, а 273 биле префрлени од претходната година. Врз основа на нив, Управата поведе 2.173 постапки. Потврдени се прекршувања во 683 случаи (31,43 % од сите случаи). Меѓу другите активности на Канцеларијата, таа упати 120 случаи на повисоки инстанци (17,57 % од вкупниот број) и сè уште чекаше одговор во 57 случаи (8,35 % од вкупниот број). Комуникација за политиката за проширување на ЕУ за 2023 година, Извештај за Северна Македонија. Стр. 27.</w:t>
      </w:r>
    </w:p>
  </w:footnote>
  <w:footnote w:id="200">
    <w:p w14:paraId="2DE6A567" w14:textId="4EECF84D" w:rsidR="008D523D" w:rsidRDefault="008D523D" w:rsidP="001A60BB">
      <w:pPr>
        <w:pStyle w:val="Footnote0"/>
        <w:jc w:val="both"/>
      </w:pPr>
      <w:r>
        <w:rPr>
          <w:vertAlign w:val="superscript"/>
        </w:rPr>
        <w:footnoteRef/>
      </w:r>
      <w:r>
        <w:tab/>
        <w:t>Информации добиени од Канцеларијата на Народниот правобранител во контекст на посетата на Северна Македонија. Види исто така: Годишен извештај на Канцеларијата на Народниот правобранител (2023). Канцеларијата на Народниот правобранител дава препораки во својот годишен извештај до Собранието, кое има задача да развие мерки и да ги достави до Владата. Владата за возврат треба да поднесува двегодишни извештаи за следењето. Сепак, остануваат недостатоци во спроведувањето на овие одредби, бидејќи досега беше донесен само еден владин извештај. Додека Канцеларијата на Народниот правобранител го доставува својот извештај во догледно време, процесот за донесување мерки во парламентот е одложен што ѝ овозможува на владата да ги заобиколи одредбите за давање 6-месечен извештај.</w:t>
      </w:r>
    </w:p>
  </w:footnote>
  <w:footnote w:id="201">
    <w:p w14:paraId="04642D4C" w14:textId="73FE8F84" w:rsidR="008D523D" w:rsidRDefault="008D523D" w:rsidP="00B11E7B">
      <w:pPr>
        <w:pStyle w:val="Footnote0"/>
        <w:ind w:left="284" w:hanging="284"/>
        <w:jc w:val="both"/>
      </w:pPr>
      <w:r>
        <w:rPr>
          <w:vertAlign w:val="superscript"/>
        </w:rPr>
        <w:footnoteRef/>
      </w:r>
      <w:r>
        <w:tab/>
        <w:t>Оценка од ЦИВИКУС; на скала од пет категории дефинирани како: отворен, стеснет, попречен, потиснат и затворен. Цивикус (2023), Надзор за следење на граѓанскиот простор - Северна Македонија.</w:t>
      </w:r>
    </w:p>
  </w:footnote>
  <w:footnote w:id="202">
    <w:p w14:paraId="122A7E06" w14:textId="07D4AA3A" w:rsidR="008D523D" w:rsidRDefault="008D523D" w:rsidP="00B11E7B">
      <w:pPr>
        <w:pStyle w:val="Footnote0"/>
        <w:ind w:left="284" w:hanging="284"/>
        <w:jc w:val="both"/>
      </w:pPr>
      <w:r>
        <w:rPr>
          <w:vertAlign w:val="superscript"/>
        </w:rPr>
        <w:footnoteRef/>
      </w:r>
      <w:r>
        <w:tab/>
        <w:t>Влада на Северна Македонија (2022), Стратегија за соработка и развој на граѓанското општество 2022-2024.</w:t>
      </w:r>
    </w:p>
  </w:footnote>
  <w:footnote w:id="203">
    <w:p w14:paraId="0331759D" w14:textId="04931C82" w:rsidR="008D523D" w:rsidRDefault="008D523D" w:rsidP="00B11E7B">
      <w:pPr>
        <w:pStyle w:val="Footnote0"/>
        <w:ind w:left="284" w:hanging="284"/>
        <w:jc w:val="both"/>
      </w:pPr>
      <w:r>
        <w:rPr>
          <w:vertAlign w:val="superscript"/>
        </w:rPr>
        <w:footnoteRef/>
      </w:r>
      <w:r>
        <w:tab/>
        <w:t>Советот за соработка е советодавно тело на Владата за унапредување на соработката, дијалогот и поттикнување на развојот на граѓанското општество во кое членуваат 31 член: 15 државни службеници, 21 и 16 претставници на ГО кои се именувани на избори од ГО.</w:t>
      </w:r>
    </w:p>
  </w:footnote>
  <w:footnote w:id="204">
    <w:p w14:paraId="1B79BBD0" w14:textId="1AB96BDD" w:rsidR="008D523D" w:rsidRDefault="008D523D" w:rsidP="00B11E7B">
      <w:pPr>
        <w:pStyle w:val="Footnote0"/>
        <w:ind w:left="284" w:hanging="284"/>
        <w:jc w:val="both"/>
      </w:pPr>
      <w:r>
        <w:rPr>
          <w:vertAlign w:val="superscript"/>
        </w:rPr>
        <w:footnoteRef/>
      </w:r>
      <w:r>
        <w:tab/>
        <w:t>Учеството на граѓанските организации во процесот на создавање политики е предвидено во Деловникот за работа на Владата (член 68 и член 68-а), во Кодексот на добри практики за учество на граѓанскиот сектор во процесот на развој на политики, во Методологијата за оценка на спроведувањето на регулативата и во Упатството за начинот на постапување во работата на министерствата во процесот на спроведување на проценка на влијанието на регулативата.</w:t>
      </w:r>
    </w:p>
  </w:footnote>
  <w:footnote w:id="205">
    <w:p w14:paraId="2826E1C0" w14:textId="566BBF72" w:rsidR="008D523D" w:rsidRDefault="008D523D" w:rsidP="00B11E7B">
      <w:pPr>
        <w:pStyle w:val="Footnote0"/>
        <w:ind w:left="284" w:hanging="284"/>
        <w:jc w:val="both"/>
      </w:pPr>
      <w:r>
        <w:rPr>
          <w:vertAlign w:val="superscript"/>
        </w:rPr>
        <w:footnoteRef/>
      </w:r>
      <w:r>
        <w:tab/>
        <w:t>Европски граѓански форум (2024), Извештај за заштита на граѓанскиот простор за 2024 - Западен Балкан (Балканска мрежа за развој на граѓанското општество), стр. 342-343.</w:t>
      </w:r>
    </w:p>
  </w:footnote>
  <w:footnote w:id="206">
    <w:p w14:paraId="76AF3C4B" w14:textId="7E9C6129" w:rsidR="008D523D" w:rsidRDefault="008D523D" w:rsidP="00B11E7B">
      <w:pPr>
        <w:pStyle w:val="Footnote0"/>
        <w:tabs>
          <w:tab w:val="left" w:pos="284"/>
        </w:tabs>
        <w:ind w:left="0" w:firstLine="0"/>
        <w:jc w:val="both"/>
      </w:pPr>
      <w:r>
        <w:rPr>
          <w:vertAlign w:val="superscript"/>
        </w:rPr>
        <w:footnoteRef/>
      </w:r>
      <w:r>
        <w:tab/>
        <w:t>Ibidem. Информации добиени од граѓанското општество во контекст на посетата на Северна Македонија.</w:t>
      </w:r>
    </w:p>
    <w:p w14:paraId="3E8BB87C" w14:textId="77777777" w:rsidR="008D523D" w:rsidRDefault="008D523D" w:rsidP="001A60BB">
      <w:pPr>
        <w:pStyle w:val="Footnote0"/>
        <w:ind w:left="0" w:firstLine="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B662" w14:textId="0F56A2A2" w:rsidR="008D523D" w:rsidRPr="001D538E" w:rsidRDefault="008D523D" w:rsidP="001D538E">
    <w:pPr>
      <w:jc w:val="both"/>
      <w:rPr>
        <w:rFonts w:ascii="Times New Roman" w:hAnsi="Times New Roman" w:cs="Times New Roman"/>
        <w:sz w:val="20"/>
        <w:szCs w:val="20"/>
        <w:lang w:bidi="mk-M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D9B"/>
    <w:multiLevelType w:val="multilevel"/>
    <w:tmpl w:val="287225E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741EA8"/>
    <w:multiLevelType w:val="hybridMultilevel"/>
    <w:tmpl w:val="896EDC46"/>
    <w:lvl w:ilvl="0" w:tplc="944A6B30">
      <w:start w:val="23"/>
      <w:numFmt w:val="bullet"/>
      <w:lvlText w:val="-"/>
      <w:lvlJc w:val="left"/>
      <w:pPr>
        <w:ind w:left="720" w:hanging="360"/>
      </w:pPr>
      <w:rPr>
        <w:rFonts w:ascii="Times New Roman" w:eastAsia="Times New Roman" w:hAnsi="Times New Roman" w:cs="Times New Roman"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B8564A"/>
    <w:multiLevelType w:val="hybridMultilevel"/>
    <w:tmpl w:val="0038D090"/>
    <w:lvl w:ilvl="0" w:tplc="9E546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37C58"/>
    <w:multiLevelType w:val="hybridMultilevel"/>
    <w:tmpl w:val="2298A840"/>
    <w:lvl w:ilvl="0" w:tplc="1BD03F6A">
      <w:numFmt w:val="bullet"/>
      <w:lvlText w:val=""/>
      <w:lvlJc w:val="left"/>
      <w:pPr>
        <w:ind w:left="1693" w:hanging="360"/>
      </w:pPr>
      <w:rPr>
        <w:rFonts w:ascii="Symbol" w:eastAsia="Symbol" w:hAnsi="Symbol" w:cs="Symbol" w:hint="default"/>
        <w:b w:val="0"/>
        <w:bCs w:val="0"/>
        <w:i w:val="0"/>
        <w:iCs w:val="0"/>
        <w:spacing w:val="0"/>
        <w:w w:val="100"/>
        <w:sz w:val="24"/>
        <w:szCs w:val="24"/>
        <w:lang w:val="en-US" w:eastAsia="en-US" w:bidi="ar-SA"/>
      </w:rPr>
    </w:lvl>
    <w:lvl w:ilvl="1" w:tplc="40FA2FE8">
      <w:numFmt w:val="bullet"/>
      <w:lvlText w:val="•"/>
      <w:lvlJc w:val="left"/>
      <w:pPr>
        <w:ind w:left="2628" w:hanging="360"/>
      </w:pPr>
      <w:rPr>
        <w:rFonts w:hint="default"/>
        <w:lang w:val="en-US" w:eastAsia="en-US" w:bidi="ar-SA"/>
      </w:rPr>
    </w:lvl>
    <w:lvl w:ilvl="2" w:tplc="6330BE54">
      <w:numFmt w:val="bullet"/>
      <w:lvlText w:val="•"/>
      <w:lvlJc w:val="left"/>
      <w:pPr>
        <w:ind w:left="3557" w:hanging="360"/>
      </w:pPr>
      <w:rPr>
        <w:rFonts w:hint="default"/>
        <w:lang w:val="en-US" w:eastAsia="en-US" w:bidi="ar-SA"/>
      </w:rPr>
    </w:lvl>
    <w:lvl w:ilvl="3" w:tplc="570E46A0">
      <w:numFmt w:val="bullet"/>
      <w:lvlText w:val="•"/>
      <w:lvlJc w:val="left"/>
      <w:pPr>
        <w:ind w:left="4485" w:hanging="360"/>
      </w:pPr>
      <w:rPr>
        <w:rFonts w:hint="default"/>
        <w:lang w:val="en-US" w:eastAsia="en-US" w:bidi="ar-SA"/>
      </w:rPr>
    </w:lvl>
    <w:lvl w:ilvl="4" w:tplc="F184FF16">
      <w:numFmt w:val="bullet"/>
      <w:lvlText w:val="•"/>
      <w:lvlJc w:val="left"/>
      <w:pPr>
        <w:ind w:left="5414" w:hanging="360"/>
      </w:pPr>
      <w:rPr>
        <w:rFonts w:hint="default"/>
        <w:lang w:val="en-US" w:eastAsia="en-US" w:bidi="ar-SA"/>
      </w:rPr>
    </w:lvl>
    <w:lvl w:ilvl="5" w:tplc="9B5A4C3E">
      <w:numFmt w:val="bullet"/>
      <w:lvlText w:val="•"/>
      <w:lvlJc w:val="left"/>
      <w:pPr>
        <w:ind w:left="6343" w:hanging="360"/>
      </w:pPr>
      <w:rPr>
        <w:rFonts w:hint="default"/>
        <w:lang w:val="en-US" w:eastAsia="en-US" w:bidi="ar-SA"/>
      </w:rPr>
    </w:lvl>
    <w:lvl w:ilvl="6" w:tplc="469C5DAE">
      <w:numFmt w:val="bullet"/>
      <w:lvlText w:val="•"/>
      <w:lvlJc w:val="left"/>
      <w:pPr>
        <w:ind w:left="7271" w:hanging="360"/>
      </w:pPr>
      <w:rPr>
        <w:rFonts w:hint="default"/>
        <w:lang w:val="en-US" w:eastAsia="en-US" w:bidi="ar-SA"/>
      </w:rPr>
    </w:lvl>
    <w:lvl w:ilvl="7" w:tplc="715C516A">
      <w:numFmt w:val="bullet"/>
      <w:lvlText w:val="•"/>
      <w:lvlJc w:val="left"/>
      <w:pPr>
        <w:ind w:left="8200" w:hanging="360"/>
      </w:pPr>
      <w:rPr>
        <w:rFonts w:hint="default"/>
        <w:lang w:val="en-US" w:eastAsia="en-US" w:bidi="ar-SA"/>
      </w:rPr>
    </w:lvl>
    <w:lvl w:ilvl="8" w:tplc="AA5C0B20">
      <w:numFmt w:val="bullet"/>
      <w:lvlText w:val="•"/>
      <w:lvlJc w:val="left"/>
      <w:pPr>
        <w:ind w:left="9129" w:hanging="360"/>
      </w:pPr>
      <w:rPr>
        <w:rFonts w:hint="default"/>
        <w:lang w:val="en-US" w:eastAsia="en-US" w:bidi="ar-SA"/>
      </w:rPr>
    </w:lvl>
  </w:abstractNum>
  <w:abstractNum w:abstractNumId="4">
    <w:nsid w:val="75A470FF"/>
    <w:multiLevelType w:val="multilevel"/>
    <w:tmpl w:val="5C20D24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F7"/>
    <w:rsid w:val="00003447"/>
    <w:rsid w:val="00012BD1"/>
    <w:rsid w:val="00022334"/>
    <w:rsid w:val="00026F22"/>
    <w:rsid w:val="00044163"/>
    <w:rsid w:val="00052996"/>
    <w:rsid w:val="000B3F37"/>
    <w:rsid w:val="000C312B"/>
    <w:rsid w:val="000E495D"/>
    <w:rsid w:val="000F130C"/>
    <w:rsid w:val="000F4631"/>
    <w:rsid w:val="00106440"/>
    <w:rsid w:val="00116ECA"/>
    <w:rsid w:val="00121B3E"/>
    <w:rsid w:val="00130182"/>
    <w:rsid w:val="001355A3"/>
    <w:rsid w:val="00156319"/>
    <w:rsid w:val="0016051D"/>
    <w:rsid w:val="0016569A"/>
    <w:rsid w:val="001A1516"/>
    <w:rsid w:val="001A1781"/>
    <w:rsid w:val="001A60BB"/>
    <w:rsid w:val="001B4109"/>
    <w:rsid w:val="001B7384"/>
    <w:rsid w:val="001C1CCA"/>
    <w:rsid w:val="001D538E"/>
    <w:rsid w:val="001D7110"/>
    <w:rsid w:val="00243694"/>
    <w:rsid w:val="0024455C"/>
    <w:rsid w:val="00246CB0"/>
    <w:rsid w:val="00252F23"/>
    <w:rsid w:val="0026766C"/>
    <w:rsid w:val="0029690A"/>
    <w:rsid w:val="002A0EE9"/>
    <w:rsid w:val="002B0E98"/>
    <w:rsid w:val="002E4D47"/>
    <w:rsid w:val="002E725E"/>
    <w:rsid w:val="0033710E"/>
    <w:rsid w:val="00340204"/>
    <w:rsid w:val="003462D5"/>
    <w:rsid w:val="00365112"/>
    <w:rsid w:val="003735E8"/>
    <w:rsid w:val="003755A6"/>
    <w:rsid w:val="003961CA"/>
    <w:rsid w:val="003D433D"/>
    <w:rsid w:val="003D659D"/>
    <w:rsid w:val="003E5A1D"/>
    <w:rsid w:val="004108FE"/>
    <w:rsid w:val="00411ACE"/>
    <w:rsid w:val="00415B37"/>
    <w:rsid w:val="0046753E"/>
    <w:rsid w:val="00490B1A"/>
    <w:rsid w:val="0049205F"/>
    <w:rsid w:val="004A3312"/>
    <w:rsid w:val="004E07F2"/>
    <w:rsid w:val="004F566A"/>
    <w:rsid w:val="005055B9"/>
    <w:rsid w:val="00530328"/>
    <w:rsid w:val="0053597B"/>
    <w:rsid w:val="0057346A"/>
    <w:rsid w:val="0057459F"/>
    <w:rsid w:val="00594501"/>
    <w:rsid w:val="00595C03"/>
    <w:rsid w:val="005A5DF7"/>
    <w:rsid w:val="005D412B"/>
    <w:rsid w:val="005E3604"/>
    <w:rsid w:val="005E46B0"/>
    <w:rsid w:val="005F5D8D"/>
    <w:rsid w:val="005F6E0A"/>
    <w:rsid w:val="00603E65"/>
    <w:rsid w:val="00607E9E"/>
    <w:rsid w:val="00614DA1"/>
    <w:rsid w:val="00622162"/>
    <w:rsid w:val="00624540"/>
    <w:rsid w:val="006603E0"/>
    <w:rsid w:val="006664FE"/>
    <w:rsid w:val="00685F45"/>
    <w:rsid w:val="006A2DAC"/>
    <w:rsid w:val="006A4308"/>
    <w:rsid w:val="006B31F7"/>
    <w:rsid w:val="006C096A"/>
    <w:rsid w:val="006C2B3F"/>
    <w:rsid w:val="006C4B88"/>
    <w:rsid w:val="007040CC"/>
    <w:rsid w:val="00714035"/>
    <w:rsid w:val="007322AA"/>
    <w:rsid w:val="00751088"/>
    <w:rsid w:val="0075247B"/>
    <w:rsid w:val="00783EF6"/>
    <w:rsid w:val="00786BA6"/>
    <w:rsid w:val="007A21FB"/>
    <w:rsid w:val="007A78B6"/>
    <w:rsid w:val="007B27CC"/>
    <w:rsid w:val="007D59F2"/>
    <w:rsid w:val="007F7DD0"/>
    <w:rsid w:val="0081071C"/>
    <w:rsid w:val="00825FFF"/>
    <w:rsid w:val="008261AB"/>
    <w:rsid w:val="00826692"/>
    <w:rsid w:val="00850B31"/>
    <w:rsid w:val="00857823"/>
    <w:rsid w:val="00861785"/>
    <w:rsid w:val="008678B3"/>
    <w:rsid w:val="00882F00"/>
    <w:rsid w:val="00886004"/>
    <w:rsid w:val="008A066D"/>
    <w:rsid w:val="008A25F8"/>
    <w:rsid w:val="008A314B"/>
    <w:rsid w:val="008B2AD7"/>
    <w:rsid w:val="008C2FA0"/>
    <w:rsid w:val="008D3E50"/>
    <w:rsid w:val="008D523D"/>
    <w:rsid w:val="008D640C"/>
    <w:rsid w:val="008D7B8C"/>
    <w:rsid w:val="008E402A"/>
    <w:rsid w:val="00903BEF"/>
    <w:rsid w:val="00903E4F"/>
    <w:rsid w:val="00941558"/>
    <w:rsid w:val="0095285D"/>
    <w:rsid w:val="00963CEE"/>
    <w:rsid w:val="00963D69"/>
    <w:rsid w:val="00996B85"/>
    <w:rsid w:val="009A7D9F"/>
    <w:rsid w:val="009C093F"/>
    <w:rsid w:val="00A21F1B"/>
    <w:rsid w:val="00A25B4D"/>
    <w:rsid w:val="00A304D8"/>
    <w:rsid w:val="00A3237E"/>
    <w:rsid w:val="00A6306E"/>
    <w:rsid w:val="00A64271"/>
    <w:rsid w:val="00A77867"/>
    <w:rsid w:val="00A94353"/>
    <w:rsid w:val="00AC301C"/>
    <w:rsid w:val="00AD292F"/>
    <w:rsid w:val="00AF1883"/>
    <w:rsid w:val="00B03AE4"/>
    <w:rsid w:val="00B11E7B"/>
    <w:rsid w:val="00B24B4C"/>
    <w:rsid w:val="00B25F0A"/>
    <w:rsid w:val="00B80A91"/>
    <w:rsid w:val="00B835D6"/>
    <w:rsid w:val="00B87F39"/>
    <w:rsid w:val="00BA47DE"/>
    <w:rsid w:val="00BE7F3C"/>
    <w:rsid w:val="00BF7595"/>
    <w:rsid w:val="00C0145C"/>
    <w:rsid w:val="00C056F0"/>
    <w:rsid w:val="00C07A80"/>
    <w:rsid w:val="00C11326"/>
    <w:rsid w:val="00C22A10"/>
    <w:rsid w:val="00C301AB"/>
    <w:rsid w:val="00C45F3F"/>
    <w:rsid w:val="00C7585D"/>
    <w:rsid w:val="00C90000"/>
    <w:rsid w:val="00C94B51"/>
    <w:rsid w:val="00CA4395"/>
    <w:rsid w:val="00CB23DB"/>
    <w:rsid w:val="00CB7460"/>
    <w:rsid w:val="00CC033B"/>
    <w:rsid w:val="00CE5538"/>
    <w:rsid w:val="00CF0532"/>
    <w:rsid w:val="00CF0DD5"/>
    <w:rsid w:val="00CF6CC4"/>
    <w:rsid w:val="00D0085A"/>
    <w:rsid w:val="00D0531C"/>
    <w:rsid w:val="00D070CF"/>
    <w:rsid w:val="00D13957"/>
    <w:rsid w:val="00D234A9"/>
    <w:rsid w:val="00D36262"/>
    <w:rsid w:val="00D37CB6"/>
    <w:rsid w:val="00D46997"/>
    <w:rsid w:val="00D52E79"/>
    <w:rsid w:val="00D53AC9"/>
    <w:rsid w:val="00D65026"/>
    <w:rsid w:val="00DA251A"/>
    <w:rsid w:val="00DA5CB7"/>
    <w:rsid w:val="00DA75DE"/>
    <w:rsid w:val="00DA778F"/>
    <w:rsid w:val="00DB1945"/>
    <w:rsid w:val="00DB5E62"/>
    <w:rsid w:val="00DC40CF"/>
    <w:rsid w:val="00DD62D1"/>
    <w:rsid w:val="00DE2BC2"/>
    <w:rsid w:val="00DE68A2"/>
    <w:rsid w:val="00E10EF8"/>
    <w:rsid w:val="00E17BE9"/>
    <w:rsid w:val="00E360F3"/>
    <w:rsid w:val="00E43C50"/>
    <w:rsid w:val="00E85680"/>
    <w:rsid w:val="00ED01E8"/>
    <w:rsid w:val="00ED488D"/>
    <w:rsid w:val="00EE4CE6"/>
    <w:rsid w:val="00EE613A"/>
    <w:rsid w:val="00EF410D"/>
    <w:rsid w:val="00EF588C"/>
    <w:rsid w:val="00F211FF"/>
    <w:rsid w:val="00F21FF4"/>
    <w:rsid w:val="00F23153"/>
    <w:rsid w:val="00F23A1D"/>
    <w:rsid w:val="00F26F6F"/>
    <w:rsid w:val="00F370AF"/>
    <w:rsid w:val="00F43D9E"/>
    <w:rsid w:val="00F460C5"/>
    <w:rsid w:val="00F93642"/>
    <w:rsid w:val="00FD119A"/>
    <w:rsid w:val="00FF731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mk-MK"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link w:val="Heading1Char"/>
    <w:uiPriority w:val="9"/>
    <w:qFormat/>
    <w:rsid w:val="006A4308"/>
    <w:pPr>
      <w:autoSpaceDE w:val="0"/>
      <w:autoSpaceDN w:val="0"/>
      <w:spacing w:before="60"/>
      <w:ind w:left="980"/>
      <w:outlineLvl w:val="0"/>
    </w:pPr>
    <w:rPr>
      <w:rFonts w:ascii="Times New Roman" w:eastAsia="Times New Roman" w:hAnsi="Times New Roman" w:cs="Times New Roman"/>
      <w:b/>
      <w:bCs/>
      <w:color w:val="auto"/>
      <w:lang w:bidi="ar-SA"/>
    </w:rPr>
  </w:style>
  <w:style w:type="paragraph" w:styleId="Heading2">
    <w:name w:val="heading 2"/>
    <w:basedOn w:val="Normal"/>
    <w:link w:val="Heading2Char"/>
    <w:uiPriority w:val="9"/>
    <w:unhideWhenUsed/>
    <w:qFormat/>
    <w:rsid w:val="006A4308"/>
    <w:pPr>
      <w:autoSpaceDE w:val="0"/>
      <w:autoSpaceDN w:val="0"/>
      <w:spacing w:before="1"/>
      <w:ind w:left="980"/>
      <w:jc w:val="both"/>
      <w:outlineLvl w:val="1"/>
    </w:pPr>
    <w:rPr>
      <w:rFonts w:ascii="Times New Roman" w:eastAsia="Times New Roman" w:hAnsi="Times New Roman" w:cs="Times New Roman"/>
      <w:color w:val="auto"/>
      <w:sz w:val="22"/>
      <w:szCs w:val="22"/>
      <w:lang w:bidi="ar-SA"/>
    </w:rPr>
  </w:style>
  <w:style w:type="paragraph" w:styleId="Heading3">
    <w:name w:val="heading 3"/>
    <w:basedOn w:val="Normal"/>
    <w:link w:val="Heading3Char"/>
    <w:uiPriority w:val="9"/>
    <w:unhideWhenUsed/>
    <w:qFormat/>
    <w:rsid w:val="006A4308"/>
    <w:pPr>
      <w:autoSpaceDE w:val="0"/>
      <w:autoSpaceDN w:val="0"/>
      <w:spacing w:before="111"/>
      <w:ind w:left="980" w:right="973"/>
      <w:jc w:val="both"/>
      <w:outlineLvl w:val="2"/>
    </w:pPr>
    <w:rPr>
      <w:rFonts w:ascii="Times New Roman" w:eastAsia="Times New Roman" w:hAnsi="Times New Roman" w:cs="Times New Roman"/>
      <w:i/>
      <w:iCs/>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22"/>
      <w:szCs w:val="22"/>
      <w:u w:val="none"/>
    </w:rPr>
  </w:style>
  <w:style w:type="character" w:customStyle="1" w:styleId="Heading10">
    <w:name w:val="Heading #1_"/>
    <w:basedOn w:val="DefaultParagraphFont"/>
    <w:link w:val="Heading11"/>
    <w:rPr>
      <w:rFonts w:ascii="Arial" w:eastAsia="Arial" w:hAnsi="Arial" w:cs="Arial"/>
      <w:b/>
      <w:bCs/>
      <w:i w:val="0"/>
      <w:iCs w:val="0"/>
      <w:smallCaps w:val="0"/>
      <w:strike w:val="0"/>
      <w:sz w:val="48"/>
      <w:szCs w:val="48"/>
      <w:u w:val="none"/>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ind w:left="320" w:hanging="320"/>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Arial" w:eastAsia="Arial" w:hAnsi="Arial" w:cs="Arial"/>
      <w:sz w:val="22"/>
      <w:szCs w:val="22"/>
    </w:rPr>
  </w:style>
  <w:style w:type="paragraph" w:customStyle="1" w:styleId="Heading11">
    <w:name w:val="Heading #1"/>
    <w:basedOn w:val="Normal"/>
    <w:link w:val="Heading10"/>
    <w:pPr>
      <w:outlineLvl w:val="0"/>
    </w:pPr>
    <w:rPr>
      <w:rFonts w:ascii="Arial" w:eastAsia="Arial" w:hAnsi="Arial" w:cs="Arial"/>
      <w:b/>
      <w:bCs/>
      <w:sz w:val="48"/>
      <w:szCs w:val="48"/>
    </w:rPr>
  </w:style>
  <w:style w:type="paragraph" w:customStyle="1" w:styleId="Heading21">
    <w:name w:val="Heading #2"/>
    <w:basedOn w:val="Normal"/>
    <w:link w:val="Heading20"/>
    <w:pPr>
      <w:spacing w:after="220"/>
      <w:outlineLvl w:val="1"/>
    </w:pPr>
    <w:rPr>
      <w:rFonts w:ascii="Times New Roman" w:eastAsia="Times New Roman" w:hAnsi="Times New Roman" w:cs="Times New Roman"/>
      <w:b/>
      <w:bCs/>
    </w:rPr>
  </w:style>
  <w:style w:type="paragraph" w:styleId="BodyText">
    <w:name w:val="Body Text"/>
    <w:basedOn w:val="Normal"/>
    <w:link w:val="BodyTextChar"/>
    <w:qFormat/>
    <w:pPr>
      <w:spacing w:after="220"/>
    </w:pPr>
    <w:rPr>
      <w:rFonts w:ascii="Times New Roman" w:eastAsia="Times New Roman" w:hAnsi="Times New Roman" w:cs="Times New Roman"/>
    </w:rPr>
  </w:style>
  <w:style w:type="paragraph" w:customStyle="1" w:styleId="Tableofcontents0">
    <w:name w:val="Table of contents"/>
    <w:basedOn w:val="Normal"/>
    <w:link w:val="Tableofcontents"/>
    <w:pPr>
      <w:ind w:firstLine="50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Default">
    <w:name w:val="Default"/>
    <w:rsid w:val="001A60BB"/>
    <w:pPr>
      <w:widowControl/>
      <w:autoSpaceDE w:val="0"/>
      <w:autoSpaceDN w:val="0"/>
      <w:adjustRightInd w:val="0"/>
    </w:pPr>
    <w:rPr>
      <w:rFonts w:ascii="Times New Roman" w:hAnsi="Times New Roman" w:cs="Times New Roman"/>
      <w:color w:val="000000"/>
      <w:lang w:bidi="ar-SA"/>
    </w:rPr>
  </w:style>
  <w:style w:type="character" w:customStyle="1" w:styleId="Heading1Char">
    <w:name w:val="Heading 1 Char"/>
    <w:basedOn w:val="DefaultParagraphFont"/>
    <w:link w:val="Heading1"/>
    <w:uiPriority w:val="9"/>
    <w:rsid w:val="006A4308"/>
    <w:rPr>
      <w:rFonts w:ascii="Times New Roman" w:eastAsia="Times New Roman" w:hAnsi="Times New Roman" w:cs="Times New Roman"/>
      <w:b/>
      <w:bCs/>
      <w:lang w:bidi="ar-SA"/>
    </w:rPr>
  </w:style>
  <w:style w:type="character" w:customStyle="1" w:styleId="Heading2Char">
    <w:name w:val="Heading 2 Char"/>
    <w:basedOn w:val="DefaultParagraphFont"/>
    <w:link w:val="Heading2"/>
    <w:uiPriority w:val="9"/>
    <w:rsid w:val="006A4308"/>
    <w:rPr>
      <w:rFonts w:ascii="Times New Roman" w:eastAsia="Times New Roman" w:hAnsi="Times New Roman" w:cs="Times New Roman"/>
      <w:sz w:val="22"/>
      <w:szCs w:val="22"/>
      <w:lang w:bidi="ar-SA"/>
    </w:rPr>
  </w:style>
  <w:style w:type="character" w:customStyle="1" w:styleId="Heading3Char">
    <w:name w:val="Heading 3 Char"/>
    <w:basedOn w:val="DefaultParagraphFont"/>
    <w:link w:val="Heading3"/>
    <w:uiPriority w:val="9"/>
    <w:rsid w:val="006A4308"/>
    <w:rPr>
      <w:rFonts w:ascii="Times New Roman" w:eastAsia="Times New Roman" w:hAnsi="Times New Roman" w:cs="Times New Roman"/>
      <w:i/>
      <w:iCs/>
      <w:sz w:val="22"/>
      <w:szCs w:val="22"/>
      <w:lang w:bidi="ar-SA"/>
    </w:rPr>
  </w:style>
  <w:style w:type="paragraph" w:styleId="ListParagraph">
    <w:name w:val="List Paragraph"/>
    <w:basedOn w:val="Normal"/>
    <w:uiPriority w:val="1"/>
    <w:qFormat/>
    <w:rsid w:val="006A4308"/>
    <w:pPr>
      <w:autoSpaceDE w:val="0"/>
      <w:autoSpaceDN w:val="0"/>
      <w:spacing w:before="18"/>
      <w:ind w:left="1700" w:hanging="360"/>
    </w:pPr>
    <w:rPr>
      <w:rFonts w:ascii="Times New Roman" w:eastAsia="Times New Roman" w:hAnsi="Times New Roman" w:cs="Times New Roman"/>
      <w:color w:val="auto"/>
      <w:sz w:val="22"/>
      <w:szCs w:val="22"/>
      <w:lang w:bidi="ar-SA"/>
    </w:rPr>
  </w:style>
  <w:style w:type="character" w:styleId="Hyperlink">
    <w:name w:val="Hyperlink"/>
    <w:basedOn w:val="DefaultParagraphFont"/>
    <w:uiPriority w:val="99"/>
    <w:unhideWhenUsed/>
    <w:rsid w:val="00B835D6"/>
    <w:rPr>
      <w:color w:val="0563C1" w:themeColor="hyperlink"/>
      <w:u w:val="single"/>
    </w:rPr>
  </w:style>
  <w:style w:type="character" w:customStyle="1" w:styleId="UnresolvedMention1">
    <w:name w:val="Unresolved Mention1"/>
    <w:basedOn w:val="DefaultParagraphFont"/>
    <w:uiPriority w:val="99"/>
    <w:semiHidden/>
    <w:unhideWhenUsed/>
    <w:rsid w:val="00B835D6"/>
    <w:rPr>
      <w:color w:val="605E5C"/>
      <w:shd w:val="clear" w:color="auto" w:fill="E1DFDD"/>
    </w:rPr>
  </w:style>
  <w:style w:type="paragraph" w:styleId="Header">
    <w:name w:val="header"/>
    <w:basedOn w:val="Normal"/>
    <w:link w:val="HeaderChar"/>
    <w:uiPriority w:val="99"/>
    <w:unhideWhenUsed/>
    <w:rsid w:val="00CC033B"/>
    <w:pPr>
      <w:tabs>
        <w:tab w:val="center" w:pos="4680"/>
        <w:tab w:val="right" w:pos="9360"/>
      </w:tabs>
    </w:pPr>
  </w:style>
  <w:style w:type="character" w:customStyle="1" w:styleId="HeaderChar">
    <w:name w:val="Header Char"/>
    <w:basedOn w:val="DefaultParagraphFont"/>
    <w:link w:val="Header"/>
    <w:uiPriority w:val="99"/>
    <w:rsid w:val="00CC033B"/>
    <w:rPr>
      <w:color w:val="000000"/>
    </w:rPr>
  </w:style>
  <w:style w:type="paragraph" w:styleId="Footer">
    <w:name w:val="footer"/>
    <w:basedOn w:val="Normal"/>
    <w:link w:val="FooterChar"/>
    <w:uiPriority w:val="99"/>
    <w:unhideWhenUsed/>
    <w:rsid w:val="00CC033B"/>
    <w:pPr>
      <w:tabs>
        <w:tab w:val="center" w:pos="4680"/>
        <w:tab w:val="right" w:pos="9360"/>
      </w:tabs>
    </w:pPr>
  </w:style>
  <w:style w:type="character" w:customStyle="1" w:styleId="FooterChar">
    <w:name w:val="Footer Char"/>
    <w:basedOn w:val="DefaultParagraphFont"/>
    <w:link w:val="Footer"/>
    <w:uiPriority w:val="99"/>
    <w:rsid w:val="00CC033B"/>
    <w:rPr>
      <w:color w:val="000000"/>
    </w:rPr>
  </w:style>
  <w:style w:type="paragraph" w:styleId="BalloonText">
    <w:name w:val="Balloon Text"/>
    <w:basedOn w:val="Normal"/>
    <w:link w:val="BalloonTextChar"/>
    <w:uiPriority w:val="99"/>
    <w:semiHidden/>
    <w:unhideWhenUsed/>
    <w:rsid w:val="003D433D"/>
    <w:rPr>
      <w:rFonts w:ascii="Tahoma" w:hAnsi="Tahoma" w:cs="Tahoma"/>
      <w:sz w:val="16"/>
      <w:szCs w:val="16"/>
    </w:rPr>
  </w:style>
  <w:style w:type="character" w:customStyle="1" w:styleId="BalloonTextChar">
    <w:name w:val="Balloon Text Char"/>
    <w:basedOn w:val="DefaultParagraphFont"/>
    <w:link w:val="BalloonText"/>
    <w:uiPriority w:val="99"/>
    <w:semiHidden/>
    <w:rsid w:val="003D433D"/>
    <w:rPr>
      <w:rFonts w:ascii="Tahoma" w:hAnsi="Tahoma" w:cs="Tahoma"/>
      <w:color w:val="000000"/>
      <w:sz w:val="16"/>
      <w:szCs w:val="16"/>
    </w:rPr>
  </w:style>
  <w:style w:type="paragraph" w:styleId="FootnoteText">
    <w:name w:val="footnote text"/>
    <w:basedOn w:val="Normal"/>
    <w:link w:val="FootnoteTextChar"/>
    <w:uiPriority w:val="99"/>
    <w:semiHidden/>
    <w:unhideWhenUsed/>
    <w:rsid w:val="006C4B88"/>
    <w:rPr>
      <w:sz w:val="20"/>
      <w:szCs w:val="20"/>
    </w:rPr>
  </w:style>
  <w:style w:type="character" w:customStyle="1" w:styleId="FootnoteTextChar">
    <w:name w:val="Footnote Text Char"/>
    <w:basedOn w:val="DefaultParagraphFont"/>
    <w:link w:val="FootnoteText"/>
    <w:uiPriority w:val="99"/>
    <w:semiHidden/>
    <w:rsid w:val="006C4B88"/>
    <w:rPr>
      <w:color w:val="000000"/>
      <w:sz w:val="20"/>
      <w:szCs w:val="20"/>
    </w:rPr>
  </w:style>
  <w:style w:type="character" w:styleId="FootnoteReference">
    <w:name w:val="footnote reference"/>
    <w:basedOn w:val="DefaultParagraphFont"/>
    <w:uiPriority w:val="99"/>
    <w:semiHidden/>
    <w:unhideWhenUsed/>
    <w:rsid w:val="006C4B88"/>
    <w:rPr>
      <w:vertAlign w:val="superscript"/>
    </w:rPr>
  </w:style>
  <w:style w:type="paragraph" w:styleId="Revision">
    <w:name w:val="Revision"/>
    <w:hidden/>
    <w:uiPriority w:val="99"/>
    <w:semiHidden/>
    <w:rsid w:val="00ED488D"/>
    <w:pPr>
      <w:widowControl/>
    </w:pPr>
    <w:rPr>
      <w:color w:val="000000"/>
    </w:rPr>
  </w:style>
  <w:style w:type="table" w:customStyle="1" w:styleId="TableGrid1">
    <w:name w:val="Table Grid1"/>
    <w:basedOn w:val="TableNormal"/>
    <w:next w:val="TableGrid"/>
    <w:rsid w:val="008D640C"/>
    <w:pPr>
      <w:widowControl/>
    </w:pPr>
    <w:rPr>
      <w:rFonts w:ascii="Calibri" w:eastAsia="Times New Roman" w:hAnsi="Calibri" w:cs="Times New Roman"/>
      <w:sz w:val="20"/>
      <w:szCs w:val="20"/>
      <w:lang w:eastAsia="mk-MK"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D6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mk-MK"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link w:val="Heading1Char"/>
    <w:uiPriority w:val="9"/>
    <w:qFormat/>
    <w:rsid w:val="006A4308"/>
    <w:pPr>
      <w:autoSpaceDE w:val="0"/>
      <w:autoSpaceDN w:val="0"/>
      <w:spacing w:before="60"/>
      <w:ind w:left="980"/>
      <w:outlineLvl w:val="0"/>
    </w:pPr>
    <w:rPr>
      <w:rFonts w:ascii="Times New Roman" w:eastAsia="Times New Roman" w:hAnsi="Times New Roman" w:cs="Times New Roman"/>
      <w:b/>
      <w:bCs/>
      <w:color w:val="auto"/>
      <w:lang w:bidi="ar-SA"/>
    </w:rPr>
  </w:style>
  <w:style w:type="paragraph" w:styleId="Heading2">
    <w:name w:val="heading 2"/>
    <w:basedOn w:val="Normal"/>
    <w:link w:val="Heading2Char"/>
    <w:uiPriority w:val="9"/>
    <w:unhideWhenUsed/>
    <w:qFormat/>
    <w:rsid w:val="006A4308"/>
    <w:pPr>
      <w:autoSpaceDE w:val="0"/>
      <w:autoSpaceDN w:val="0"/>
      <w:spacing w:before="1"/>
      <w:ind w:left="980"/>
      <w:jc w:val="both"/>
      <w:outlineLvl w:val="1"/>
    </w:pPr>
    <w:rPr>
      <w:rFonts w:ascii="Times New Roman" w:eastAsia="Times New Roman" w:hAnsi="Times New Roman" w:cs="Times New Roman"/>
      <w:color w:val="auto"/>
      <w:sz w:val="22"/>
      <w:szCs w:val="22"/>
      <w:lang w:bidi="ar-SA"/>
    </w:rPr>
  </w:style>
  <w:style w:type="paragraph" w:styleId="Heading3">
    <w:name w:val="heading 3"/>
    <w:basedOn w:val="Normal"/>
    <w:link w:val="Heading3Char"/>
    <w:uiPriority w:val="9"/>
    <w:unhideWhenUsed/>
    <w:qFormat/>
    <w:rsid w:val="006A4308"/>
    <w:pPr>
      <w:autoSpaceDE w:val="0"/>
      <w:autoSpaceDN w:val="0"/>
      <w:spacing w:before="111"/>
      <w:ind w:left="980" w:right="973"/>
      <w:jc w:val="both"/>
      <w:outlineLvl w:val="2"/>
    </w:pPr>
    <w:rPr>
      <w:rFonts w:ascii="Times New Roman" w:eastAsia="Times New Roman" w:hAnsi="Times New Roman" w:cs="Times New Roman"/>
      <w:i/>
      <w:iCs/>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22"/>
      <w:szCs w:val="22"/>
      <w:u w:val="none"/>
    </w:rPr>
  </w:style>
  <w:style w:type="character" w:customStyle="1" w:styleId="Heading10">
    <w:name w:val="Heading #1_"/>
    <w:basedOn w:val="DefaultParagraphFont"/>
    <w:link w:val="Heading11"/>
    <w:rPr>
      <w:rFonts w:ascii="Arial" w:eastAsia="Arial" w:hAnsi="Arial" w:cs="Arial"/>
      <w:b/>
      <w:bCs/>
      <w:i w:val="0"/>
      <w:iCs w:val="0"/>
      <w:smallCaps w:val="0"/>
      <w:strike w:val="0"/>
      <w:sz w:val="48"/>
      <w:szCs w:val="48"/>
      <w:u w:val="none"/>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ind w:left="320" w:hanging="320"/>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Arial" w:eastAsia="Arial" w:hAnsi="Arial" w:cs="Arial"/>
      <w:sz w:val="22"/>
      <w:szCs w:val="22"/>
    </w:rPr>
  </w:style>
  <w:style w:type="paragraph" w:customStyle="1" w:styleId="Heading11">
    <w:name w:val="Heading #1"/>
    <w:basedOn w:val="Normal"/>
    <w:link w:val="Heading10"/>
    <w:pPr>
      <w:outlineLvl w:val="0"/>
    </w:pPr>
    <w:rPr>
      <w:rFonts w:ascii="Arial" w:eastAsia="Arial" w:hAnsi="Arial" w:cs="Arial"/>
      <w:b/>
      <w:bCs/>
      <w:sz w:val="48"/>
      <w:szCs w:val="48"/>
    </w:rPr>
  </w:style>
  <w:style w:type="paragraph" w:customStyle="1" w:styleId="Heading21">
    <w:name w:val="Heading #2"/>
    <w:basedOn w:val="Normal"/>
    <w:link w:val="Heading20"/>
    <w:pPr>
      <w:spacing w:after="220"/>
      <w:outlineLvl w:val="1"/>
    </w:pPr>
    <w:rPr>
      <w:rFonts w:ascii="Times New Roman" w:eastAsia="Times New Roman" w:hAnsi="Times New Roman" w:cs="Times New Roman"/>
      <w:b/>
      <w:bCs/>
    </w:rPr>
  </w:style>
  <w:style w:type="paragraph" w:styleId="BodyText">
    <w:name w:val="Body Text"/>
    <w:basedOn w:val="Normal"/>
    <w:link w:val="BodyTextChar"/>
    <w:qFormat/>
    <w:pPr>
      <w:spacing w:after="220"/>
    </w:pPr>
    <w:rPr>
      <w:rFonts w:ascii="Times New Roman" w:eastAsia="Times New Roman" w:hAnsi="Times New Roman" w:cs="Times New Roman"/>
    </w:rPr>
  </w:style>
  <w:style w:type="paragraph" w:customStyle="1" w:styleId="Tableofcontents0">
    <w:name w:val="Table of contents"/>
    <w:basedOn w:val="Normal"/>
    <w:link w:val="Tableofcontents"/>
    <w:pPr>
      <w:ind w:firstLine="50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Default">
    <w:name w:val="Default"/>
    <w:rsid w:val="001A60BB"/>
    <w:pPr>
      <w:widowControl/>
      <w:autoSpaceDE w:val="0"/>
      <w:autoSpaceDN w:val="0"/>
      <w:adjustRightInd w:val="0"/>
    </w:pPr>
    <w:rPr>
      <w:rFonts w:ascii="Times New Roman" w:hAnsi="Times New Roman" w:cs="Times New Roman"/>
      <w:color w:val="000000"/>
      <w:lang w:bidi="ar-SA"/>
    </w:rPr>
  </w:style>
  <w:style w:type="character" w:customStyle="1" w:styleId="Heading1Char">
    <w:name w:val="Heading 1 Char"/>
    <w:basedOn w:val="DefaultParagraphFont"/>
    <w:link w:val="Heading1"/>
    <w:uiPriority w:val="9"/>
    <w:rsid w:val="006A4308"/>
    <w:rPr>
      <w:rFonts w:ascii="Times New Roman" w:eastAsia="Times New Roman" w:hAnsi="Times New Roman" w:cs="Times New Roman"/>
      <w:b/>
      <w:bCs/>
      <w:lang w:bidi="ar-SA"/>
    </w:rPr>
  </w:style>
  <w:style w:type="character" w:customStyle="1" w:styleId="Heading2Char">
    <w:name w:val="Heading 2 Char"/>
    <w:basedOn w:val="DefaultParagraphFont"/>
    <w:link w:val="Heading2"/>
    <w:uiPriority w:val="9"/>
    <w:rsid w:val="006A4308"/>
    <w:rPr>
      <w:rFonts w:ascii="Times New Roman" w:eastAsia="Times New Roman" w:hAnsi="Times New Roman" w:cs="Times New Roman"/>
      <w:sz w:val="22"/>
      <w:szCs w:val="22"/>
      <w:lang w:bidi="ar-SA"/>
    </w:rPr>
  </w:style>
  <w:style w:type="character" w:customStyle="1" w:styleId="Heading3Char">
    <w:name w:val="Heading 3 Char"/>
    <w:basedOn w:val="DefaultParagraphFont"/>
    <w:link w:val="Heading3"/>
    <w:uiPriority w:val="9"/>
    <w:rsid w:val="006A4308"/>
    <w:rPr>
      <w:rFonts w:ascii="Times New Roman" w:eastAsia="Times New Roman" w:hAnsi="Times New Roman" w:cs="Times New Roman"/>
      <w:i/>
      <w:iCs/>
      <w:sz w:val="22"/>
      <w:szCs w:val="22"/>
      <w:lang w:bidi="ar-SA"/>
    </w:rPr>
  </w:style>
  <w:style w:type="paragraph" w:styleId="ListParagraph">
    <w:name w:val="List Paragraph"/>
    <w:basedOn w:val="Normal"/>
    <w:uiPriority w:val="1"/>
    <w:qFormat/>
    <w:rsid w:val="006A4308"/>
    <w:pPr>
      <w:autoSpaceDE w:val="0"/>
      <w:autoSpaceDN w:val="0"/>
      <w:spacing w:before="18"/>
      <w:ind w:left="1700" w:hanging="360"/>
    </w:pPr>
    <w:rPr>
      <w:rFonts w:ascii="Times New Roman" w:eastAsia="Times New Roman" w:hAnsi="Times New Roman" w:cs="Times New Roman"/>
      <w:color w:val="auto"/>
      <w:sz w:val="22"/>
      <w:szCs w:val="22"/>
      <w:lang w:bidi="ar-SA"/>
    </w:rPr>
  </w:style>
  <w:style w:type="character" w:styleId="Hyperlink">
    <w:name w:val="Hyperlink"/>
    <w:basedOn w:val="DefaultParagraphFont"/>
    <w:uiPriority w:val="99"/>
    <w:unhideWhenUsed/>
    <w:rsid w:val="00B835D6"/>
    <w:rPr>
      <w:color w:val="0563C1" w:themeColor="hyperlink"/>
      <w:u w:val="single"/>
    </w:rPr>
  </w:style>
  <w:style w:type="character" w:customStyle="1" w:styleId="UnresolvedMention1">
    <w:name w:val="Unresolved Mention1"/>
    <w:basedOn w:val="DefaultParagraphFont"/>
    <w:uiPriority w:val="99"/>
    <w:semiHidden/>
    <w:unhideWhenUsed/>
    <w:rsid w:val="00B835D6"/>
    <w:rPr>
      <w:color w:val="605E5C"/>
      <w:shd w:val="clear" w:color="auto" w:fill="E1DFDD"/>
    </w:rPr>
  </w:style>
  <w:style w:type="paragraph" w:styleId="Header">
    <w:name w:val="header"/>
    <w:basedOn w:val="Normal"/>
    <w:link w:val="HeaderChar"/>
    <w:uiPriority w:val="99"/>
    <w:unhideWhenUsed/>
    <w:rsid w:val="00CC033B"/>
    <w:pPr>
      <w:tabs>
        <w:tab w:val="center" w:pos="4680"/>
        <w:tab w:val="right" w:pos="9360"/>
      </w:tabs>
    </w:pPr>
  </w:style>
  <w:style w:type="character" w:customStyle="1" w:styleId="HeaderChar">
    <w:name w:val="Header Char"/>
    <w:basedOn w:val="DefaultParagraphFont"/>
    <w:link w:val="Header"/>
    <w:uiPriority w:val="99"/>
    <w:rsid w:val="00CC033B"/>
    <w:rPr>
      <w:color w:val="000000"/>
    </w:rPr>
  </w:style>
  <w:style w:type="paragraph" w:styleId="Footer">
    <w:name w:val="footer"/>
    <w:basedOn w:val="Normal"/>
    <w:link w:val="FooterChar"/>
    <w:uiPriority w:val="99"/>
    <w:unhideWhenUsed/>
    <w:rsid w:val="00CC033B"/>
    <w:pPr>
      <w:tabs>
        <w:tab w:val="center" w:pos="4680"/>
        <w:tab w:val="right" w:pos="9360"/>
      </w:tabs>
    </w:pPr>
  </w:style>
  <w:style w:type="character" w:customStyle="1" w:styleId="FooterChar">
    <w:name w:val="Footer Char"/>
    <w:basedOn w:val="DefaultParagraphFont"/>
    <w:link w:val="Footer"/>
    <w:uiPriority w:val="99"/>
    <w:rsid w:val="00CC033B"/>
    <w:rPr>
      <w:color w:val="000000"/>
    </w:rPr>
  </w:style>
  <w:style w:type="paragraph" w:styleId="BalloonText">
    <w:name w:val="Balloon Text"/>
    <w:basedOn w:val="Normal"/>
    <w:link w:val="BalloonTextChar"/>
    <w:uiPriority w:val="99"/>
    <w:semiHidden/>
    <w:unhideWhenUsed/>
    <w:rsid w:val="003D433D"/>
    <w:rPr>
      <w:rFonts w:ascii="Tahoma" w:hAnsi="Tahoma" w:cs="Tahoma"/>
      <w:sz w:val="16"/>
      <w:szCs w:val="16"/>
    </w:rPr>
  </w:style>
  <w:style w:type="character" w:customStyle="1" w:styleId="BalloonTextChar">
    <w:name w:val="Balloon Text Char"/>
    <w:basedOn w:val="DefaultParagraphFont"/>
    <w:link w:val="BalloonText"/>
    <w:uiPriority w:val="99"/>
    <w:semiHidden/>
    <w:rsid w:val="003D433D"/>
    <w:rPr>
      <w:rFonts w:ascii="Tahoma" w:hAnsi="Tahoma" w:cs="Tahoma"/>
      <w:color w:val="000000"/>
      <w:sz w:val="16"/>
      <w:szCs w:val="16"/>
    </w:rPr>
  </w:style>
  <w:style w:type="paragraph" w:styleId="FootnoteText">
    <w:name w:val="footnote text"/>
    <w:basedOn w:val="Normal"/>
    <w:link w:val="FootnoteTextChar"/>
    <w:uiPriority w:val="99"/>
    <w:semiHidden/>
    <w:unhideWhenUsed/>
    <w:rsid w:val="006C4B88"/>
    <w:rPr>
      <w:sz w:val="20"/>
      <w:szCs w:val="20"/>
    </w:rPr>
  </w:style>
  <w:style w:type="character" w:customStyle="1" w:styleId="FootnoteTextChar">
    <w:name w:val="Footnote Text Char"/>
    <w:basedOn w:val="DefaultParagraphFont"/>
    <w:link w:val="FootnoteText"/>
    <w:uiPriority w:val="99"/>
    <w:semiHidden/>
    <w:rsid w:val="006C4B88"/>
    <w:rPr>
      <w:color w:val="000000"/>
      <w:sz w:val="20"/>
      <w:szCs w:val="20"/>
    </w:rPr>
  </w:style>
  <w:style w:type="character" w:styleId="FootnoteReference">
    <w:name w:val="footnote reference"/>
    <w:basedOn w:val="DefaultParagraphFont"/>
    <w:uiPriority w:val="99"/>
    <w:semiHidden/>
    <w:unhideWhenUsed/>
    <w:rsid w:val="006C4B88"/>
    <w:rPr>
      <w:vertAlign w:val="superscript"/>
    </w:rPr>
  </w:style>
  <w:style w:type="paragraph" w:styleId="Revision">
    <w:name w:val="Revision"/>
    <w:hidden/>
    <w:uiPriority w:val="99"/>
    <w:semiHidden/>
    <w:rsid w:val="00ED488D"/>
    <w:pPr>
      <w:widowControl/>
    </w:pPr>
    <w:rPr>
      <w:color w:val="000000"/>
    </w:rPr>
  </w:style>
  <w:style w:type="table" w:customStyle="1" w:styleId="TableGrid1">
    <w:name w:val="Table Grid1"/>
    <w:basedOn w:val="TableNormal"/>
    <w:next w:val="TableGrid"/>
    <w:rsid w:val="008D640C"/>
    <w:pPr>
      <w:widowControl/>
    </w:pPr>
    <w:rPr>
      <w:rFonts w:ascii="Calibri" w:eastAsia="Times New Roman" w:hAnsi="Calibri" w:cs="Times New Roman"/>
      <w:sz w:val="20"/>
      <w:szCs w:val="20"/>
      <w:lang w:eastAsia="mk-MK"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D6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commission.europa.eu/publications/2024-rule-law-report-targeted-stakeholder-consultation_en" TargetMode="External"/><Relationship Id="rId18" Type="http://schemas.openxmlformats.org/officeDocument/2006/relationships/hyperlink" Target="http://www.mja.org.mk/Default.aspx?news=6d58185c-2058-4d0c-9b15-d7b75ce50858&amp;ln=3&amp;type=17ad81e0-4f67-4746-8b0a-575d73e699b6" TargetMode="External"/><Relationship Id="rId26" Type="http://schemas.openxmlformats.org/officeDocument/2006/relationships/hyperlink" Target="https://monitor.civicus.org/country/macedonia/" TargetMode="External"/><Relationship Id="rId39" Type="http://schemas.openxmlformats.org/officeDocument/2006/relationships/hyperlink" Target="https://rm.coe.int/fifth-evaluation-round-second-compliance-report-north-macedonia-/1680acf53f" TargetMode="External"/><Relationship Id="rId21" Type="http://schemas.openxmlformats.org/officeDocument/2006/relationships/hyperlink" Target="https://www.coe.int/en/web/cepej/towards-a-better-evaluation-of-the-results-of-judicial-reforms-in-the-western-balkans-dashboard-western-balkans-" TargetMode="External"/><Relationship Id="rId34" Type="http://schemas.openxmlformats.org/officeDocument/2006/relationships/hyperlink" Target="https://civic-forum.eu/wp-content/uploads/2024/05/Civic-Space-Report-2024_ECF.pdf" TargetMode="External"/><Relationship Id="rId42" Type="http://schemas.openxmlformats.org/officeDocument/2006/relationships/hyperlink" Target="http://www.vsrm.mk/wps/portal/ssrm/sud/legislativa/podzakonski-akti/!ut/p/z1/04_Sj9CPykssy0xPLMnMz0vMAfIjo8zizdxNTAwsvA183A39LQwcQ_1DzSw93Ixc3M31C7IdFQFv5Gko/" TargetMode="External"/><Relationship Id="rId47" Type="http://schemas.openxmlformats.org/officeDocument/2006/relationships/hyperlink" Target="https://www.mapmf.org/alert/30987" TargetMode="External"/><Relationship Id="rId50" Type="http://schemas.openxmlformats.org/officeDocument/2006/relationships/hyperlink" Target="https://www.pravda.gov.mk/Upload/Documents/%D0%9F%D1%80%D0%B5%D0%B4%D0%BB%D0%BE%D0%B3%20%D0%A0%D0%B0%D0%B7%D0%B2%D0%BE%D1%98%D0%BD%D0%B0%20%D0%A1%D0%B5%D0%BA%D1%82%D0%BE%D1%80%D1%81%D0%BA%D0%B0%20%D0%A1%D1%82%D1%80%D0%B0%D1%82%D0%B5%D0%B3%D0%B8%D1%98%D0%B0%20%D0%B7%D0%B0%20%D0%9F%D1%80%D0%B0%D0%B2%D0%BE%D1%81%D1%83%D0%B4%D1%81%D1%82%D0%B2%D0%BE%202024%20-%202027.pdf" TargetMode="External"/><Relationship Id="rId55" Type="http://schemas.openxmlformats.org/officeDocument/2006/relationships/hyperlink" Target="https://www.osce.org/odihr/elections/north-macedonia/566401" TargetMode="External"/><Relationship Id="rId63" Type="http://schemas.openxmlformats.org/officeDocument/2006/relationships/hyperlink" Target="https://jorm.gov.mk/wp-content/uploads/2024/02/programa-za-rabota-na-%D1%98avnoto-obvinitelstvo-za-period-od-2024-do-2030-godina.pdf" TargetMode="External"/><Relationship Id="rId68" Type="http://schemas.openxmlformats.org/officeDocument/2006/relationships/hyperlink" Target="https://rsf.org/en/map-2024-world-press-freedom-index" TargetMode="External"/><Relationship Id="rId76" Type="http://schemas.openxmlformats.org/officeDocument/2006/relationships/hyperlink" Target="https://dksk.mk/mk/national-strategy-for-prevention-of-corruption-and-conflict-of-interest-2021-2025/"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fom.coe.int/en/alerte/detail/107640828%3BglobalSearch%3Dfalse" TargetMode="External"/><Relationship Id="rId2" Type="http://schemas.openxmlformats.org/officeDocument/2006/relationships/numbering" Target="numbering.xml"/><Relationship Id="rId16" Type="http://schemas.openxmlformats.org/officeDocument/2006/relationships/hyperlink" Target="https://znm.org.mk/wp-content/uploads/2024/02/ENG_Analiza-SLAPP-02-12-1.pdf" TargetMode="External"/><Relationship Id="rId29" Type="http://schemas.openxmlformats.org/officeDocument/2006/relationships/hyperlink" Target="https://www.coe.int/en/web/corruption/-/support-to-the-reform-of-the-north-macedonia-s-whistleblower-protection-legislation-kicks-off-with-a-workshop-in-skopje" TargetMode="External"/><Relationship Id="rId11" Type="http://schemas.openxmlformats.org/officeDocument/2006/relationships/footer" Target="footer1.xml"/><Relationship Id="rId24" Type="http://schemas.openxmlformats.org/officeDocument/2006/relationships/hyperlink" Target="https://www.ihr.org.mk/storage/app/media/E%D0%9D-%D0%98%D0%B7%D0%B2%D0%B5%D1%88%D1%82%D0%B0%D1%98_%D0%A1%D1%83%D0%B4%D1%81%D0%BA%D0%B8-%D0%A1%D0%BE%D0%B2%D0%B5%D1%82_%D0%B0%D0%B2%D0%B3-%D0%B4%D0%B5%D0%BA-2023.pdf" TargetMode="External"/><Relationship Id="rId32" Type="http://schemas.openxmlformats.org/officeDocument/2006/relationships/hyperlink" Target="https://www.eeas.europa.eu/delegations/north-macedonia/18th-meeting-stabilisation-and-association-agreement-subcommittee-north-macedonia-justice-freedom_en" TargetMode="External"/><Relationship Id="rId37" Type="http://schemas.openxmlformats.org/officeDocument/2006/relationships/hyperlink" Target="https://rm.coe.int/fourth-evaluation-round-corruption-prevention-in-respect-of-members-of/1680aec93a" TargetMode="External"/><Relationship Id="rId40" Type="http://schemas.openxmlformats.org/officeDocument/2006/relationships/hyperlink" Target="http://www.sud.mk/wps/wcm/connect/ssrm/f92ab11b-c9d0-423e-954b-2c8328bb6aab/%D0%93%D0%BE%D0%B4%D0%B8%D1%88%D0%B5%D0%BD%2B%D0%B8%D0%B7%D0%B2%D0%B5%D1%88%D1%82%D0%B0%D1%98%2B%D0%BD%D0%B0%2B%D0%A1%D0%A1%D0%A0%D0%A1%D0%9C%2B%D0%B7%D0%B0%2B2023%2B%D0%B3%D0%BE%D0%B4%D0%B8%D0%BD%D0%B0.pdf?MOD=AJPERES&amp;CACHEID=ROOTWORKSPACE.Z18_L8CC1J41L0B520APQFKICD0CR4-f92ab11b-c9d0-423e-954b-2c8328bb6aab-kZvrQCW" TargetMode="External"/><Relationship Id="rId45" Type="http://schemas.openxmlformats.org/officeDocument/2006/relationships/hyperlink" Target="http://www.sud.mk/wps/wcm/connect/ssrm/2e461c73-9f74-4744-99d3-945227a80b7c/Konecen%2Bnarativen%2Bdel%2BStrategija%2Bza%2Bcovecki%2Bresursi%2Bsud%2Bmreza-%2Bza%2Bobjava-%2B3.pdf?MOD=AJPERES" TargetMode="External"/><Relationship Id="rId53" Type="http://schemas.openxmlformats.org/officeDocument/2006/relationships/hyperlink" Target="https://www.pravda.gov.mk/vest/6704" TargetMode="External"/><Relationship Id="rId58" Type="http://schemas.openxmlformats.org/officeDocument/2006/relationships/hyperlink" Target="https://prizma.mk/rizik-od-zloupotreba-od-parite-za-izborni-reklami/" TargetMode="External"/><Relationship Id="rId66" Type="http://schemas.openxmlformats.org/officeDocument/2006/relationships/hyperlink" Target="https://lobisti.dksk.mk/all-lobbyists" TargetMode="External"/><Relationship Id="rId74" Type="http://schemas.openxmlformats.org/officeDocument/2006/relationships/hyperlink" Target="https://dksk.mk/wp-content/uploads/2023/02/Annual-report-on-implementation-of-2021-2025-National-strategy-on-prevention-of-corruption-and-conflict-of-interest.pdf" TargetMode="External"/><Relationship Id="rId79" Type="http://schemas.openxmlformats.org/officeDocument/2006/relationships/hyperlink" Target="https://transparency.mk/en/blog/" TargetMode="External"/><Relationship Id="rId5" Type="http://schemas.openxmlformats.org/officeDocument/2006/relationships/settings" Target="settings.xml"/><Relationship Id="rId61" Type="http://schemas.openxmlformats.org/officeDocument/2006/relationships/hyperlink" Target="https://jorm.gov.mk/wp-content/uploads/2024/02/programa-za-rabota-na-%D1%98avnoto-obvinitelstvo-za-period-od-2024-do-2030-godina.pdf" TargetMode="External"/><Relationship Id="rId82" Type="http://schemas.openxmlformats.org/officeDocument/2006/relationships/hyperlink" Target="https://mk.voanews.com/a/7443706.html" TargetMode="External"/><Relationship Id="rId19" Type="http://schemas.openxmlformats.org/officeDocument/2006/relationships/hyperlink" Target="https://balkaninsight.com/2023/07/05/party-games-in-north-macedonia-judges-promotions-depend-on-connection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pi.media/wp-content/uploads/2023/10/EN-Fact-Finding-PFM-Report-251023-web-1.pdf" TargetMode="External"/><Relationship Id="rId22" Type="http://schemas.openxmlformats.org/officeDocument/2006/relationships/hyperlink" Target="https://www.coe.int/en/web/cepej/towards-a-better-evaluation-of-the-results-of-judicial-reforms-in-the-western-balkans-dashboard-western-balkans-" TargetMode="External"/><Relationship Id="rId27" Type="http://schemas.openxmlformats.org/officeDocument/2006/relationships/hyperlink" Target="https://all4fairtrials.org.mk/wp-content/uploads/2023/12/63-MISo-2023.pdf" TargetMode="External"/><Relationship Id="rId30" Type="http://schemas.openxmlformats.org/officeDocument/2006/relationships/hyperlink" Target="https://www.coe.int/en/web/corruption/-/support-to-the-reform-of-the-north-macedonia-s-whistleblower-protection-legislation-kicks-off-with-a-workshop-in-skopje" TargetMode="External"/><Relationship Id="rId35" Type="http://schemas.openxmlformats.org/officeDocument/2006/relationships/hyperlink" Target="https://hudoc.echr.coe.int/fre" TargetMode="External"/><Relationship Id="rId43" Type="http://schemas.openxmlformats.org/officeDocument/2006/relationships/hyperlink" Target="http://www.sud.mk/wps/wcm/connect/ssrm/2e461c73-9f74-4744-99d3-945227a80b7c/Konecen%2Bnarativen%2Bdel%2BStrategija%2Bza%2Bcovecki%2Bresursi%2Bsud%2Bmreza-%2Bza%2Bobjava-%2B3.pdf?MOD=AJPERES" TargetMode="External"/><Relationship Id="rId48" Type="http://schemas.openxmlformats.org/officeDocument/2006/relationships/hyperlink" Target="https://www.mapmf.org/alert/30782" TargetMode="External"/><Relationship Id="rId56" Type="http://schemas.openxmlformats.org/officeDocument/2006/relationships/hyperlink" Target="https://www.osce.org/odihr/elections/north-macedonia/566401" TargetMode="External"/><Relationship Id="rId64" Type="http://schemas.openxmlformats.org/officeDocument/2006/relationships/hyperlink" Target="https://jorm.gov.mk/strategi%d1%98a-na-chovechki-resursi-za-%d1%98avnoobvinitelskata-mrezha/" TargetMode="External"/><Relationship Id="rId69" Type="http://schemas.openxmlformats.org/officeDocument/2006/relationships/hyperlink" Target="https://rsf.org/en/map-2024-world-press-freedom-index" TargetMode="External"/><Relationship Id="rId77" Type="http://schemas.openxmlformats.org/officeDocument/2006/relationships/hyperlink" Target="https://dksk.mk/mk/national-strategy-for-prevention-of-corruption-and-conflict-of-interest-2021-2025/" TargetMode="External"/><Relationship Id="rId8" Type="http://schemas.openxmlformats.org/officeDocument/2006/relationships/endnotes" Target="endnotes.xml"/><Relationship Id="rId51" Type="http://schemas.openxmlformats.org/officeDocument/2006/relationships/hyperlink" Target="https://www.pravda.gov.mk/Upload/Documents/%D0%9F%D1%80%D0%B5%D0%B4%D0%BB%D0%BE%D0%B3%20%D0%A0%D0%B0%D0%B7%D0%B2%D0%BE%D1%98%D0%BD%D0%B0%20%D0%A1%D0%B5%D0%BA%D1%82%D0%BE%D1%80%D1%81%D0%BA%D0%B0%20%D0%A1%D1%82%D1%80%D0%B0%D1%82%D0%B5%D0%B3%D0%B8%D1%98%D0%B0%20%D0%B7%D0%B0%20%D0%9F%D1%80%D0%B0%D0%B2%D0%BE%D1%81%D1%83%D0%B4%D1%81%D1%82%D0%B2%D0%BE%202024%20-%202027.pdf" TargetMode="External"/><Relationship Id="rId72" Type="http://schemas.openxmlformats.org/officeDocument/2006/relationships/hyperlink" Target="https://fom.coe.int/en/alerte/detail/107640828%3BglobalSearch%3Dfalse" TargetMode="External"/><Relationship Id="rId80" Type="http://schemas.openxmlformats.org/officeDocument/2006/relationships/hyperlink" Target="https://transparency.mk/wp-content/uploads/2024/01/national-integrity-system-assessment-2023.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mmission.europa.eu/publications/2024-rule-law-report-targeted-stakeholder-consultation_en" TargetMode="External"/><Relationship Id="rId17" Type="http://schemas.openxmlformats.org/officeDocument/2006/relationships/hyperlink" Target="https://znm.org.mk/wp-content/uploads/2024/02/ENG_Analiza-SLAPP-02-12-1.pdf" TargetMode="External"/><Relationship Id="rId25" Type="http://schemas.openxmlformats.org/officeDocument/2006/relationships/hyperlink" Target="https://www.ihr.org.mk/storage/app/media/E%D0%9D-%D0%98%D0%B7%D0%B2%D0%B5%D1%88%D1%82%D0%B0%D1%98_%D0%A1%D1%83%D0%B4%D1%81%D0%BA%D0%B8-%D0%A1%D0%BE%D0%B2%D0%B5%D1%82_%D0%B0%D0%B2%D0%B3-%D0%B4%D0%B5%D0%BA-2023.pdf" TargetMode="External"/><Relationship Id="rId33" Type="http://schemas.openxmlformats.org/officeDocument/2006/relationships/hyperlink" Target="https://civic-forum.eu/wp-content/uploads/2024/05/Civic-Space-Report-2024_ECF.pdf" TargetMode="External"/><Relationship Id="rId38" Type="http://schemas.openxmlformats.org/officeDocument/2006/relationships/hyperlink" Target="https://rm.coe.int/fourth-evaluation-round-corruption-prevention-in-respect-of-members-of/1680aec93a" TargetMode="External"/><Relationship Id="rId46" Type="http://schemas.openxmlformats.org/officeDocument/2006/relationships/hyperlink" Target="http://www.osvinica.mk/wps/portal/ssrm/sud/vesti/2ccdb78d-95b2-489f-b202-bd5361639c33/!ut/p/z1/rVPZUsIwFP2aPsasbdrHiiwim4MVmpdOV6jYBRqr8vUGxxkHVAqDecqdOffcc05yoYBzKHK_The-TIvcf1a1KwzP6DKGzDs0MPs3FrIdRjv3kwfMOIOzfUAXj00FGDuG1esQx6FQHO9_hAKKMJelXEK3KupYetlKQ9VLpKGyCGOZ-xqq40qmGiJhGAXcjIClBwQw00pAQBABQaRTAxvUCind0ZVhGkH3JPSsyd9OPvrj2Oir_whANMUnmkaIfY6fCbtKA_8GjHsdrgBtrNvmPZn2lMg6jV-hkxebTD3p9MyIFMHBhAMbHfzbhFlr6E1uoYt3RV55Rwm8T7S_iK8ooxzryAAmxYaSxBMljocgwcS3dMYtXyfQNc70cNzASL8wogZ6fiF9v-kXqS1Nn9ZrYatVKnIZv0k4_49dUrxkM2wNF0quL5cgzZMCzk9qLTMnM-l7ClbJsE2Z269Her29HgF12w7i2QcQuhqC/dz/d5/L2dBISEvZ0FBIS9nQSEh/?urile=wcm%3Apath%3A%2Fsovet_mk%2Fsud%2Fpocetna%2Fvesti%2F2ccdb78d-95b2-489f-b202-bd5361639c33" TargetMode="External"/><Relationship Id="rId59" Type="http://schemas.openxmlformats.org/officeDocument/2006/relationships/hyperlink" Target="https://www.sobranie.mk/detali-na-materijal.nspx?param=3ae13141-ac9e-486a-950e-f603c34dcea4" TargetMode="External"/><Relationship Id="rId67" Type="http://schemas.openxmlformats.org/officeDocument/2006/relationships/hyperlink" Target="https://lobisti.dksk.mk/all-lobbyists" TargetMode="External"/><Relationship Id="rId20" Type="http://schemas.openxmlformats.org/officeDocument/2006/relationships/hyperlink" Target="https://balkaninsight.com/2023/07/05/party-games-in-north-macedonia-judges-promotions-depend-on-connections/" TargetMode="External"/><Relationship Id="rId41" Type="http://schemas.openxmlformats.org/officeDocument/2006/relationships/hyperlink" Target="http://www.sud.mk/wps/wcm/connect/ssrm/f92ab11b-c9d0-423e-954b-2c8328bb6aab/%D0%93%D0%BE%D0%B4%D0%B8%D1%88%D0%B5%D0%BD%2B%D0%B8%D0%B7%D0%B2%D0%B5%D1%88%D1%82%D0%B0%D1%98%2B%D0%BD%D0%B0%2B%D0%A1%D0%A1%D0%A0%D0%A1%D0%9C%2B%D0%B7%D0%B0%2B2023%2B%D0%B3%D0%BE%D0%B4%D0%B8%D0%BD%D0%B0.pdf?MOD=AJPERES&amp;CACHEID=ROOTWORKSPACE.Z18_L8CC1J41L0B520APQFKICD0CR4-f92ab11b-c9d0-423e-954b-2c8328bb6aab-kZvrQCW" TargetMode="External"/><Relationship Id="rId54" Type="http://schemas.openxmlformats.org/officeDocument/2006/relationships/hyperlink" Target="https://www.osce.org/mission-to-skopje/545929" TargetMode="External"/><Relationship Id="rId62" Type="http://schemas.openxmlformats.org/officeDocument/2006/relationships/hyperlink" Target="https://jorm.gov.mk/wp-content/uploads/2024/02/programa-za-rabota-na-%D1%98avnoto-obvinitelstvo-za-period-od-2024-do-2030-godina.pdf" TargetMode="External"/><Relationship Id="rId70" Type="http://schemas.openxmlformats.org/officeDocument/2006/relationships/hyperlink" Target="https://safejournalists.net/wp-content/uploads/2023/07/MK-ENG-2022.pdf" TargetMode="External"/><Relationship Id="rId75" Type="http://schemas.openxmlformats.org/officeDocument/2006/relationships/hyperlink" Target="https://dksk.mk/wp-content/uploads/2023/02/Annual-report-on-implementation-of-2021-2025-National-strategy-on-prevention-of-corruption-and-conflict-of-interest.pdf"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pi.media/wp-content/uploads/2023/10/EN-Fact-Finding-PFM-Report-251023-web-1.pdf" TargetMode="External"/><Relationship Id="rId23" Type="http://schemas.openxmlformats.org/officeDocument/2006/relationships/hyperlink" Target="https://www.ihr.org.mk/storage/app/media/%D0%9F%D1%80%D0%BE%D0%B5%D0%BA%D1%82%D0%B8/2023%20-%20%D0%9F%D0%A0%D0%98%D0%A1%D0%A2%D0%90%D0%9F%20%D0%94%D0%9E%20%D0%9F%D0%A0%D0%90%D0%92%D0%94%D0%90%20%D0%97%D0%90%20%D0%A1%D0%98%D0%A2%D0%95/Sudski%20sovet/EN_Izveshtaj_Sudski-Sovet_Jan-Juli-2023.pdf" TargetMode="External"/><Relationship Id="rId28" Type="http://schemas.openxmlformats.org/officeDocument/2006/relationships/hyperlink" Target="https://www.coe.int/en/web/corruption/-/support-to-the-reform-of-the-north-macedonia-s-whistleblower-protection-legislation-kicks-off-with-a-workshop-in-skopje" TargetMode="External"/><Relationship Id="rId36" Type="http://schemas.openxmlformats.org/officeDocument/2006/relationships/hyperlink" Target="https://freedomhouse.org/country/north-macedonia/nations-transit/2024" TargetMode="External"/><Relationship Id="rId49" Type="http://schemas.openxmlformats.org/officeDocument/2006/relationships/hyperlink" Target="https://www.mfrr.eu/monitor/" TargetMode="External"/><Relationship Id="rId57" Type="http://schemas.openxmlformats.org/officeDocument/2006/relationships/hyperlink" Target="https://prizma.mk/mediumski-reformi-na-desno-vo-krug-i-nazad/" TargetMode="External"/><Relationship Id="rId10" Type="http://schemas.openxmlformats.org/officeDocument/2006/relationships/header" Target="header1.xml"/><Relationship Id="rId31" Type="http://schemas.openxmlformats.org/officeDocument/2006/relationships/hyperlink" Target="https://www.eeas.europa.eu/delegations/north-macedonia/18th-meeting-stabilisation-and-association-agreement-subcommittee-north-macedonia-justice-freedom_en" TargetMode="External"/><Relationship Id="rId44" Type="http://schemas.openxmlformats.org/officeDocument/2006/relationships/hyperlink" Target="http://www.sud.mk/wps/wcm/connect/ssrm/2e461c73-9f74-4744-99d3-945227a80b7c/Konecen%2Bnarativen%2Bdel%2BStrategija%2Bza%2Bcovecki%2Bresursi%2Bsud%2Bmreza-%2Bza%2Bobjava-%2B3.pdf?MOD=AJPERES" TargetMode="External"/><Relationship Id="rId52" Type="http://schemas.openxmlformats.org/officeDocument/2006/relationships/hyperlink" Target="https://www.pravda.gov.mk/vest/6691" TargetMode="External"/><Relationship Id="rId60" Type="http://schemas.openxmlformats.org/officeDocument/2006/relationships/hyperlink" Target="https://www.sobranie.mk/detali-na-materijal.nspx?param=3ae13141-ac9e-486a-950e-f603c34dcea4" TargetMode="External"/><Relationship Id="rId65" Type="http://schemas.openxmlformats.org/officeDocument/2006/relationships/hyperlink" Target="https://jorm.gov.mk/strategi%d1%98a-na-chovechki-resursi-za-%d1%98avnoobvinitelskata-mrezha/" TargetMode="External"/><Relationship Id="rId73" Type="http://schemas.openxmlformats.org/officeDocument/2006/relationships/hyperlink" Target="https://dksk.mk/wp-content/uploads/2023/02/Annual-report-on-implementation-of-2021-2025-National-strategy-on-prevention-of-corruption-and-conflict-of-interest.pdf" TargetMode="External"/><Relationship Id="rId78" Type="http://schemas.openxmlformats.org/officeDocument/2006/relationships/hyperlink" Target="http://www.vsrm.mk/wps/portal/vsrm/sud/vesti/f5429513-42c6-482b-9b27-a14934446366/!ut/p/z1/rVPLcoJAEPyWHDhudoF9wBEtfCVqEmOUvVALgm6UBRUx5usDqVSlKg_QSvY2VT3d0z2zkMM55EoUcilymSqxKWuPU592MUbWDbq1Jg8t5LiIWY-2g5DL4KwO0O0gyOv7nyCHPFR5lq-glx2CjQz9ZK2h_WGhoSwNo1wJDRXRPpcaigk2bKKbABshBdgyAmAHBgNCx7aJMaYmpRVfFsoF9M5Cz5oMVvOjX56DPvprALwpP94kwes4qoi9cgb2CRj3Ogw5U1cnjnVvjJ1SpJDREU5VukvKnU4ujKj3TeGLjQH5SWHWHvp3fejpVaH2fi2B_44Wy-jaxCbTCaLAMvVqJBYDm7AQxLohbIKZLYgBPXyhh1oDkz79Y0SDpjWX_0g-b7fcKY89VXn0ksP5v1x7SWzshu3hspxX5CsgVZzC-VmtWTJNLPMkwToeuib2BsWIFK-tEeDB6ehcXb0BL_qAxw!!/dz/d5/L2dBISEvZ0FBIS9nQSEh/?urile=wcm%3Apath%3A%2Fpublic_mk%2Fsud%2Fpocetna%2Fvesti%2Ff5429513-42c6-482b-9b27-a14934446366" TargetMode="External"/><Relationship Id="rId81" Type="http://schemas.openxmlformats.org/officeDocument/2006/relationships/hyperlink" Target="https://www.transparency.org/en/cpi/202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corruption/-/support-to-the-reform-of-the-north-macedonia-s-whistleblower-protection-legislation-kicks-off-with-a-workshop-in-skopje" TargetMode="External"/><Relationship Id="rId2" Type="http://schemas.openxmlformats.org/officeDocument/2006/relationships/hyperlink" Target="https://www.coe.int/en/web/corruption/-/support-to-the-reform-of-the-north-macedonia-s-whistleblower-protection-legislation-kicks-off-with-a-workshop-in-skopje" TargetMode="External"/><Relationship Id="rId1" Type="http://schemas.openxmlformats.org/officeDocument/2006/relationships/hyperlink" Target="http://www.dksk.org.mk" TargetMode="External"/><Relationship Id="rId6" Type="http://schemas.openxmlformats.org/officeDocument/2006/relationships/hyperlink" Target="https://avmu.mk/wp-content/uploads/2017/05/Law_on_Audio_and_Audiovisual_Media_Services_as_published_in_Official_Journal.pdf" TargetMode="External"/><Relationship Id="rId5" Type="http://schemas.openxmlformats.org/officeDocument/2006/relationships/hyperlink" Target="https://avmu.mk/wp-content/uploads/2017/05/Law_on_Audio_and_Audiovisual_Media_Services_as_published_in_Official_Journal.pdf" TargetMode="External"/><Relationship Id="rId4" Type="http://schemas.openxmlformats.org/officeDocument/2006/relationships/hyperlink" Target="https://avmu.mk/wp-content/uploads/2017/05/Law_on_Audio_and_Audiovisual_Media_Services_as_published_in_Official_Jour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DDD4-533D-4A28-9610-13FB851D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11423</Words>
  <Characters>65116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Basovik</dc:creator>
  <cp:lastModifiedBy>Marija Nikolovska</cp:lastModifiedBy>
  <cp:revision>2</cp:revision>
  <dcterms:created xsi:type="dcterms:W3CDTF">2024-08-12T09:12:00Z</dcterms:created>
  <dcterms:modified xsi:type="dcterms:W3CDTF">2024-08-12T09:12:00Z</dcterms:modified>
</cp:coreProperties>
</file>