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9311"/>
      </w:tblGrid>
      <w:tr w:rsidR="00005F5D" w:rsidTr="005D436F">
        <w:tc>
          <w:tcPr>
            <w:tcW w:w="9016" w:type="dxa"/>
            <w:shd w:val="clear" w:color="auto" w:fill="E2EFD9" w:themeFill="accent6" w:themeFillTint="33"/>
          </w:tcPr>
          <w:p w:rsidR="00005F5D" w:rsidRDefault="00005F5D" w:rsidP="005D436F">
            <w:pPr>
              <w:spacing w:line="260" w:lineRule="auto"/>
              <w:jc w:val="both"/>
              <w:rPr>
                <w:rFonts w:cs="Arial"/>
                <w:lang w:val="mk-MK"/>
              </w:rPr>
            </w:pPr>
          </w:p>
          <w:p w:rsidR="00005F5D" w:rsidRPr="00670B7D" w:rsidRDefault="00005F5D" w:rsidP="005D436F">
            <w:pPr>
              <w:pStyle w:val="Heading3"/>
              <w:outlineLvl w:val="2"/>
              <w:rPr>
                <w:b/>
                <w:color w:val="2E74B5" w:themeColor="accent1" w:themeShade="BF"/>
                <w:lang w:val="mk-MK"/>
              </w:rPr>
            </w:pPr>
            <w:bookmarkStart w:id="0" w:name="_Toc518572071"/>
            <w:r w:rsidRPr="00670B7D">
              <w:rPr>
                <w:b/>
                <w:color w:val="2E74B5" w:themeColor="accent1" w:themeShade="BF"/>
                <w:lang w:val="mk-MK"/>
              </w:rPr>
              <w:t>Прилог Ж - СТРУКТУРА НА ИЗВЕШТАЈ ОД ФУНКЦИОНАЛНАТА АНАЛИЗА</w:t>
            </w:r>
            <w:bookmarkEnd w:id="0"/>
          </w:p>
          <w:p w:rsidR="00005F5D" w:rsidRPr="00F35BC9" w:rsidRDefault="00005F5D" w:rsidP="005D436F">
            <w:pPr>
              <w:rPr>
                <w:rFonts w:cstheme="minorHAnsi"/>
                <w:b/>
                <w:color w:val="0070C0"/>
              </w:rPr>
            </w:pPr>
          </w:p>
          <w:tbl>
            <w:tblPr>
              <w:tblStyle w:val="TableGrid"/>
              <w:tblW w:w="0" w:type="auto"/>
              <w:tblLook w:val="04A0" w:firstRow="1" w:lastRow="0" w:firstColumn="1" w:lastColumn="0" w:noHBand="0" w:noVBand="1"/>
            </w:tblPr>
            <w:tblGrid>
              <w:gridCol w:w="8790"/>
            </w:tblGrid>
            <w:tr w:rsidR="00005F5D" w:rsidTr="005D436F">
              <w:tc>
                <w:tcPr>
                  <w:tcW w:w="8790" w:type="dxa"/>
                </w:tcPr>
                <w:p w:rsidR="00005F5D" w:rsidRPr="00F35BC9" w:rsidRDefault="00005F5D" w:rsidP="005D436F">
                  <w:pPr>
                    <w:rPr>
                      <w:rFonts w:cstheme="minorHAnsi"/>
                      <w:b/>
                      <w:color w:val="0070C0"/>
                    </w:rPr>
                  </w:pPr>
                  <w:r w:rsidRPr="00F35BC9">
                    <w:rPr>
                      <w:rFonts w:cstheme="minorHAnsi"/>
                      <w:b/>
                      <w:color w:val="0070C0"/>
                      <w:lang w:val="mk-MK"/>
                    </w:rPr>
                    <w:t xml:space="preserve">Вовед </w:t>
                  </w:r>
                </w:p>
                <w:p w:rsidR="00005F5D" w:rsidRPr="00F35BC9" w:rsidRDefault="00005F5D" w:rsidP="00005F5D">
                  <w:pPr>
                    <w:pStyle w:val="ListParagraph"/>
                    <w:numPr>
                      <w:ilvl w:val="0"/>
                      <w:numId w:val="33"/>
                    </w:numPr>
                    <w:rPr>
                      <w:rFonts w:cstheme="minorHAnsi"/>
                    </w:rPr>
                  </w:pPr>
                  <w:r w:rsidRPr="00F35BC9">
                    <w:rPr>
                      <w:rFonts w:cstheme="minorHAnsi"/>
                      <w:lang w:val="mk-MK"/>
                    </w:rPr>
                    <w:t xml:space="preserve">Цели на </w:t>
                  </w:r>
                  <w:r>
                    <w:rPr>
                      <w:rFonts w:cstheme="minorHAnsi"/>
                      <w:lang w:val="mk-MK"/>
                    </w:rPr>
                    <w:t>ФА</w:t>
                  </w:r>
                </w:p>
                <w:p w:rsidR="00005F5D" w:rsidRPr="00F35BC9" w:rsidRDefault="00005F5D" w:rsidP="00005F5D">
                  <w:pPr>
                    <w:pStyle w:val="ListParagraph"/>
                    <w:numPr>
                      <w:ilvl w:val="0"/>
                      <w:numId w:val="33"/>
                    </w:numPr>
                    <w:rPr>
                      <w:rFonts w:cstheme="minorHAnsi"/>
                    </w:rPr>
                  </w:pPr>
                  <w:r w:rsidRPr="00F35BC9">
                    <w:rPr>
                      <w:rFonts w:cstheme="minorHAnsi"/>
                      <w:lang w:val="mk-MK"/>
                    </w:rPr>
                    <w:t>Опсег на Ф</w:t>
                  </w:r>
                  <w:r>
                    <w:rPr>
                      <w:rFonts w:cstheme="minorHAnsi"/>
                      <w:lang w:val="mk-MK"/>
                    </w:rPr>
                    <w:t>А</w:t>
                  </w:r>
                  <w:r w:rsidRPr="00F35BC9">
                    <w:rPr>
                      <w:rFonts w:cstheme="minorHAnsi"/>
                      <w:lang w:val="mk-MK"/>
                    </w:rPr>
                    <w:t xml:space="preserve"> –  се базира на надлежности, планови, ги опфаќа сите работни области, организација, распределба, способности, компетенции на вработените, евентуална поврзаност со други организации</w:t>
                  </w:r>
                </w:p>
                <w:p w:rsidR="00005F5D" w:rsidRPr="00F35BC9" w:rsidRDefault="00005F5D" w:rsidP="00005F5D">
                  <w:pPr>
                    <w:pStyle w:val="ListParagraph"/>
                    <w:numPr>
                      <w:ilvl w:val="0"/>
                      <w:numId w:val="33"/>
                    </w:numPr>
                    <w:rPr>
                      <w:rFonts w:cstheme="minorHAnsi"/>
                    </w:rPr>
                  </w:pPr>
                  <w:r w:rsidRPr="00F35BC9">
                    <w:rPr>
                      <w:rFonts w:cstheme="minorHAnsi"/>
                      <w:lang w:val="mk-MK"/>
                    </w:rPr>
                    <w:t xml:space="preserve">Краток опис на функциите на институцијата, број на вработени и структурата, поделба на раководни и </w:t>
                  </w:r>
                  <w:r>
                    <w:rPr>
                      <w:rFonts w:cstheme="minorHAnsi"/>
                      <w:lang w:val="mk-MK"/>
                    </w:rPr>
                    <w:t>оперативни</w:t>
                  </w:r>
                  <w:r w:rsidRPr="00F35BC9">
                    <w:rPr>
                      <w:rFonts w:cstheme="minorHAnsi"/>
                      <w:lang w:val="mk-MK"/>
                    </w:rPr>
                    <w:t xml:space="preserve"> кадри.</w:t>
                  </w:r>
                </w:p>
                <w:p w:rsidR="00005F5D" w:rsidRDefault="00005F5D" w:rsidP="005D436F">
                  <w:pPr>
                    <w:rPr>
                      <w:rFonts w:cstheme="minorHAnsi"/>
                      <w:b/>
                      <w:color w:val="0070C0"/>
                      <w:lang w:val="mk-MK"/>
                    </w:rPr>
                  </w:pPr>
                </w:p>
              </w:tc>
            </w:tr>
            <w:tr w:rsidR="00005F5D" w:rsidTr="005D436F">
              <w:tc>
                <w:tcPr>
                  <w:tcW w:w="8790" w:type="dxa"/>
                </w:tcPr>
                <w:p w:rsidR="00005F5D" w:rsidRDefault="00005F5D" w:rsidP="005D436F">
                  <w:pPr>
                    <w:rPr>
                      <w:rFonts w:cstheme="minorHAnsi"/>
                      <w:b/>
                      <w:color w:val="0070C0"/>
                      <w:lang w:val="mk-MK"/>
                    </w:rPr>
                  </w:pPr>
                </w:p>
                <w:p w:rsidR="00005F5D" w:rsidRPr="00F35BC9" w:rsidRDefault="00005F5D" w:rsidP="005D436F">
                  <w:pPr>
                    <w:rPr>
                      <w:rFonts w:cstheme="minorHAnsi"/>
                      <w:b/>
                      <w:color w:val="0070C0"/>
                    </w:rPr>
                  </w:pPr>
                  <w:r w:rsidRPr="00F35BC9">
                    <w:rPr>
                      <w:rFonts w:cstheme="minorHAnsi"/>
                      <w:b/>
                      <w:color w:val="0070C0"/>
                      <w:lang w:val="mk-MK"/>
                    </w:rPr>
                    <w:t xml:space="preserve">Резиме на клучни/генерални наоди </w:t>
                  </w:r>
                </w:p>
                <w:p w:rsidR="00005F5D" w:rsidRPr="00F35BC9" w:rsidRDefault="00005F5D" w:rsidP="00005F5D">
                  <w:pPr>
                    <w:pStyle w:val="ListParagraph"/>
                    <w:numPr>
                      <w:ilvl w:val="0"/>
                      <w:numId w:val="34"/>
                    </w:numPr>
                    <w:rPr>
                      <w:rFonts w:cstheme="minorHAnsi"/>
                    </w:rPr>
                  </w:pPr>
                  <w:r w:rsidRPr="00F35BC9">
                    <w:rPr>
                      <w:rFonts w:cstheme="minorHAnsi"/>
                      <w:lang w:val="mk-MK"/>
                    </w:rPr>
                    <w:t>Тековните предизвици кои влијаат врз исполнувањето на работните задачи (на пр., недостаток на вработени, потреба од нови вештини, повеќе ресурси, поинаква организација итн.)</w:t>
                  </w:r>
                  <w:r>
                    <w:rPr>
                      <w:rFonts w:cstheme="minorHAnsi"/>
                      <w:lang w:val="mk-MK"/>
                    </w:rPr>
                    <w:t xml:space="preserve"> и</w:t>
                  </w:r>
                </w:p>
                <w:p w:rsidR="00005F5D" w:rsidRPr="00223D09" w:rsidRDefault="00005F5D" w:rsidP="00005F5D">
                  <w:pPr>
                    <w:pStyle w:val="ListParagraph"/>
                    <w:numPr>
                      <w:ilvl w:val="0"/>
                      <w:numId w:val="34"/>
                    </w:numPr>
                    <w:rPr>
                      <w:rFonts w:cstheme="minorHAnsi"/>
                    </w:rPr>
                  </w:pPr>
                  <w:r w:rsidRPr="00F35BC9">
                    <w:rPr>
                      <w:rFonts w:cstheme="minorHAnsi"/>
                      <w:lang w:val="mk-MK"/>
                    </w:rPr>
                    <w:t>Предизвици при исполнувањето на стратешките цели и реформата во јавниот сектор</w:t>
                  </w:r>
                  <w:r w:rsidRPr="00223D09">
                    <w:rPr>
                      <w:rFonts w:cstheme="minorHAnsi"/>
                      <w:lang w:val="mk-MK"/>
                    </w:rPr>
                    <w:t xml:space="preserve">. </w:t>
                  </w:r>
                </w:p>
                <w:p w:rsidR="00005F5D" w:rsidRPr="00F35BC9" w:rsidRDefault="00005F5D" w:rsidP="005D436F">
                  <w:pPr>
                    <w:pStyle w:val="ListParagraph"/>
                    <w:rPr>
                      <w:rFonts w:cstheme="minorHAnsi"/>
                      <w:lang w:val="mk-MK"/>
                    </w:rPr>
                  </w:pPr>
                </w:p>
                <w:p w:rsidR="00005F5D" w:rsidRDefault="00005F5D" w:rsidP="005D436F">
                  <w:pPr>
                    <w:rPr>
                      <w:rFonts w:cstheme="minorHAnsi"/>
                      <w:b/>
                      <w:color w:val="0070C0"/>
                      <w:lang w:val="mk-MK"/>
                    </w:rPr>
                  </w:pPr>
                </w:p>
              </w:tc>
            </w:tr>
          </w:tbl>
          <w:p w:rsidR="00005F5D" w:rsidRDefault="00005F5D" w:rsidP="005D436F">
            <w:pPr>
              <w:rPr>
                <w:rFonts w:cstheme="minorHAnsi"/>
                <w:lang w:val="mk-MK"/>
              </w:rPr>
            </w:pPr>
          </w:p>
          <w:p w:rsidR="00005F5D" w:rsidRDefault="00005F5D" w:rsidP="005D436F">
            <w:pPr>
              <w:rPr>
                <w:rFonts w:cstheme="minorHAnsi"/>
                <w:lang w:val="mk-MK"/>
              </w:rPr>
            </w:pPr>
          </w:p>
          <w:p w:rsidR="00005F5D" w:rsidRDefault="00005F5D" w:rsidP="005D436F">
            <w:pPr>
              <w:jc w:val="both"/>
              <w:rPr>
                <w:rFonts w:cstheme="minorHAnsi"/>
                <w:b/>
                <w:color w:val="0070C0"/>
                <w:lang w:val="mk-MK"/>
              </w:rPr>
            </w:pPr>
            <w:r w:rsidRPr="00F81384">
              <w:rPr>
                <w:rFonts w:cstheme="minorHAnsi"/>
                <w:b/>
                <w:color w:val="0070C0"/>
                <w:lang w:val="mk-MK"/>
              </w:rPr>
              <w:t>Детални наоди</w:t>
            </w:r>
          </w:p>
          <w:p w:rsidR="00005F5D" w:rsidRDefault="00005F5D" w:rsidP="005D436F">
            <w:pPr>
              <w:jc w:val="both"/>
              <w:rPr>
                <w:rFonts w:cstheme="minorHAnsi"/>
                <w:b/>
                <w:color w:val="0070C0"/>
                <w:lang w:val="mk-MK"/>
              </w:rPr>
            </w:pPr>
            <w:r>
              <w:rPr>
                <w:rFonts w:cstheme="minorHAnsi"/>
                <w:b/>
                <w:color w:val="0070C0"/>
                <w:lang w:val="mk-MK"/>
              </w:rPr>
              <w:t>Во овој дел детално претставете ги сите наоди кои произлегуваат од анализата. Деталниот приказ прикажете го:</w:t>
            </w:r>
          </w:p>
          <w:p w:rsidR="00005F5D" w:rsidRPr="00F81384" w:rsidRDefault="00005F5D" w:rsidP="005D436F">
            <w:pPr>
              <w:jc w:val="both"/>
              <w:rPr>
                <w:rFonts w:cstheme="minorHAnsi"/>
                <w:b/>
                <w:color w:val="0070C0"/>
                <w:lang w:val="mk-MK"/>
              </w:rPr>
            </w:pPr>
          </w:p>
          <w:p w:rsidR="00005F5D" w:rsidRPr="00745D0D" w:rsidRDefault="00005F5D" w:rsidP="00005F5D">
            <w:pPr>
              <w:numPr>
                <w:ilvl w:val="1"/>
                <w:numId w:val="39"/>
              </w:numPr>
              <w:jc w:val="both"/>
              <w:rPr>
                <w:rFonts w:cstheme="minorHAnsi"/>
                <w:lang w:val="en-US"/>
              </w:rPr>
            </w:pPr>
            <w:r w:rsidRPr="00745D0D">
              <w:rPr>
                <w:rFonts w:cstheme="minorHAnsi"/>
                <w:b/>
                <w:bCs/>
                <w:lang w:val="mk-MK"/>
              </w:rPr>
              <w:t>Според функции</w:t>
            </w:r>
            <w:r>
              <w:rPr>
                <w:rFonts w:cstheme="minorHAnsi"/>
                <w:b/>
                <w:bCs/>
                <w:lang w:val="mk-MK"/>
              </w:rPr>
              <w:t>/делокруг на работата на секторите</w:t>
            </w:r>
          </w:p>
          <w:p w:rsidR="00005F5D" w:rsidRPr="00F81384" w:rsidRDefault="00005F5D" w:rsidP="00005F5D">
            <w:pPr>
              <w:numPr>
                <w:ilvl w:val="1"/>
                <w:numId w:val="39"/>
              </w:numPr>
              <w:jc w:val="both"/>
              <w:rPr>
                <w:rFonts w:cstheme="minorHAnsi"/>
                <w:b/>
                <w:bCs/>
                <w:lang w:val="mk-MK"/>
              </w:rPr>
            </w:pPr>
            <w:r w:rsidRPr="00745D0D">
              <w:rPr>
                <w:rFonts w:cstheme="minorHAnsi"/>
                <w:b/>
                <w:bCs/>
                <w:lang w:val="mk-MK"/>
              </w:rPr>
              <w:t>Според трите критериуми – семафор систем</w:t>
            </w:r>
          </w:p>
          <w:p w:rsidR="00005F5D" w:rsidRDefault="00005F5D" w:rsidP="005D436F">
            <w:pPr>
              <w:jc w:val="both"/>
              <w:rPr>
                <w:rFonts w:cstheme="minorHAnsi"/>
                <w:lang w:val="mk-MK"/>
              </w:rPr>
            </w:pPr>
          </w:p>
          <w:p w:rsidR="00005F5D" w:rsidRDefault="00005F5D" w:rsidP="00005F5D">
            <w:pPr>
              <w:numPr>
                <w:ilvl w:val="0"/>
                <w:numId w:val="40"/>
              </w:numPr>
              <w:ind w:left="567" w:hanging="283"/>
              <w:jc w:val="both"/>
              <w:rPr>
                <w:rFonts w:cstheme="minorHAnsi"/>
                <w:b/>
                <w:bCs/>
                <w:lang w:val="mk-MK"/>
              </w:rPr>
            </w:pPr>
            <w:r w:rsidRPr="00CE7839">
              <w:rPr>
                <w:rFonts w:cstheme="minorHAnsi"/>
                <w:b/>
                <w:bCs/>
                <w:lang w:val="mk-MK"/>
              </w:rPr>
              <w:t>Детален приказ на наодите според функции и делокруг на работа</w:t>
            </w:r>
          </w:p>
          <w:p w:rsidR="00005F5D" w:rsidRDefault="00005F5D" w:rsidP="005D436F">
            <w:pPr>
              <w:jc w:val="both"/>
              <w:rPr>
                <w:rFonts w:cstheme="minorHAnsi"/>
                <w:lang w:val="mk-MK"/>
              </w:rPr>
            </w:pPr>
          </w:p>
          <w:p w:rsidR="00005F5D" w:rsidRDefault="00005F5D" w:rsidP="005D436F">
            <w:pPr>
              <w:jc w:val="both"/>
              <w:rPr>
                <w:rFonts w:cstheme="minorHAnsi"/>
                <w:lang w:val="mk-MK"/>
              </w:rPr>
            </w:pPr>
            <w:r>
              <w:rPr>
                <w:rFonts w:cstheme="minorHAnsi"/>
                <w:lang w:val="mk-MK"/>
              </w:rPr>
              <w:t xml:space="preserve">Приказот според функциите треба да ја даде сликата на институцијата според организациската поставеност и функциите кои се извршуваат во организациските единици. </w:t>
            </w:r>
          </w:p>
          <w:p w:rsidR="00005F5D" w:rsidRDefault="00005F5D" w:rsidP="005D436F">
            <w:pPr>
              <w:jc w:val="both"/>
              <w:rPr>
                <w:rFonts w:cstheme="minorHAnsi"/>
                <w:lang w:val="mk-MK"/>
              </w:rPr>
            </w:pPr>
            <w:r>
              <w:rPr>
                <w:rFonts w:cstheme="minorHAnsi"/>
                <w:lang w:val="mk-MK"/>
              </w:rPr>
              <w:t>Анализирајте ги сите сектори во однос на нивните функции, структура на вработени, наведете ги наодите и можните препораки во однос на анализираниот сектор/одделение.</w:t>
            </w:r>
          </w:p>
          <w:p w:rsidR="00005F5D" w:rsidRDefault="00005F5D" w:rsidP="005D436F">
            <w:pPr>
              <w:jc w:val="both"/>
              <w:rPr>
                <w:rFonts w:cstheme="minorHAnsi"/>
                <w:lang w:val="mk-MK"/>
              </w:rPr>
            </w:pPr>
          </w:p>
          <w:p w:rsidR="00005F5D" w:rsidRDefault="00005F5D" w:rsidP="005D436F">
            <w:pPr>
              <w:jc w:val="both"/>
              <w:rPr>
                <w:rFonts w:cstheme="minorHAnsi"/>
                <w:lang w:val="mk-MK"/>
              </w:rPr>
            </w:pPr>
            <w:r>
              <w:rPr>
                <w:rFonts w:cstheme="minorHAnsi"/>
                <w:lang w:val="mk-MK"/>
              </w:rPr>
              <w:t>Пример:</w:t>
            </w:r>
          </w:p>
          <w:p w:rsidR="00005F5D" w:rsidRDefault="00005F5D" w:rsidP="005D436F">
            <w:pPr>
              <w:jc w:val="both"/>
              <w:rPr>
                <w:rFonts w:cstheme="minorHAnsi"/>
                <w:lang w:val="mk-MK"/>
              </w:rPr>
            </w:pPr>
          </w:p>
          <w:p w:rsidR="00005F5D" w:rsidRPr="00A35399" w:rsidRDefault="00005F5D" w:rsidP="005D436F">
            <w:pPr>
              <w:jc w:val="both"/>
              <w:rPr>
                <w:rFonts w:cstheme="minorHAnsi"/>
                <w:b/>
                <w:i/>
                <w:lang w:val="mk-MK"/>
              </w:rPr>
            </w:pPr>
            <w:r w:rsidRPr="00F81384">
              <w:rPr>
                <w:rFonts w:cstheme="minorHAnsi"/>
                <w:b/>
                <w:lang w:val="mk-MK"/>
              </w:rPr>
              <w:t>Од</w:t>
            </w:r>
            <w:bookmarkStart w:id="1" w:name="_GoBack"/>
            <w:r w:rsidRPr="00A35399">
              <w:rPr>
                <w:rFonts w:cstheme="minorHAnsi"/>
                <w:b/>
                <w:i/>
                <w:lang w:val="mk-MK"/>
              </w:rPr>
              <w:t>деление за внатрешна ревизија</w:t>
            </w:r>
          </w:p>
          <w:p w:rsidR="00005F5D" w:rsidRPr="00A35399" w:rsidRDefault="00005F5D" w:rsidP="005D436F">
            <w:pPr>
              <w:jc w:val="both"/>
              <w:rPr>
                <w:rFonts w:cstheme="minorHAnsi"/>
                <w:i/>
                <w:lang w:val="mk-MK"/>
              </w:rPr>
            </w:pPr>
          </w:p>
          <w:p w:rsidR="00005F5D" w:rsidRPr="00A35399" w:rsidRDefault="00005F5D" w:rsidP="005D436F">
            <w:pPr>
              <w:jc w:val="both"/>
              <w:rPr>
                <w:rFonts w:cstheme="minorHAnsi"/>
                <w:b/>
                <w:i/>
                <w:lang w:val="mk-MK"/>
              </w:rPr>
            </w:pPr>
            <w:r w:rsidRPr="00A35399">
              <w:rPr>
                <w:rFonts w:cstheme="minorHAnsi"/>
                <w:b/>
                <w:i/>
                <w:lang w:val="mk-MK"/>
              </w:rPr>
              <w:t>Функции</w:t>
            </w:r>
          </w:p>
          <w:p w:rsidR="00005F5D" w:rsidRPr="00A35399" w:rsidRDefault="00005F5D" w:rsidP="005D436F">
            <w:pPr>
              <w:jc w:val="both"/>
              <w:rPr>
                <w:rFonts w:cstheme="minorHAnsi"/>
                <w:i/>
                <w:lang w:val="mk-MK"/>
              </w:rPr>
            </w:pPr>
            <w:r w:rsidRPr="00A35399">
              <w:rPr>
                <w:rFonts w:cstheme="minorHAnsi"/>
                <w:i/>
                <w:lang w:val="mk-MK"/>
              </w:rPr>
              <w:t xml:space="preserve"> </w:t>
            </w:r>
          </w:p>
          <w:p w:rsidR="00005F5D" w:rsidRPr="00A35399" w:rsidRDefault="00005F5D" w:rsidP="005D436F">
            <w:pPr>
              <w:jc w:val="both"/>
              <w:rPr>
                <w:rFonts w:cstheme="minorHAnsi"/>
                <w:i/>
                <w:lang w:val="mk-MK"/>
              </w:rPr>
            </w:pPr>
            <w:r w:rsidRPr="00A35399">
              <w:rPr>
                <w:rFonts w:cstheme="minorHAnsi"/>
                <w:i/>
                <w:lang w:val="mk-MK"/>
              </w:rPr>
              <w:t>Функциите кои ги извршува ова одделение се регулирани со Закон за јавна внатрешна финансиска контрола.....</w:t>
            </w:r>
          </w:p>
          <w:p w:rsidR="00005F5D" w:rsidRPr="00A35399" w:rsidRDefault="00005F5D" w:rsidP="005D436F">
            <w:pPr>
              <w:jc w:val="both"/>
              <w:rPr>
                <w:rFonts w:cstheme="minorHAnsi"/>
                <w:i/>
                <w:lang w:val="mk-MK"/>
              </w:rPr>
            </w:pPr>
            <w:r w:rsidRPr="00A35399">
              <w:rPr>
                <w:rFonts w:cstheme="minorHAnsi"/>
                <w:i/>
                <w:lang w:val="mk-MK"/>
              </w:rPr>
              <w:t xml:space="preserve">Одделението извршува </w:t>
            </w:r>
            <w:proofErr w:type="spellStart"/>
            <w:r w:rsidRPr="00A35399">
              <w:rPr>
                <w:rFonts w:cstheme="minorHAnsi"/>
                <w:i/>
                <w:lang w:val="mk-MK"/>
              </w:rPr>
              <w:t>регулаторна</w:t>
            </w:r>
            <w:proofErr w:type="spellEnd"/>
            <w:r w:rsidRPr="00A35399">
              <w:rPr>
                <w:rFonts w:cstheme="minorHAnsi"/>
                <w:i/>
                <w:lang w:val="mk-MK"/>
              </w:rPr>
              <w:t xml:space="preserve"> функција</w:t>
            </w:r>
          </w:p>
          <w:p w:rsidR="00005F5D" w:rsidRPr="00A35399" w:rsidRDefault="00005F5D" w:rsidP="005D436F">
            <w:pPr>
              <w:jc w:val="both"/>
              <w:rPr>
                <w:rFonts w:cstheme="minorHAnsi"/>
                <w:i/>
                <w:lang w:val="mk-MK"/>
              </w:rPr>
            </w:pPr>
          </w:p>
          <w:p w:rsidR="00005F5D" w:rsidRPr="00A35399" w:rsidRDefault="00005F5D" w:rsidP="005D436F">
            <w:pPr>
              <w:jc w:val="both"/>
              <w:rPr>
                <w:rFonts w:cstheme="minorHAnsi"/>
                <w:b/>
                <w:i/>
                <w:lang w:val="mk-MK"/>
              </w:rPr>
            </w:pPr>
          </w:p>
          <w:p w:rsidR="00005F5D" w:rsidRPr="00A35399" w:rsidRDefault="00005F5D" w:rsidP="005D436F">
            <w:pPr>
              <w:jc w:val="both"/>
              <w:rPr>
                <w:rFonts w:cstheme="minorHAnsi"/>
                <w:b/>
                <w:i/>
                <w:lang w:val="mk-MK"/>
              </w:rPr>
            </w:pPr>
            <w:r w:rsidRPr="00A35399">
              <w:rPr>
                <w:rFonts w:cstheme="minorHAnsi"/>
                <w:b/>
                <w:i/>
                <w:lang w:val="mk-MK"/>
              </w:rPr>
              <w:lastRenderedPageBreak/>
              <w:t>Структура и вработени</w:t>
            </w:r>
          </w:p>
          <w:p w:rsidR="00005F5D" w:rsidRPr="00A35399" w:rsidRDefault="00005F5D" w:rsidP="005D436F">
            <w:pPr>
              <w:jc w:val="both"/>
              <w:rPr>
                <w:rFonts w:cstheme="minorHAnsi"/>
                <w:i/>
                <w:lang w:val="mk-MK"/>
              </w:rPr>
            </w:pPr>
          </w:p>
          <w:p w:rsidR="00005F5D" w:rsidRPr="00A35399" w:rsidRDefault="00005F5D" w:rsidP="005D436F">
            <w:pPr>
              <w:jc w:val="both"/>
              <w:rPr>
                <w:rFonts w:cstheme="minorHAnsi"/>
                <w:i/>
                <w:lang w:val="mk-MK"/>
              </w:rPr>
            </w:pPr>
            <w:r w:rsidRPr="00A35399">
              <w:rPr>
                <w:rFonts w:cstheme="minorHAnsi"/>
                <w:i/>
                <w:lang w:val="mk-MK"/>
              </w:rPr>
              <w:t>Одделението за внатрешна ревизија во моментов има систематизирано 4 работни места, од кои се пополнето само едно, – раководител на одделение . . .</w:t>
            </w:r>
          </w:p>
          <w:p w:rsidR="00005F5D" w:rsidRPr="00A35399" w:rsidRDefault="00005F5D" w:rsidP="005D436F">
            <w:pPr>
              <w:jc w:val="both"/>
              <w:rPr>
                <w:rFonts w:cstheme="minorHAnsi"/>
                <w:i/>
                <w:lang w:val="mk-MK"/>
              </w:rPr>
            </w:pPr>
          </w:p>
          <w:p w:rsidR="00005F5D" w:rsidRPr="00A35399" w:rsidRDefault="00005F5D" w:rsidP="005D436F">
            <w:pPr>
              <w:jc w:val="both"/>
              <w:rPr>
                <w:rFonts w:cstheme="minorHAnsi"/>
                <w:b/>
                <w:i/>
                <w:lang w:val="mk-MK"/>
              </w:rPr>
            </w:pPr>
            <w:r w:rsidRPr="00A35399">
              <w:rPr>
                <w:rFonts w:cstheme="minorHAnsi"/>
                <w:b/>
                <w:i/>
                <w:lang w:val="mk-MK"/>
              </w:rPr>
              <w:t>Наоди</w:t>
            </w:r>
          </w:p>
          <w:p w:rsidR="00005F5D" w:rsidRPr="00A35399" w:rsidRDefault="00005F5D" w:rsidP="005D436F">
            <w:pPr>
              <w:jc w:val="both"/>
              <w:rPr>
                <w:rFonts w:cstheme="minorHAnsi"/>
                <w:i/>
                <w:lang w:val="mk-MK"/>
              </w:rPr>
            </w:pPr>
          </w:p>
          <w:p w:rsidR="00005F5D" w:rsidRPr="00A35399" w:rsidRDefault="00005F5D" w:rsidP="005D436F">
            <w:pPr>
              <w:jc w:val="both"/>
              <w:rPr>
                <w:rFonts w:cstheme="minorHAnsi"/>
                <w:i/>
                <w:lang w:val="mk-MK"/>
              </w:rPr>
            </w:pPr>
            <w:r w:rsidRPr="00A35399">
              <w:rPr>
                <w:rFonts w:cstheme="minorHAnsi"/>
                <w:i/>
                <w:lang w:val="mk-MK"/>
              </w:rPr>
              <w:t xml:space="preserve">Од доставените документи, деталното истражување и интервјуто, сознанијата се дека во одделението недостигаа професионален кадар. . . </w:t>
            </w:r>
          </w:p>
          <w:p w:rsidR="00005F5D" w:rsidRPr="00A35399" w:rsidRDefault="00005F5D" w:rsidP="005D436F">
            <w:pPr>
              <w:jc w:val="both"/>
              <w:rPr>
                <w:rFonts w:cstheme="minorHAnsi"/>
                <w:i/>
                <w:lang w:val="mk-MK"/>
              </w:rPr>
            </w:pPr>
          </w:p>
          <w:p w:rsidR="00005F5D" w:rsidRPr="00A35399" w:rsidRDefault="00005F5D" w:rsidP="005D436F">
            <w:pPr>
              <w:jc w:val="both"/>
              <w:rPr>
                <w:rFonts w:cstheme="minorHAnsi"/>
                <w:b/>
                <w:i/>
                <w:lang w:val="mk-MK"/>
              </w:rPr>
            </w:pPr>
            <w:r w:rsidRPr="00A35399">
              <w:rPr>
                <w:rFonts w:cstheme="minorHAnsi"/>
                <w:b/>
                <w:i/>
                <w:lang w:val="mk-MK"/>
              </w:rPr>
              <w:t>Препораки</w:t>
            </w:r>
          </w:p>
          <w:p w:rsidR="00005F5D" w:rsidRPr="00A35399" w:rsidRDefault="00005F5D" w:rsidP="005D436F">
            <w:pPr>
              <w:jc w:val="both"/>
              <w:rPr>
                <w:rFonts w:cstheme="minorHAnsi"/>
                <w:i/>
                <w:lang w:val="mk-MK"/>
              </w:rPr>
            </w:pPr>
          </w:p>
          <w:p w:rsidR="00005F5D" w:rsidRPr="00A35399" w:rsidRDefault="00005F5D" w:rsidP="005D436F">
            <w:pPr>
              <w:jc w:val="both"/>
              <w:rPr>
                <w:rFonts w:cstheme="minorHAnsi"/>
                <w:i/>
                <w:lang w:val="mk-MK"/>
              </w:rPr>
            </w:pPr>
            <w:r w:rsidRPr="00A35399">
              <w:rPr>
                <w:rFonts w:cstheme="minorHAnsi"/>
                <w:i/>
                <w:lang w:val="mk-MK"/>
              </w:rPr>
              <w:t xml:space="preserve">Заради поголема функционалност  и ефикасност, а имајќи ги предвид обврските од Законот за јавна внатрешна финансиска контрола, се препорачува зајакнување на човечките капацитети во ова одделение со вработување на уште еден внатрешен ревизор, со цел доследно да се примени одредбата од законот и да се </w:t>
            </w:r>
            <w:proofErr w:type="spellStart"/>
            <w:r w:rsidRPr="00A35399">
              <w:rPr>
                <w:rFonts w:cstheme="minorHAnsi"/>
                <w:i/>
                <w:lang w:val="mk-MK"/>
              </w:rPr>
              <w:t>овозоможи</w:t>
            </w:r>
            <w:proofErr w:type="spellEnd"/>
            <w:r w:rsidRPr="00A35399">
              <w:rPr>
                <w:rFonts w:cstheme="minorHAnsi"/>
                <w:i/>
                <w:lang w:val="mk-MK"/>
              </w:rPr>
              <w:t xml:space="preserve"> вршење на редовна и ефикасна контрола врз работењето и користењето на средства во рамките на институцијата .  . . .</w:t>
            </w:r>
          </w:p>
          <w:bookmarkEnd w:id="1"/>
          <w:p w:rsidR="00005F5D" w:rsidRDefault="00005F5D" w:rsidP="005D436F">
            <w:pPr>
              <w:jc w:val="both"/>
              <w:rPr>
                <w:rFonts w:cstheme="minorHAnsi"/>
                <w:lang w:val="mk-MK"/>
              </w:rPr>
            </w:pPr>
          </w:p>
          <w:p w:rsidR="00005F5D" w:rsidRPr="00F81384" w:rsidRDefault="00005F5D" w:rsidP="00005F5D">
            <w:pPr>
              <w:numPr>
                <w:ilvl w:val="0"/>
                <w:numId w:val="40"/>
              </w:numPr>
              <w:ind w:left="567" w:hanging="283"/>
              <w:jc w:val="both"/>
              <w:rPr>
                <w:rFonts w:cstheme="minorHAnsi"/>
                <w:b/>
                <w:bCs/>
                <w:lang w:val="mk-MK"/>
              </w:rPr>
            </w:pPr>
            <w:r w:rsidRPr="00F81384">
              <w:rPr>
                <w:rFonts w:cstheme="minorHAnsi"/>
                <w:b/>
                <w:bCs/>
                <w:lang w:val="mk-MK"/>
              </w:rPr>
              <w:t xml:space="preserve">Приказ на наодите од функционална анализа со </w:t>
            </w:r>
            <w:proofErr w:type="spellStart"/>
            <w:r w:rsidRPr="00F81384">
              <w:rPr>
                <w:rFonts w:cstheme="minorHAnsi"/>
                <w:b/>
                <w:bCs/>
                <w:lang w:val="mk-MK"/>
              </w:rPr>
              <w:t>семафор-систем</w:t>
            </w:r>
            <w:proofErr w:type="spellEnd"/>
          </w:p>
          <w:p w:rsidR="00005F5D" w:rsidRDefault="00005F5D" w:rsidP="005D436F">
            <w:pPr>
              <w:pStyle w:val="ListParagraph"/>
              <w:jc w:val="both"/>
              <w:rPr>
                <w:rFonts w:cstheme="minorHAnsi"/>
                <w:i/>
                <w:lang w:val="mk-MK"/>
              </w:rPr>
            </w:pPr>
          </w:p>
          <w:p w:rsidR="00005F5D" w:rsidRPr="00F35BC9" w:rsidRDefault="00005F5D" w:rsidP="005D436F">
            <w:pPr>
              <w:pStyle w:val="ListParagraph"/>
              <w:jc w:val="both"/>
              <w:rPr>
                <w:rFonts w:cstheme="minorHAnsi"/>
                <w:i/>
              </w:rPr>
            </w:pPr>
            <w:r w:rsidRPr="00F35BC9">
              <w:rPr>
                <w:rFonts w:cstheme="minorHAnsi"/>
                <w:i/>
                <w:lang w:val="mk-MK"/>
              </w:rPr>
              <w:t>Пример на семафор:</w:t>
            </w:r>
          </w:p>
          <w:p w:rsidR="00005F5D" w:rsidRPr="00F35BC9" w:rsidRDefault="00005F5D" w:rsidP="005D436F">
            <w:pPr>
              <w:rPr>
                <w:rFonts w:eastAsia="Calibri" w:cstheme="minorHAnsi"/>
                <w:b/>
                <w:color w:val="F79646"/>
              </w:rPr>
            </w:pPr>
          </w:p>
          <w:tbl>
            <w:tblPr>
              <w:tblStyle w:val="TableGrid1"/>
              <w:tblW w:w="9085" w:type="dxa"/>
              <w:tblLook w:val="04A0" w:firstRow="1" w:lastRow="0" w:firstColumn="1" w:lastColumn="0" w:noHBand="0" w:noVBand="1"/>
            </w:tblPr>
            <w:tblGrid>
              <w:gridCol w:w="560"/>
              <w:gridCol w:w="2814"/>
              <w:gridCol w:w="1066"/>
              <w:gridCol w:w="4645"/>
            </w:tblGrid>
            <w:tr w:rsidR="00005F5D" w:rsidRPr="00F35BC9" w:rsidTr="005D436F">
              <w:tc>
                <w:tcPr>
                  <w:tcW w:w="9085" w:type="dxa"/>
                  <w:gridSpan w:val="4"/>
                </w:tcPr>
                <w:p w:rsidR="00005F5D" w:rsidRPr="00F35BC9" w:rsidRDefault="00005F5D" w:rsidP="005D436F">
                  <w:pPr>
                    <w:rPr>
                      <w:rFonts w:eastAsia="Calibri" w:cstheme="minorHAnsi"/>
                    </w:rPr>
                  </w:pPr>
                  <w:r w:rsidRPr="00F35BC9">
                    <w:rPr>
                      <w:rFonts w:eastAsia="Calibri" w:cstheme="minorHAnsi"/>
                      <w:b/>
                      <w:color w:val="F79646"/>
                      <w:lang w:val="mk-MK"/>
                    </w:rPr>
                    <w:t>СТРАТЕШКА УСОГЛАСЕНОСТ</w:t>
                  </w:r>
                </w:p>
              </w:tc>
            </w:tr>
            <w:tr w:rsidR="00005F5D" w:rsidRPr="00F35BC9" w:rsidTr="005D436F">
              <w:tc>
                <w:tcPr>
                  <w:tcW w:w="560" w:type="dxa"/>
                </w:tcPr>
                <w:p w:rsidR="00005F5D" w:rsidRPr="00F35BC9" w:rsidRDefault="00005F5D" w:rsidP="005D436F">
                  <w:pPr>
                    <w:rPr>
                      <w:rFonts w:eastAsia="Calibri" w:cstheme="minorHAnsi"/>
                      <w:b/>
                      <w:color w:val="F79646"/>
                    </w:rPr>
                  </w:pPr>
                </w:p>
              </w:tc>
              <w:tc>
                <w:tcPr>
                  <w:tcW w:w="2814" w:type="dxa"/>
                </w:tcPr>
                <w:p w:rsidR="00005F5D" w:rsidRPr="00F35BC9" w:rsidRDefault="00005F5D" w:rsidP="005D436F">
                  <w:pPr>
                    <w:rPr>
                      <w:rFonts w:eastAsia="Calibri" w:cstheme="minorHAnsi"/>
                      <w:lang w:val="mk-MK"/>
                    </w:rPr>
                  </w:pPr>
                  <w:r w:rsidRPr="00F35BC9">
                    <w:rPr>
                      <w:rFonts w:eastAsia="Calibri" w:cstheme="minorHAnsi"/>
                      <w:lang w:val="mk-MK"/>
                    </w:rPr>
                    <w:t>Критериум</w:t>
                  </w:r>
                </w:p>
              </w:tc>
              <w:tc>
                <w:tcPr>
                  <w:tcW w:w="1066" w:type="dxa"/>
                </w:tcPr>
                <w:p w:rsidR="00005F5D" w:rsidRPr="00F35BC9" w:rsidRDefault="00005F5D" w:rsidP="005D436F">
                  <w:pPr>
                    <w:rPr>
                      <w:rFonts w:eastAsia="Calibri" w:cstheme="minorHAnsi"/>
                      <w:lang w:val="mk-MK"/>
                    </w:rPr>
                  </w:pPr>
                  <w:r w:rsidRPr="00F35BC9">
                    <w:rPr>
                      <w:rFonts w:eastAsia="Calibri" w:cstheme="minorHAnsi"/>
                      <w:lang w:val="mk-MK"/>
                    </w:rPr>
                    <w:t xml:space="preserve">Семафор </w:t>
                  </w:r>
                </w:p>
              </w:tc>
              <w:tc>
                <w:tcPr>
                  <w:tcW w:w="4645" w:type="dxa"/>
                </w:tcPr>
                <w:p w:rsidR="00005F5D" w:rsidRPr="00F35BC9" w:rsidRDefault="00005F5D" w:rsidP="005D436F">
                  <w:pPr>
                    <w:rPr>
                      <w:rFonts w:eastAsia="Calibri" w:cstheme="minorHAnsi"/>
                      <w:lang w:val="mk-MK"/>
                    </w:rPr>
                  </w:pPr>
                  <w:r w:rsidRPr="00F35BC9">
                    <w:rPr>
                      <w:rFonts w:eastAsia="Calibri" w:cstheme="minorHAnsi"/>
                      <w:lang w:val="mk-MK"/>
                    </w:rPr>
                    <w:t xml:space="preserve">Главни забелешки </w:t>
                  </w:r>
                </w:p>
              </w:tc>
            </w:tr>
            <w:tr w:rsidR="00005F5D" w:rsidRPr="00F35BC9" w:rsidTr="005D436F">
              <w:tc>
                <w:tcPr>
                  <w:tcW w:w="560" w:type="dxa"/>
                </w:tcPr>
                <w:p w:rsidR="00005F5D" w:rsidRPr="00F35BC9" w:rsidRDefault="00005F5D" w:rsidP="005D436F">
                  <w:pPr>
                    <w:rPr>
                      <w:rFonts w:eastAsia="Calibri" w:cstheme="minorHAnsi"/>
                      <w:b/>
                      <w:color w:val="F79646"/>
                    </w:rPr>
                  </w:pPr>
                  <w:r w:rsidRPr="00F35BC9">
                    <w:rPr>
                      <w:rFonts w:eastAsia="Calibri" w:cstheme="minorHAnsi"/>
                      <w:b/>
                      <w:color w:val="F79646"/>
                      <w:lang w:val="mk-MK"/>
                    </w:rPr>
                    <w:t>С1</w:t>
                  </w:r>
                </w:p>
              </w:tc>
              <w:tc>
                <w:tcPr>
                  <w:tcW w:w="2814" w:type="dxa"/>
                </w:tcPr>
                <w:p w:rsidR="00005F5D" w:rsidRPr="00F35BC9" w:rsidRDefault="00005F5D" w:rsidP="005D436F">
                  <w:pPr>
                    <w:rPr>
                      <w:rFonts w:eastAsia="Calibri" w:cstheme="minorHAnsi"/>
                    </w:rPr>
                  </w:pPr>
                  <w:proofErr w:type="spellStart"/>
                  <w:r w:rsidRPr="00F35BC9">
                    <w:rPr>
                      <w:rFonts w:cstheme="minorHAnsi"/>
                    </w:rPr>
                    <w:t>Усвоен</w:t>
                  </w:r>
                  <w:proofErr w:type="spellEnd"/>
                  <w:r w:rsidRPr="00F35BC9">
                    <w:rPr>
                      <w:rFonts w:cstheme="minorHAnsi"/>
                    </w:rPr>
                    <w:t xml:space="preserve"> </w:t>
                  </w:r>
                  <w:proofErr w:type="spellStart"/>
                  <w:r w:rsidRPr="00F35BC9">
                    <w:rPr>
                      <w:rFonts w:cstheme="minorHAnsi"/>
                    </w:rPr>
                    <w:t>стратешки</w:t>
                  </w:r>
                  <w:proofErr w:type="spellEnd"/>
                  <w:r w:rsidRPr="00F35BC9">
                    <w:rPr>
                      <w:rFonts w:cstheme="minorHAnsi"/>
                    </w:rPr>
                    <w:t xml:space="preserve"> </w:t>
                  </w:r>
                  <w:proofErr w:type="spellStart"/>
                  <w:r w:rsidRPr="00F35BC9">
                    <w:rPr>
                      <w:rFonts w:cstheme="minorHAnsi"/>
                    </w:rPr>
                    <w:t>документ</w:t>
                  </w:r>
                  <w:proofErr w:type="spellEnd"/>
                  <w:r w:rsidRPr="00F35BC9">
                    <w:rPr>
                      <w:rFonts w:cstheme="minorHAnsi"/>
                    </w:rPr>
                    <w:t xml:space="preserve"> (</w:t>
                  </w:r>
                  <w:proofErr w:type="spellStart"/>
                  <w:r w:rsidRPr="00F35BC9">
                    <w:rPr>
                      <w:rFonts w:cstheme="minorHAnsi"/>
                    </w:rPr>
                    <w:t>ресорна</w:t>
                  </w:r>
                  <w:proofErr w:type="spellEnd"/>
                  <w:r w:rsidRPr="00F35BC9">
                    <w:rPr>
                      <w:rFonts w:cstheme="minorHAnsi"/>
                    </w:rPr>
                    <w:t xml:space="preserve"> </w:t>
                  </w:r>
                  <w:proofErr w:type="spellStart"/>
                  <w:r w:rsidRPr="00F35BC9">
                    <w:rPr>
                      <w:rFonts w:cstheme="minorHAnsi"/>
                    </w:rPr>
                    <w:t>стратегија</w:t>
                  </w:r>
                  <w:proofErr w:type="spellEnd"/>
                  <w:r w:rsidRPr="00F35BC9">
                    <w:rPr>
                      <w:rFonts w:cstheme="minorHAnsi"/>
                    </w:rPr>
                    <w:t xml:space="preserve">, </w:t>
                  </w:r>
                  <w:proofErr w:type="spellStart"/>
                  <w:r w:rsidRPr="00F35BC9">
                    <w:rPr>
                      <w:rFonts w:cstheme="minorHAnsi"/>
                    </w:rPr>
                    <w:t>стратешки</w:t>
                  </w:r>
                  <w:proofErr w:type="spellEnd"/>
                  <w:r w:rsidRPr="00F35BC9">
                    <w:rPr>
                      <w:rFonts w:cstheme="minorHAnsi"/>
                    </w:rPr>
                    <w:t xml:space="preserve"> </w:t>
                  </w:r>
                  <w:proofErr w:type="spellStart"/>
                  <w:r w:rsidRPr="00F35BC9">
                    <w:rPr>
                      <w:rFonts w:cstheme="minorHAnsi"/>
                    </w:rPr>
                    <w:t>план</w:t>
                  </w:r>
                  <w:proofErr w:type="spellEnd"/>
                  <w:r w:rsidRPr="00F35BC9">
                    <w:rPr>
                      <w:rFonts w:cstheme="minorHAnsi"/>
                    </w:rPr>
                    <w:t xml:space="preserve">, </w:t>
                  </w:r>
                  <w:proofErr w:type="spellStart"/>
                  <w:r w:rsidRPr="00F35BC9">
                    <w:rPr>
                      <w:rFonts w:cstheme="minorHAnsi"/>
                    </w:rPr>
                    <w:t>програма</w:t>
                  </w:r>
                  <w:proofErr w:type="spellEnd"/>
                  <w:r w:rsidRPr="00F35BC9">
                    <w:rPr>
                      <w:rFonts w:cstheme="minorHAnsi"/>
                    </w:rPr>
                    <w:t xml:space="preserve"> </w:t>
                  </w:r>
                  <w:proofErr w:type="spellStart"/>
                  <w:r w:rsidRPr="00F35BC9">
                    <w:rPr>
                      <w:rFonts w:cstheme="minorHAnsi"/>
                    </w:rPr>
                    <w:t>за</w:t>
                  </w:r>
                  <w:proofErr w:type="spellEnd"/>
                  <w:r w:rsidRPr="00F35BC9">
                    <w:rPr>
                      <w:rFonts w:cstheme="minorHAnsi"/>
                    </w:rPr>
                    <w:t xml:space="preserve"> </w:t>
                  </w:r>
                  <w:proofErr w:type="spellStart"/>
                  <w:r w:rsidRPr="00F35BC9">
                    <w:rPr>
                      <w:rFonts w:cstheme="minorHAnsi"/>
                    </w:rPr>
                    <w:t>работа</w:t>
                  </w:r>
                  <w:proofErr w:type="spellEnd"/>
                  <w:r w:rsidRPr="00F35BC9">
                    <w:rPr>
                      <w:rFonts w:cstheme="minorHAnsi"/>
                    </w:rPr>
                    <w:t xml:space="preserve"> </w:t>
                  </w:r>
                  <w:proofErr w:type="spellStart"/>
                  <w:r w:rsidRPr="00F35BC9">
                    <w:rPr>
                      <w:rFonts w:cstheme="minorHAnsi"/>
                    </w:rPr>
                    <w:t>на</w:t>
                  </w:r>
                  <w:proofErr w:type="spellEnd"/>
                  <w:r w:rsidRPr="00F35BC9">
                    <w:rPr>
                      <w:rFonts w:cstheme="minorHAnsi"/>
                    </w:rPr>
                    <w:t xml:space="preserve"> </w:t>
                  </w:r>
                  <w:proofErr w:type="spellStart"/>
                  <w:r w:rsidRPr="00F35BC9">
                    <w:rPr>
                      <w:rFonts w:cstheme="minorHAnsi"/>
                    </w:rPr>
                    <w:t>најмалку</w:t>
                  </w:r>
                  <w:proofErr w:type="spellEnd"/>
                  <w:r w:rsidRPr="00F35BC9">
                    <w:rPr>
                      <w:rFonts w:cstheme="minorHAnsi"/>
                    </w:rPr>
                    <w:t xml:space="preserve"> </w:t>
                  </w:r>
                  <w:proofErr w:type="spellStart"/>
                  <w:r w:rsidRPr="00F35BC9">
                    <w:rPr>
                      <w:rFonts w:cstheme="minorHAnsi"/>
                    </w:rPr>
                    <w:t>среден</w:t>
                  </w:r>
                  <w:proofErr w:type="spellEnd"/>
                  <w:r w:rsidRPr="00F35BC9">
                    <w:rPr>
                      <w:rFonts w:cstheme="minorHAnsi"/>
                    </w:rPr>
                    <w:t xml:space="preserve"> </w:t>
                  </w:r>
                  <w:proofErr w:type="spellStart"/>
                  <w:r w:rsidRPr="00F35BC9">
                    <w:rPr>
                      <w:rFonts w:cstheme="minorHAnsi"/>
                    </w:rPr>
                    <w:t>рок</w:t>
                  </w:r>
                  <w:proofErr w:type="spellEnd"/>
                  <w:r w:rsidRPr="00F35BC9">
                    <w:rPr>
                      <w:rFonts w:cstheme="minorHAnsi"/>
                    </w:rPr>
                    <w:t xml:space="preserve">), </w:t>
                  </w:r>
                  <w:proofErr w:type="spellStart"/>
                  <w:r w:rsidRPr="00F35BC9">
                    <w:rPr>
                      <w:rFonts w:cstheme="minorHAnsi"/>
                    </w:rPr>
                    <w:t>по</w:t>
                  </w:r>
                  <w:proofErr w:type="spellEnd"/>
                  <w:r w:rsidRPr="00F35BC9">
                    <w:rPr>
                      <w:rFonts w:cstheme="minorHAnsi"/>
                    </w:rPr>
                    <w:t xml:space="preserve"> </w:t>
                  </w:r>
                  <w:proofErr w:type="spellStart"/>
                  <w:r w:rsidRPr="00F35BC9">
                    <w:rPr>
                      <w:rFonts w:cstheme="minorHAnsi"/>
                    </w:rPr>
                    <w:t>кој</w:t>
                  </w:r>
                  <w:proofErr w:type="spellEnd"/>
                  <w:r w:rsidRPr="00F35BC9">
                    <w:rPr>
                      <w:rFonts w:cstheme="minorHAnsi"/>
                    </w:rPr>
                    <w:t xml:space="preserve"> е </w:t>
                  </w:r>
                  <w:proofErr w:type="spellStart"/>
                  <w:r w:rsidRPr="00F35BC9">
                    <w:rPr>
                      <w:rFonts w:cstheme="minorHAnsi"/>
                    </w:rPr>
                    <w:t>организирана</w:t>
                  </w:r>
                  <w:proofErr w:type="spellEnd"/>
                  <w:r w:rsidRPr="00F35BC9">
                    <w:rPr>
                      <w:rFonts w:cstheme="minorHAnsi"/>
                    </w:rPr>
                    <w:t xml:space="preserve"> </w:t>
                  </w:r>
                  <w:proofErr w:type="spellStart"/>
                  <w:r w:rsidRPr="00F35BC9">
                    <w:rPr>
                      <w:rFonts w:cstheme="minorHAnsi"/>
                    </w:rPr>
                    <w:t>институцијата</w:t>
                  </w:r>
                  <w:proofErr w:type="spellEnd"/>
                  <w:r w:rsidRPr="00F35BC9">
                    <w:rPr>
                      <w:rFonts w:cstheme="minorHAnsi"/>
                    </w:rPr>
                    <w:t xml:space="preserve"> и </w:t>
                  </w:r>
                  <w:proofErr w:type="spellStart"/>
                  <w:r w:rsidRPr="00F35BC9">
                    <w:rPr>
                      <w:rFonts w:cstheme="minorHAnsi"/>
                    </w:rPr>
                    <w:t>определени</w:t>
                  </w:r>
                  <w:proofErr w:type="spellEnd"/>
                  <w:r w:rsidRPr="00F35BC9">
                    <w:rPr>
                      <w:rFonts w:cstheme="minorHAnsi"/>
                    </w:rPr>
                    <w:t xml:space="preserve"> </w:t>
                  </w:r>
                  <w:proofErr w:type="spellStart"/>
                  <w:r w:rsidRPr="00F35BC9">
                    <w:rPr>
                      <w:rFonts w:cstheme="minorHAnsi"/>
                    </w:rPr>
                    <w:t>нејзините</w:t>
                  </w:r>
                  <w:proofErr w:type="spellEnd"/>
                  <w:r w:rsidRPr="00F35BC9">
                    <w:rPr>
                      <w:rFonts w:cstheme="minorHAnsi"/>
                    </w:rPr>
                    <w:t xml:space="preserve"> </w:t>
                  </w:r>
                  <w:proofErr w:type="spellStart"/>
                  <w:r w:rsidRPr="00F35BC9">
                    <w:rPr>
                      <w:rFonts w:cstheme="minorHAnsi"/>
                    </w:rPr>
                    <w:t>активности</w:t>
                  </w:r>
                  <w:proofErr w:type="spellEnd"/>
                  <w:r w:rsidRPr="00F35BC9">
                    <w:rPr>
                      <w:rFonts w:cstheme="minorHAnsi"/>
                    </w:rPr>
                    <w:t xml:space="preserve"> и </w:t>
                  </w:r>
                  <w:proofErr w:type="spellStart"/>
                  <w:r w:rsidRPr="00F35BC9">
                    <w:rPr>
                      <w:rFonts w:cstheme="minorHAnsi"/>
                    </w:rPr>
                    <w:t>задачите</w:t>
                  </w:r>
                  <w:proofErr w:type="spellEnd"/>
                  <w:r w:rsidRPr="00F35BC9">
                    <w:rPr>
                      <w:rFonts w:cstheme="minorHAnsi"/>
                    </w:rPr>
                    <w:t xml:space="preserve"> </w:t>
                  </w:r>
                  <w:proofErr w:type="spellStart"/>
                  <w:r w:rsidRPr="00F35BC9">
                    <w:rPr>
                      <w:rFonts w:cstheme="minorHAnsi"/>
                    </w:rPr>
                    <w:t>на</w:t>
                  </w:r>
                  <w:proofErr w:type="spellEnd"/>
                  <w:r w:rsidRPr="00F35BC9">
                    <w:rPr>
                      <w:rFonts w:cstheme="minorHAnsi"/>
                    </w:rPr>
                    <w:t xml:space="preserve"> </w:t>
                  </w:r>
                  <w:proofErr w:type="spellStart"/>
                  <w:r w:rsidRPr="00F35BC9">
                    <w:rPr>
                      <w:rFonts w:cstheme="minorHAnsi"/>
                    </w:rPr>
                    <w:t>вработените</w:t>
                  </w:r>
                  <w:proofErr w:type="spellEnd"/>
                  <w:r w:rsidRPr="00F35BC9">
                    <w:rPr>
                      <w:rFonts w:cstheme="minorHAnsi"/>
                    </w:rPr>
                    <w:t>.</w:t>
                  </w:r>
                </w:p>
              </w:tc>
              <w:tc>
                <w:tcPr>
                  <w:tcW w:w="1066" w:type="dxa"/>
                  <w:shd w:val="clear" w:color="auto" w:fill="00B050"/>
                </w:tcPr>
                <w:p w:rsidR="00005F5D" w:rsidRPr="00F35BC9" w:rsidRDefault="00005F5D" w:rsidP="005D436F">
                  <w:pPr>
                    <w:rPr>
                      <w:rFonts w:eastAsia="Calibri" w:cstheme="minorHAnsi"/>
                      <w:lang w:val="mk-MK"/>
                    </w:rPr>
                  </w:pPr>
                </w:p>
              </w:tc>
              <w:tc>
                <w:tcPr>
                  <w:tcW w:w="4645" w:type="dxa"/>
                </w:tcPr>
                <w:p w:rsidR="00005F5D" w:rsidRPr="00F35BC9" w:rsidRDefault="00005F5D" w:rsidP="00005F5D">
                  <w:pPr>
                    <w:pStyle w:val="ListParagraph"/>
                    <w:numPr>
                      <w:ilvl w:val="0"/>
                      <w:numId w:val="35"/>
                    </w:numPr>
                    <w:rPr>
                      <w:rFonts w:eastAsia="Calibri" w:cstheme="minorHAnsi"/>
                      <w:i/>
                    </w:rPr>
                  </w:pPr>
                  <w:r w:rsidRPr="00F35BC9">
                    <w:rPr>
                      <w:rFonts w:eastAsia="Calibri" w:cstheme="minorHAnsi"/>
                      <w:i/>
                      <w:lang w:val="mk-MK"/>
                    </w:rPr>
                    <w:t>Поставена стратегија која е достапна за сите вработени.</w:t>
                  </w:r>
                  <w:r w:rsidRPr="00F35BC9">
                    <w:rPr>
                      <w:rFonts w:eastAsia="Calibri" w:cstheme="minorHAnsi"/>
                      <w:i/>
                    </w:rPr>
                    <w:t xml:space="preserve"> </w:t>
                  </w:r>
                </w:p>
                <w:p w:rsidR="00005F5D" w:rsidRPr="00F35BC9" w:rsidRDefault="00005F5D" w:rsidP="00005F5D">
                  <w:pPr>
                    <w:pStyle w:val="ListParagraph"/>
                    <w:numPr>
                      <w:ilvl w:val="0"/>
                      <w:numId w:val="35"/>
                    </w:numPr>
                    <w:rPr>
                      <w:rFonts w:eastAsia="Calibri" w:cstheme="minorHAnsi"/>
                      <w:i/>
                    </w:rPr>
                  </w:pPr>
                  <w:r w:rsidRPr="00F35BC9">
                    <w:rPr>
                      <w:rFonts w:eastAsia="Calibri" w:cstheme="minorHAnsi"/>
                      <w:i/>
                      <w:lang w:val="mk-MK"/>
                    </w:rPr>
                    <w:t>Работните места и организациски единици се усогласени со стратешките документи/цели.</w:t>
                  </w:r>
                </w:p>
                <w:p w:rsidR="00005F5D" w:rsidRPr="00F35BC9" w:rsidRDefault="00005F5D" w:rsidP="005D436F">
                  <w:pPr>
                    <w:rPr>
                      <w:rFonts w:eastAsia="Calibri" w:cstheme="minorHAnsi"/>
                      <w:i/>
                      <w:lang w:val="mk-MK"/>
                    </w:rPr>
                  </w:pPr>
                </w:p>
              </w:tc>
            </w:tr>
            <w:tr w:rsidR="00005F5D" w:rsidRPr="00F35BC9" w:rsidTr="005D436F">
              <w:tc>
                <w:tcPr>
                  <w:tcW w:w="560" w:type="dxa"/>
                </w:tcPr>
                <w:p w:rsidR="00005F5D" w:rsidRPr="00F35BC9" w:rsidRDefault="00005F5D" w:rsidP="005D436F">
                  <w:pPr>
                    <w:rPr>
                      <w:rFonts w:eastAsia="Calibri" w:cstheme="minorHAnsi"/>
                      <w:b/>
                      <w:color w:val="F79646"/>
                    </w:rPr>
                  </w:pPr>
                  <w:r w:rsidRPr="00F35BC9">
                    <w:rPr>
                      <w:rFonts w:eastAsia="Calibri" w:cstheme="minorHAnsi"/>
                      <w:b/>
                      <w:color w:val="F79646"/>
                      <w:lang w:val="mk-MK"/>
                    </w:rPr>
                    <w:t>С2</w:t>
                  </w:r>
                </w:p>
              </w:tc>
              <w:tc>
                <w:tcPr>
                  <w:tcW w:w="2814" w:type="dxa"/>
                </w:tcPr>
                <w:p w:rsidR="00005F5D" w:rsidRPr="00F35BC9" w:rsidRDefault="00005F5D" w:rsidP="005D436F">
                  <w:pPr>
                    <w:rPr>
                      <w:rFonts w:eastAsia="Calibri" w:cstheme="minorHAnsi"/>
                    </w:rPr>
                  </w:pPr>
                  <w:proofErr w:type="spellStart"/>
                  <w:r w:rsidRPr="00F35BC9">
                    <w:rPr>
                      <w:rFonts w:cstheme="minorHAnsi"/>
                    </w:rPr>
                    <w:t>Правната</w:t>
                  </w:r>
                  <w:proofErr w:type="spellEnd"/>
                  <w:r w:rsidRPr="00F35BC9">
                    <w:rPr>
                      <w:rFonts w:cstheme="minorHAnsi"/>
                    </w:rPr>
                    <w:t xml:space="preserve"> </w:t>
                  </w:r>
                  <w:proofErr w:type="spellStart"/>
                  <w:r w:rsidRPr="00F35BC9">
                    <w:rPr>
                      <w:rFonts w:cstheme="minorHAnsi"/>
                    </w:rPr>
                    <w:t>рамка</w:t>
                  </w:r>
                  <w:proofErr w:type="spellEnd"/>
                  <w:r w:rsidRPr="00F35BC9">
                    <w:rPr>
                      <w:rFonts w:cstheme="minorHAnsi"/>
                    </w:rPr>
                    <w:t xml:space="preserve"> (</w:t>
                  </w:r>
                  <w:proofErr w:type="spellStart"/>
                  <w:r w:rsidRPr="00F35BC9">
                    <w:rPr>
                      <w:rFonts w:cstheme="minorHAnsi"/>
                    </w:rPr>
                    <w:t>од</w:t>
                  </w:r>
                  <w:proofErr w:type="spellEnd"/>
                  <w:r w:rsidRPr="00F35BC9">
                    <w:rPr>
                      <w:rFonts w:cstheme="minorHAnsi"/>
                    </w:rPr>
                    <w:t xml:space="preserve"> </w:t>
                  </w:r>
                  <w:proofErr w:type="spellStart"/>
                  <w:r w:rsidRPr="00F35BC9">
                    <w:rPr>
                      <w:rFonts w:cstheme="minorHAnsi"/>
                    </w:rPr>
                    <w:t>закони</w:t>
                  </w:r>
                  <w:proofErr w:type="spellEnd"/>
                  <w:r w:rsidRPr="00F35BC9">
                    <w:rPr>
                      <w:rFonts w:cstheme="minorHAnsi"/>
                    </w:rPr>
                    <w:t xml:space="preserve"> </w:t>
                  </w:r>
                  <w:proofErr w:type="spellStart"/>
                  <w:r w:rsidRPr="00F35BC9">
                    <w:rPr>
                      <w:rFonts w:cstheme="minorHAnsi"/>
                    </w:rPr>
                    <w:t>до</w:t>
                  </w:r>
                  <w:proofErr w:type="spellEnd"/>
                  <w:r w:rsidRPr="00F35BC9">
                    <w:rPr>
                      <w:rFonts w:cstheme="minorHAnsi"/>
                    </w:rPr>
                    <w:t xml:space="preserve"> </w:t>
                  </w:r>
                  <w:proofErr w:type="spellStart"/>
                  <w:r w:rsidRPr="00F35BC9">
                    <w:rPr>
                      <w:rFonts w:cstheme="minorHAnsi"/>
                    </w:rPr>
                    <w:t>внатрешни</w:t>
                  </w:r>
                  <w:proofErr w:type="spellEnd"/>
                  <w:r w:rsidRPr="00F35BC9">
                    <w:rPr>
                      <w:rFonts w:cstheme="minorHAnsi"/>
                    </w:rPr>
                    <w:t xml:space="preserve"> </w:t>
                  </w:r>
                  <w:proofErr w:type="spellStart"/>
                  <w:r w:rsidRPr="00F35BC9">
                    <w:rPr>
                      <w:rFonts w:cstheme="minorHAnsi"/>
                    </w:rPr>
                    <w:t>правила</w:t>
                  </w:r>
                  <w:proofErr w:type="spellEnd"/>
                  <w:r w:rsidRPr="00F35BC9">
                    <w:rPr>
                      <w:rFonts w:cstheme="minorHAnsi"/>
                    </w:rPr>
                    <w:t xml:space="preserve"> и </w:t>
                  </w:r>
                  <w:proofErr w:type="spellStart"/>
                  <w:r w:rsidRPr="00F35BC9">
                    <w:rPr>
                      <w:rFonts w:cstheme="minorHAnsi"/>
                    </w:rPr>
                    <w:t>процедури</w:t>
                  </w:r>
                  <w:proofErr w:type="spellEnd"/>
                  <w:r w:rsidRPr="00F35BC9">
                    <w:rPr>
                      <w:rFonts w:cstheme="minorHAnsi"/>
                    </w:rPr>
                    <w:t xml:space="preserve">) е </w:t>
                  </w:r>
                  <w:proofErr w:type="spellStart"/>
                  <w:r w:rsidRPr="00F35BC9">
                    <w:rPr>
                      <w:rFonts w:cstheme="minorHAnsi"/>
                    </w:rPr>
                    <w:t>усогласена</w:t>
                  </w:r>
                  <w:proofErr w:type="spellEnd"/>
                  <w:r w:rsidRPr="00F35BC9">
                    <w:rPr>
                      <w:rFonts w:cstheme="minorHAnsi"/>
                    </w:rPr>
                    <w:t xml:space="preserve"> </w:t>
                  </w:r>
                  <w:proofErr w:type="spellStart"/>
                  <w:r w:rsidRPr="00F35BC9">
                    <w:rPr>
                      <w:rFonts w:cstheme="minorHAnsi"/>
                    </w:rPr>
                    <w:t>со</w:t>
                  </w:r>
                  <w:proofErr w:type="spellEnd"/>
                  <w:r w:rsidRPr="00F35BC9">
                    <w:rPr>
                      <w:rFonts w:cstheme="minorHAnsi"/>
                    </w:rPr>
                    <w:t xml:space="preserve"> </w:t>
                  </w:r>
                  <w:proofErr w:type="spellStart"/>
                  <w:r w:rsidRPr="00F35BC9">
                    <w:rPr>
                      <w:rFonts w:cstheme="minorHAnsi"/>
                    </w:rPr>
                    <w:t>стратешкиот</w:t>
                  </w:r>
                  <w:proofErr w:type="spellEnd"/>
                  <w:r w:rsidRPr="00F35BC9">
                    <w:rPr>
                      <w:rFonts w:cstheme="minorHAnsi"/>
                    </w:rPr>
                    <w:t xml:space="preserve"> </w:t>
                  </w:r>
                  <w:proofErr w:type="spellStart"/>
                  <w:r w:rsidRPr="00F35BC9">
                    <w:rPr>
                      <w:rFonts w:cstheme="minorHAnsi"/>
                    </w:rPr>
                    <w:t>документ</w:t>
                  </w:r>
                  <w:proofErr w:type="spellEnd"/>
                  <w:r w:rsidRPr="00F35BC9">
                    <w:rPr>
                      <w:rFonts w:cstheme="minorHAnsi"/>
                    </w:rPr>
                    <w:t xml:space="preserve">.  </w:t>
                  </w:r>
                </w:p>
              </w:tc>
              <w:tc>
                <w:tcPr>
                  <w:tcW w:w="1066" w:type="dxa"/>
                  <w:shd w:val="clear" w:color="auto" w:fill="00B050"/>
                </w:tcPr>
                <w:p w:rsidR="00005F5D" w:rsidRPr="00F35BC9" w:rsidRDefault="00005F5D" w:rsidP="005D436F">
                  <w:pPr>
                    <w:rPr>
                      <w:rFonts w:eastAsia="Calibri" w:cstheme="minorHAnsi"/>
                    </w:rPr>
                  </w:pPr>
                </w:p>
              </w:tc>
              <w:tc>
                <w:tcPr>
                  <w:tcW w:w="4645" w:type="dxa"/>
                </w:tcPr>
                <w:p w:rsidR="00005F5D" w:rsidRPr="00F35BC9" w:rsidRDefault="00005F5D" w:rsidP="00005F5D">
                  <w:pPr>
                    <w:pStyle w:val="ListParagraph"/>
                    <w:numPr>
                      <w:ilvl w:val="0"/>
                      <w:numId w:val="37"/>
                    </w:numPr>
                    <w:rPr>
                      <w:rFonts w:eastAsia="Calibri" w:cstheme="minorHAnsi"/>
                      <w:i/>
                    </w:rPr>
                  </w:pPr>
                  <w:r w:rsidRPr="00F35BC9">
                    <w:rPr>
                      <w:rFonts w:eastAsia="Calibri" w:cstheme="minorHAnsi"/>
                      <w:i/>
                    </w:rPr>
                    <w:t xml:space="preserve"> </w:t>
                  </w:r>
                  <w:r w:rsidRPr="00F35BC9">
                    <w:rPr>
                      <w:rFonts w:eastAsia="Calibri" w:cstheme="minorHAnsi"/>
                      <w:i/>
                      <w:lang w:val="mk-MK"/>
                    </w:rPr>
                    <w:t>Потребно е делумно прилагодување на правната рамка.</w:t>
                  </w:r>
                </w:p>
              </w:tc>
            </w:tr>
            <w:tr w:rsidR="00005F5D" w:rsidRPr="00F35BC9" w:rsidTr="005D436F">
              <w:tc>
                <w:tcPr>
                  <w:tcW w:w="560" w:type="dxa"/>
                </w:tcPr>
                <w:p w:rsidR="00005F5D" w:rsidRPr="00F35BC9" w:rsidRDefault="00005F5D" w:rsidP="005D436F">
                  <w:pPr>
                    <w:rPr>
                      <w:rFonts w:eastAsia="Calibri" w:cstheme="minorHAnsi"/>
                      <w:b/>
                      <w:color w:val="F79646"/>
                    </w:rPr>
                  </w:pPr>
                  <w:r w:rsidRPr="00F35BC9">
                    <w:rPr>
                      <w:rFonts w:eastAsia="Calibri" w:cstheme="minorHAnsi"/>
                      <w:b/>
                      <w:color w:val="F79646"/>
                      <w:lang w:val="mk-MK"/>
                    </w:rPr>
                    <w:t>С3</w:t>
                  </w:r>
                </w:p>
              </w:tc>
              <w:tc>
                <w:tcPr>
                  <w:tcW w:w="2814" w:type="dxa"/>
                </w:tcPr>
                <w:p w:rsidR="00005F5D" w:rsidRPr="00F35BC9" w:rsidRDefault="00005F5D" w:rsidP="005D436F">
                  <w:pPr>
                    <w:rPr>
                      <w:rFonts w:eastAsia="Calibri" w:cstheme="minorHAnsi"/>
                    </w:rPr>
                  </w:pPr>
                  <w:proofErr w:type="spellStart"/>
                  <w:r w:rsidRPr="00F35BC9">
                    <w:rPr>
                      <w:rFonts w:cstheme="minorHAnsi"/>
                    </w:rPr>
                    <w:t>Основните</w:t>
                  </w:r>
                  <w:proofErr w:type="spellEnd"/>
                  <w:r w:rsidRPr="00F35BC9">
                    <w:rPr>
                      <w:rFonts w:cstheme="minorHAnsi"/>
                    </w:rPr>
                    <w:t xml:space="preserve"> </w:t>
                  </w:r>
                  <w:proofErr w:type="spellStart"/>
                  <w:r w:rsidRPr="00F35BC9">
                    <w:rPr>
                      <w:rFonts w:cstheme="minorHAnsi"/>
                    </w:rPr>
                    <w:t>функции</w:t>
                  </w:r>
                  <w:proofErr w:type="spellEnd"/>
                  <w:r w:rsidRPr="00F35BC9">
                    <w:rPr>
                      <w:rFonts w:cstheme="minorHAnsi"/>
                    </w:rPr>
                    <w:t xml:space="preserve"> и </w:t>
                  </w:r>
                  <w:proofErr w:type="spellStart"/>
                  <w:r w:rsidRPr="00F35BC9">
                    <w:rPr>
                      <w:rFonts w:cstheme="minorHAnsi"/>
                    </w:rPr>
                    <w:t>внатрешната</w:t>
                  </w:r>
                  <w:proofErr w:type="spellEnd"/>
                  <w:r w:rsidRPr="00F35BC9">
                    <w:rPr>
                      <w:rFonts w:cstheme="minorHAnsi"/>
                    </w:rPr>
                    <w:t xml:space="preserve"> </w:t>
                  </w:r>
                  <w:proofErr w:type="spellStart"/>
                  <w:r w:rsidRPr="00F35BC9">
                    <w:rPr>
                      <w:rFonts w:cstheme="minorHAnsi"/>
                    </w:rPr>
                    <w:t>организација</w:t>
                  </w:r>
                  <w:proofErr w:type="spellEnd"/>
                  <w:r w:rsidRPr="00F35BC9">
                    <w:rPr>
                      <w:rFonts w:cstheme="minorHAnsi"/>
                    </w:rPr>
                    <w:t xml:space="preserve"> </w:t>
                  </w:r>
                  <w:proofErr w:type="spellStart"/>
                  <w:r w:rsidRPr="00F35BC9">
                    <w:rPr>
                      <w:rFonts w:cstheme="minorHAnsi"/>
                    </w:rPr>
                    <w:t>на</w:t>
                  </w:r>
                  <w:proofErr w:type="spellEnd"/>
                  <w:r w:rsidRPr="00F35BC9">
                    <w:rPr>
                      <w:rFonts w:cstheme="minorHAnsi"/>
                    </w:rPr>
                    <w:t xml:space="preserve"> </w:t>
                  </w:r>
                  <w:proofErr w:type="spellStart"/>
                  <w:r w:rsidRPr="00F35BC9">
                    <w:rPr>
                      <w:rFonts w:cstheme="minorHAnsi"/>
                    </w:rPr>
                    <w:t>институцијата</w:t>
                  </w:r>
                  <w:proofErr w:type="spellEnd"/>
                  <w:r w:rsidRPr="00F35BC9">
                    <w:rPr>
                      <w:rFonts w:cstheme="minorHAnsi"/>
                    </w:rPr>
                    <w:t xml:space="preserve"> </w:t>
                  </w:r>
                  <w:proofErr w:type="spellStart"/>
                  <w:r w:rsidRPr="00F35BC9">
                    <w:rPr>
                      <w:rFonts w:cstheme="minorHAnsi"/>
                    </w:rPr>
                    <w:t>се</w:t>
                  </w:r>
                  <w:proofErr w:type="spellEnd"/>
                  <w:r w:rsidRPr="00F35BC9">
                    <w:rPr>
                      <w:rFonts w:cstheme="minorHAnsi"/>
                    </w:rPr>
                    <w:t xml:space="preserve"> </w:t>
                  </w:r>
                  <w:proofErr w:type="spellStart"/>
                  <w:r w:rsidRPr="00F35BC9">
                    <w:rPr>
                      <w:rFonts w:cstheme="minorHAnsi"/>
                    </w:rPr>
                    <w:t>усогласени</w:t>
                  </w:r>
                  <w:proofErr w:type="spellEnd"/>
                  <w:r w:rsidRPr="00F35BC9">
                    <w:rPr>
                      <w:rFonts w:cstheme="minorHAnsi"/>
                    </w:rPr>
                    <w:t xml:space="preserve"> </w:t>
                  </w:r>
                  <w:proofErr w:type="spellStart"/>
                  <w:r w:rsidRPr="00F35BC9">
                    <w:rPr>
                      <w:rFonts w:cstheme="minorHAnsi"/>
                    </w:rPr>
                    <w:t>со</w:t>
                  </w:r>
                  <w:proofErr w:type="spellEnd"/>
                  <w:r w:rsidRPr="00F35BC9">
                    <w:rPr>
                      <w:rFonts w:cstheme="minorHAnsi"/>
                    </w:rPr>
                    <w:t xml:space="preserve"> </w:t>
                  </w:r>
                  <w:proofErr w:type="spellStart"/>
                  <w:r w:rsidRPr="00F35BC9">
                    <w:rPr>
                      <w:rFonts w:cstheme="minorHAnsi"/>
                    </w:rPr>
                    <w:t>стратешкиот</w:t>
                  </w:r>
                  <w:proofErr w:type="spellEnd"/>
                  <w:r w:rsidRPr="00F35BC9">
                    <w:rPr>
                      <w:rFonts w:cstheme="minorHAnsi"/>
                    </w:rPr>
                    <w:t xml:space="preserve"> </w:t>
                  </w:r>
                  <w:proofErr w:type="spellStart"/>
                  <w:r w:rsidRPr="00F35BC9">
                    <w:rPr>
                      <w:rFonts w:cstheme="minorHAnsi"/>
                    </w:rPr>
                    <w:t>документ</w:t>
                  </w:r>
                  <w:proofErr w:type="spellEnd"/>
                  <w:r w:rsidRPr="00F35BC9">
                    <w:rPr>
                      <w:rFonts w:cstheme="minorHAnsi"/>
                    </w:rPr>
                    <w:t xml:space="preserve"> и </w:t>
                  </w:r>
                  <w:proofErr w:type="spellStart"/>
                  <w:r w:rsidRPr="00F35BC9">
                    <w:rPr>
                      <w:rFonts w:cstheme="minorHAnsi"/>
                    </w:rPr>
                    <w:t>законските</w:t>
                  </w:r>
                  <w:proofErr w:type="spellEnd"/>
                  <w:r w:rsidRPr="00F35BC9">
                    <w:rPr>
                      <w:rFonts w:cstheme="minorHAnsi"/>
                    </w:rPr>
                    <w:t xml:space="preserve"> </w:t>
                  </w:r>
                  <w:proofErr w:type="spellStart"/>
                  <w:r w:rsidRPr="00F35BC9">
                    <w:rPr>
                      <w:rFonts w:cstheme="minorHAnsi"/>
                    </w:rPr>
                    <w:t>надлежности</w:t>
                  </w:r>
                  <w:proofErr w:type="spellEnd"/>
                  <w:r w:rsidRPr="00F35BC9">
                    <w:rPr>
                      <w:rFonts w:cstheme="minorHAnsi"/>
                    </w:rPr>
                    <w:t>.</w:t>
                  </w:r>
                </w:p>
              </w:tc>
              <w:tc>
                <w:tcPr>
                  <w:tcW w:w="1066" w:type="dxa"/>
                  <w:shd w:val="clear" w:color="auto" w:fill="FFC000"/>
                </w:tcPr>
                <w:p w:rsidR="00005F5D" w:rsidRPr="00F35BC9" w:rsidRDefault="00005F5D" w:rsidP="005D436F">
                  <w:pPr>
                    <w:rPr>
                      <w:rFonts w:eastAsia="Calibri" w:cstheme="minorHAnsi"/>
                    </w:rPr>
                  </w:pPr>
                </w:p>
              </w:tc>
              <w:tc>
                <w:tcPr>
                  <w:tcW w:w="4645" w:type="dxa"/>
                </w:tcPr>
                <w:p w:rsidR="00005F5D" w:rsidRPr="00F35BC9" w:rsidRDefault="00005F5D" w:rsidP="00005F5D">
                  <w:pPr>
                    <w:pStyle w:val="ListParagraph"/>
                    <w:numPr>
                      <w:ilvl w:val="0"/>
                      <w:numId w:val="37"/>
                    </w:numPr>
                    <w:rPr>
                      <w:rFonts w:eastAsia="Calibri" w:cstheme="minorHAnsi"/>
                      <w:i/>
                    </w:rPr>
                  </w:pPr>
                  <w:r w:rsidRPr="00F35BC9">
                    <w:rPr>
                      <w:rFonts w:eastAsia="Calibri" w:cstheme="minorHAnsi"/>
                      <w:i/>
                      <w:lang w:val="mk-MK"/>
                    </w:rPr>
                    <w:t>Актот за систематизација и описите на работни места соодветно ја распределуваат работата.</w:t>
                  </w:r>
                </w:p>
                <w:p w:rsidR="00005F5D" w:rsidRPr="00F35BC9" w:rsidRDefault="00005F5D" w:rsidP="00005F5D">
                  <w:pPr>
                    <w:pStyle w:val="ListParagraph"/>
                    <w:numPr>
                      <w:ilvl w:val="0"/>
                      <w:numId w:val="38"/>
                    </w:numPr>
                    <w:rPr>
                      <w:rFonts w:eastAsia="Calibri" w:cstheme="minorHAnsi"/>
                      <w:i/>
                    </w:rPr>
                  </w:pPr>
                  <w:r w:rsidRPr="00F35BC9">
                    <w:rPr>
                      <w:rFonts w:eastAsia="Calibri" w:cstheme="minorHAnsi"/>
                      <w:i/>
                      <w:lang w:val="mk-MK"/>
                    </w:rPr>
                    <w:t>Работните позиции се 85% усогласени со исполнување или поддршка на стратегијата.</w:t>
                  </w:r>
                </w:p>
              </w:tc>
            </w:tr>
            <w:tr w:rsidR="00005F5D" w:rsidRPr="00F35BC9" w:rsidTr="005D436F">
              <w:tc>
                <w:tcPr>
                  <w:tcW w:w="560" w:type="dxa"/>
                </w:tcPr>
                <w:p w:rsidR="00005F5D" w:rsidRPr="00F35BC9" w:rsidRDefault="00005F5D" w:rsidP="005D436F">
                  <w:pPr>
                    <w:rPr>
                      <w:rFonts w:eastAsia="Calibri" w:cstheme="minorHAnsi"/>
                      <w:b/>
                      <w:color w:val="F79646"/>
                    </w:rPr>
                  </w:pPr>
                  <w:r w:rsidRPr="00F35BC9">
                    <w:rPr>
                      <w:rFonts w:eastAsia="Calibri" w:cstheme="minorHAnsi"/>
                      <w:b/>
                      <w:color w:val="F79646"/>
                      <w:lang w:val="mk-MK"/>
                    </w:rPr>
                    <w:t>С4</w:t>
                  </w:r>
                </w:p>
              </w:tc>
              <w:tc>
                <w:tcPr>
                  <w:tcW w:w="2814" w:type="dxa"/>
                </w:tcPr>
                <w:p w:rsidR="00005F5D" w:rsidRPr="00F35BC9" w:rsidRDefault="00005F5D" w:rsidP="005D436F">
                  <w:pPr>
                    <w:rPr>
                      <w:rFonts w:eastAsia="Calibri" w:cstheme="minorHAnsi"/>
                    </w:rPr>
                  </w:pPr>
                  <w:proofErr w:type="spellStart"/>
                  <w:r w:rsidRPr="00F35BC9">
                    <w:rPr>
                      <w:rFonts w:cstheme="minorHAnsi"/>
                    </w:rPr>
                    <w:t>Највисокото</w:t>
                  </w:r>
                  <w:proofErr w:type="spellEnd"/>
                  <w:r w:rsidRPr="00F35BC9">
                    <w:rPr>
                      <w:rFonts w:cstheme="minorHAnsi"/>
                    </w:rPr>
                    <w:t xml:space="preserve"> </w:t>
                  </w:r>
                  <w:proofErr w:type="spellStart"/>
                  <w:r w:rsidRPr="00F35BC9">
                    <w:rPr>
                      <w:rFonts w:cstheme="minorHAnsi"/>
                    </w:rPr>
                    <w:t>раководство</w:t>
                  </w:r>
                  <w:proofErr w:type="spellEnd"/>
                  <w:r w:rsidRPr="00F35BC9">
                    <w:rPr>
                      <w:rFonts w:cstheme="minorHAnsi"/>
                    </w:rPr>
                    <w:t xml:space="preserve"> </w:t>
                  </w:r>
                  <w:proofErr w:type="spellStart"/>
                  <w:r w:rsidRPr="00F35BC9">
                    <w:rPr>
                      <w:rFonts w:cstheme="minorHAnsi"/>
                    </w:rPr>
                    <w:t>јасно</w:t>
                  </w:r>
                  <w:proofErr w:type="spellEnd"/>
                  <w:r w:rsidRPr="00F35BC9">
                    <w:rPr>
                      <w:rFonts w:cstheme="minorHAnsi"/>
                    </w:rPr>
                    <w:t xml:space="preserve"> </w:t>
                  </w:r>
                  <w:proofErr w:type="spellStart"/>
                  <w:r w:rsidRPr="00F35BC9">
                    <w:rPr>
                      <w:rFonts w:cstheme="minorHAnsi"/>
                    </w:rPr>
                    <w:t>ги</w:t>
                  </w:r>
                  <w:proofErr w:type="spellEnd"/>
                  <w:r w:rsidRPr="00F35BC9">
                    <w:rPr>
                      <w:rFonts w:cstheme="minorHAnsi"/>
                    </w:rPr>
                    <w:t xml:space="preserve"> </w:t>
                  </w:r>
                  <w:proofErr w:type="spellStart"/>
                  <w:r w:rsidRPr="00F35BC9">
                    <w:rPr>
                      <w:rFonts w:cstheme="minorHAnsi"/>
                    </w:rPr>
                    <w:t>пренесува</w:t>
                  </w:r>
                  <w:proofErr w:type="spellEnd"/>
                  <w:r w:rsidRPr="00F35BC9">
                    <w:rPr>
                      <w:rFonts w:cstheme="minorHAnsi"/>
                    </w:rPr>
                    <w:t xml:space="preserve"> </w:t>
                  </w:r>
                  <w:proofErr w:type="spellStart"/>
                  <w:r w:rsidRPr="00F35BC9">
                    <w:rPr>
                      <w:rFonts w:cstheme="minorHAnsi"/>
                    </w:rPr>
                    <w:lastRenderedPageBreak/>
                    <w:t>плановите</w:t>
                  </w:r>
                  <w:proofErr w:type="spellEnd"/>
                  <w:r w:rsidRPr="00F35BC9">
                    <w:rPr>
                      <w:rFonts w:cstheme="minorHAnsi"/>
                    </w:rPr>
                    <w:t xml:space="preserve"> </w:t>
                  </w:r>
                  <w:proofErr w:type="spellStart"/>
                  <w:r w:rsidRPr="00F35BC9">
                    <w:rPr>
                      <w:rFonts w:cstheme="minorHAnsi"/>
                    </w:rPr>
                    <w:t>за</w:t>
                  </w:r>
                  <w:proofErr w:type="spellEnd"/>
                  <w:r w:rsidRPr="00F35BC9">
                    <w:rPr>
                      <w:rFonts w:cstheme="minorHAnsi"/>
                    </w:rPr>
                    <w:t xml:space="preserve"> </w:t>
                  </w:r>
                  <w:proofErr w:type="spellStart"/>
                  <w:r w:rsidRPr="00F35BC9">
                    <w:rPr>
                      <w:rFonts w:cstheme="minorHAnsi"/>
                    </w:rPr>
                    <w:t>реформи</w:t>
                  </w:r>
                  <w:proofErr w:type="spellEnd"/>
                  <w:r w:rsidRPr="00F35BC9">
                    <w:rPr>
                      <w:rFonts w:cstheme="minorHAnsi"/>
                    </w:rPr>
                    <w:t xml:space="preserve">, </w:t>
                  </w:r>
                  <w:proofErr w:type="spellStart"/>
                  <w:r w:rsidRPr="00F35BC9">
                    <w:rPr>
                      <w:rFonts w:cstheme="minorHAnsi"/>
                    </w:rPr>
                    <w:t>стратешките</w:t>
                  </w:r>
                  <w:proofErr w:type="spellEnd"/>
                  <w:r w:rsidRPr="00F35BC9">
                    <w:rPr>
                      <w:rFonts w:cstheme="minorHAnsi"/>
                    </w:rPr>
                    <w:t xml:space="preserve"> </w:t>
                  </w:r>
                  <w:proofErr w:type="spellStart"/>
                  <w:r w:rsidRPr="00F35BC9">
                    <w:rPr>
                      <w:rFonts w:cstheme="minorHAnsi"/>
                    </w:rPr>
                    <w:t>цели</w:t>
                  </w:r>
                  <w:proofErr w:type="spellEnd"/>
                  <w:r w:rsidRPr="00F35BC9">
                    <w:rPr>
                      <w:rFonts w:cstheme="minorHAnsi"/>
                    </w:rPr>
                    <w:t xml:space="preserve"> и </w:t>
                  </w:r>
                  <w:proofErr w:type="spellStart"/>
                  <w:r w:rsidRPr="00F35BC9">
                    <w:rPr>
                      <w:rFonts w:cstheme="minorHAnsi"/>
                    </w:rPr>
                    <w:t>мерките</w:t>
                  </w:r>
                  <w:proofErr w:type="spellEnd"/>
                  <w:r w:rsidRPr="00F35BC9">
                    <w:rPr>
                      <w:rFonts w:cstheme="minorHAnsi"/>
                    </w:rPr>
                    <w:t xml:space="preserve"> </w:t>
                  </w:r>
                  <w:proofErr w:type="spellStart"/>
                  <w:r w:rsidRPr="00F35BC9">
                    <w:rPr>
                      <w:rFonts w:cstheme="minorHAnsi"/>
                    </w:rPr>
                    <w:t>за</w:t>
                  </w:r>
                  <w:proofErr w:type="spellEnd"/>
                  <w:r w:rsidRPr="00F35BC9">
                    <w:rPr>
                      <w:rFonts w:cstheme="minorHAnsi"/>
                    </w:rPr>
                    <w:t xml:space="preserve"> </w:t>
                  </w:r>
                  <w:proofErr w:type="spellStart"/>
                  <w:r w:rsidRPr="00F35BC9">
                    <w:rPr>
                      <w:rFonts w:cstheme="minorHAnsi"/>
                    </w:rPr>
                    <w:t>подобрување</w:t>
                  </w:r>
                  <w:proofErr w:type="spellEnd"/>
                  <w:r w:rsidRPr="00F35BC9">
                    <w:rPr>
                      <w:rFonts w:cstheme="minorHAnsi"/>
                    </w:rPr>
                    <w:t xml:space="preserve"> </w:t>
                  </w:r>
                  <w:proofErr w:type="spellStart"/>
                  <w:r w:rsidRPr="00F35BC9">
                    <w:rPr>
                      <w:rFonts w:cstheme="minorHAnsi"/>
                    </w:rPr>
                    <w:t>до</w:t>
                  </w:r>
                  <w:proofErr w:type="spellEnd"/>
                  <w:r w:rsidRPr="00F35BC9">
                    <w:rPr>
                      <w:rFonts w:cstheme="minorHAnsi"/>
                    </w:rPr>
                    <w:t xml:space="preserve"> </w:t>
                  </w:r>
                  <w:proofErr w:type="spellStart"/>
                  <w:r w:rsidRPr="00F35BC9">
                    <w:rPr>
                      <w:rFonts w:cstheme="minorHAnsi"/>
                    </w:rPr>
                    <w:t>вработените</w:t>
                  </w:r>
                  <w:proofErr w:type="spellEnd"/>
                  <w:r w:rsidRPr="00F35BC9">
                    <w:rPr>
                      <w:rFonts w:cstheme="minorHAnsi"/>
                    </w:rPr>
                    <w:t xml:space="preserve">.  </w:t>
                  </w:r>
                </w:p>
              </w:tc>
              <w:tc>
                <w:tcPr>
                  <w:tcW w:w="1066" w:type="dxa"/>
                  <w:shd w:val="clear" w:color="auto" w:fill="FF0000"/>
                </w:tcPr>
                <w:p w:rsidR="00005F5D" w:rsidRPr="00F35BC9" w:rsidRDefault="00005F5D" w:rsidP="005D436F">
                  <w:pPr>
                    <w:rPr>
                      <w:rFonts w:eastAsia="Calibri" w:cstheme="minorHAnsi"/>
                    </w:rPr>
                  </w:pPr>
                </w:p>
              </w:tc>
              <w:tc>
                <w:tcPr>
                  <w:tcW w:w="4645" w:type="dxa"/>
                </w:tcPr>
                <w:p w:rsidR="00005F5D" w:rsidRPr="00F35BC9" w:rsidRDefault="00005F5D" w:rsidP="00005F5D">
                  <w:pPr>
                    <w:pStyle w:val="ListParagraph"/>
                    <w:numPr>
                      <w:ilvl w:val="0"/>
                      <w:numId w:val="36"/>
                    </w:numPr>
                    <w:rPr>
                      <w:rFonts w:eastAsia="Calibri" w:cstheme="minorHAnsi"/>
                      <w:i/>
                    </w:rPr>
                  </w:pPr>
                  <w:r w:rsidRPr="00F35BC9">
                    <w:rPr>
                      <w:rFonts w:eastAsia="Calibri" w:cstheme="minorHAnsi"/>
                      <w:i/>
                      <w:lang w:val="mk-MK"/>
                    </w:rPr>
                    <w:t>Одлуките се централизирани и доаѓаат од највисокото раководство.</w:t>
                  </w:r>
                </w:p>
                <w:p w:rsidR="00005F5D" w:rsidRPr="00F35BC9" w:rsidRDefault="00005F5D" w:rsidP="00005F5D">
                  <w:pPr>
                    <w:pStyle w:val="ListParagraph"/>
                    <w:numPr>
                      <w:ilvl w:val="0"/>
                      <w:numId w:val="36"/>
                    </w:numPr>
                    <w:rPr>
                      <w:rFonts w:eastAsia="Calibri" w:cstheme="minorHAnsi"/>
                      <w:i/>
                    </w:rPr>
                  </w:pPr>
                  <w:r w:rsidRPr="00F35BC9">
                    <w:rPr>
                      <w:rFonts w:eastAsia="Calibri" w:cstheme="minorHAnsi"/>
                      <w:i/>
                      <w:lang w:val="mk-MK"/>
                    </w:rPr>
                    <w:lastRenderedPageBreak/>
                    <w:t>На пониските раководители не им се пренесени информации</w:t>
                  </w:r>
                </w:p>
              </w:tc>
            </w:tr>
            <w:tr w:rsidR="00005F5D" w:rsidRPr="00F35BC9" w:rsidTr="005D436F">
              <w:tc>
                <w:tcPr>
                  <w:tcW w:w="9085" w:type="dxa"/>
                  <w:gridSpan w:val="4"/>
                </w:tcPr>
                <w:p w:rsidR="00005F5D" w:rsidRPr="00F35BC9" w:rsidRDefault="00005F5D" w:rsidP="00005F5D">
                  <w:pPr>
                    <w:pStyle w:val="ListParagraph"/>
                    <w:numPr>
                      <w:ilvl w:val="0"/>
                      <w:numId w:val="36"/>
                    </w:numPr>
                    <w:rPr>
                      <w:rFonts w:cstheme="minorHAnsi"/>
                    </w:rPr>
                  </w:pPr>
                  <w:r w:rsidRPr="00F35BC9">
                    <w:rPr>
                      <w:rFonts w:cstheme="minorHAnsi"/>
                      <w:lang w:val="mk-MK"/>
                    </w:rPr>
                    <w:lastRenderedPageBreak/>
                    <w:t>Важни препораки за подобрување.</w:t>
                  </w:r>
                </w:p>
                <w:p w:rsidR="00005F5D" w:rsidRPr="00FC522D" w:rsidRDefault="00005F5D" w:rsidP="005D436F">
                  <w:pPr>
                    <w:rPr>
                      <w:rFonts w:eastAsia="Calibri" w:cstheme="minorHAnsi"/>
                      <w:i/>
                      <w:lang w:val="mk-MK"/>
                    </w:rPr>
                  </w:pPr>
                </w:p>
              </w:tc>
            </w:tr>
          </w:tbl>
          <w:p w:rsidR="00005F5D" w:rsidRPr="00F35BC9" w:rsidRDefault="00005F5D" w:rsidP="005D436F">
            <w:pPr>
              <w:rPr>
                <w:rFonts w:eastAsia="Calibri" w:cstheme="minorHAnsi"/>
                <w:b/>
                <w:color w:val="0070C0"/>
              </w:rPr>
            </w:pPr>
          </w:p>
          <w:p w:rsidR="00005F5D" w:rsidRDefault="00005F5D" w:rsidP="005D436F">
            <w:pPr>
              <w:spacing w:line="260" w:lineRule="auto"/>
              <w:jc w:val="both"/>
              <w:rPr>
                <w:rFonts w:cs="Arial"/>
                <w:lang w:val="mk-MK"/>
              </w:rPr>
            </w:pPr>
          </w:p>
        </w:tc>
      </w:tr>
    </w:tbl>
    <w:p w:rsidR="000C41C3" w:rsidRDefault="000C41C3"/>
    <w:tbl>
      <w:tblPr>
        <w:tblStyle w:val="TableGrid"/>
        <w:tblW w:w="9355" w:type="dxa"/>
        <w:shd w:val="clear" w:color="auto" w:fill="E2EFD9" w:themeFill="accent6" w:themeFillTint="33"/>
        <w:tblLook w:val="04A0" w:firstRow="1" w:lastRow="0" w:firstColumn="1" w:lastColumn="0" w:noHBand="0" w:noVBand="1"/>
      </w:tblPr>
      <w:tblGrid>
        <w:gridCol w:w="9355"/>
      </w:tblGrid>
      <w:tr w:rsidR="00091D59" w:rsidTr="00091D59">
        <w:tc>
          <w:tcPr>
            <w:tcW w:w="9355" w:type="dxa"/>
            <w:shd w:val="clear" w:color="auto" w:fill="E2EFD9" w:themeFill="accent6" w:themeFillTint="33"/>
          </w:tcPr>
          <w:p w:rsidR="00091D59" w:rsidRPr="00091D59" w:rsidRDefault="00091D59" w:rsidP="00091D59">
            <w:pPr>
              <w:jc w:val="both"/>
              <w:rPr>
                <w:rFonts w:cstheme="minorHAnsi"/>
                <w:b/>
                <w:color w:val="0070C0"/>
                <w:lang w:val="mk-MK"/>
              </w:rPr>
            </w:pPr>
            <w:r w:rsidRPr="00091D59">
              <w:rPr>
                <w:rFonts w:cstheme="minorHAnsi"/>
                <w:b/>
                <w:color w:val="0070C0"/>
                <w:lang w:val="mk-MK"/>
              </w:rPr>
              <w:t>ДЕТАЛНИ НАОДИ</w:t>
            </w:r>
          </w:p>
          <w:p w:rsidR="00091D59" w:rsidRPr="00091D59" w:rsidRDefault="00091D59" w:rsidP="00091D59">
            <w:pPr>
              <w:jc w:val="both"/>
              <w:rPr>
                <w:rFonts w:cstheme="minorHAnsi"/>
                <w:b/>
                <w:color w:val="0070C0"/>
                <w:lang w:val="mk-MK"/>
              </w:rPr>
            </w:pPr>
            <w:r w:rsidRPr="00091D59">
              <w:rPr>
                <w:rFonts w:cstheme="minorHAnsi"/>
                <w:b/>
                <w:color w:val="0070C0"/>
                <w:lang w:val="mk-MK"/>
              </w:rPr>
              <w:t>Се проценува колку институцијата ги задоволува следните критериуми/</w:t>
            </w:r>
            <w:proofErr w:type="spellStart"/>
            <w:r w:rsidRPr="00091D59">
              <w:rPr>
                <w:rFonts w:cstheme="minorHAnsi"/>
                <w:b/>
                <w:color w:val="0070C0"/>
                <w:lang w:val="mk-MK"/>
              </w:rPr>
              <w:t>поткритериуми</w:t>
            </w:r>
            <w:proofErr w:type="spellEnd"/>
            <w:r w:rsidRPr="00091D59">
              <w:rPr>
                <w:rFonts w:cstheme="minorHAnsi"/>
                <w:b/>
                <w:color w:val="0070C0"/>
                <w:lang w:val="mk-MK"/>
              </w:rPr>
              <w:t>:</w:t>
            </w:r>
          </w:p>
          <w:p w:rsidR="00091D59" w:rsidRPr="00091D59" w:rsidRDefault="00091D59" w:rsidP="00091D59">
            <w:pPr>
              <w:spacing w:line="260" w:lineRule="auto"/>
              <w:jc w:val="both"/>
              <w:rPr>
                <w:rFonts w:cs="Arial"/>
                <w:lang w:val="mk-MK"/>
              </w:rPr>
            </w:pPr>
          </w:p>
        </w:tc>
      </w:tr>
      <w:tr w:rsidR="00091D59" w:rsidTr="00091D59">
        <w:tc>
          <w:tcPr>
            <w:tcW w:w="9355" w:type="dxa"/>
            <w:shd w:val="clear" w:color="auto" w:fill="E2EFD9" w:themeFill="accent6" w:themeFillTint="33"/>
          </w:tcPr>
          <w:p w:rsidR="00091D59" w:rsidRPr="00091D59" w:rsidRDefault="00091D59" w:rsidP="00091D59">
            <w:pPr>
              <w:spacing w:line="260" w:lineRule="auto"/>
              <w:jc w:val="both"/>
              <w:rPr>
                <w:rFonts w:cs="Arial"/>
                <w:lang w:val="mk-MK"/>
              </w:rPr>
            </w:pPr>
            <w:r w:rsidRPr="00091D59">
              <w:rPr>
                <w:rFonts w:cs="Arial"/>
                <w:lang w:val="mk-MK"/>
              </w:rPr>
              <w:t>СТРАТЕШКА УСОГЛАСЕНОСТ</w:t>
            </w:r>
          </w:p>
          <w:p w:rsidR="00091D59" w:rsidRPr="00091D59" w:rsidRDefault="00091D59" w:rsidP="00091D59">
            <w:pPr>
              <w:pStyle w:val="ListParagraph"/>
              <w:numPr>
                <w:ilvl w:val="0"/>
                <w:numId w:val="42"/>
              </w:numPr>
              <w:spacing w:line="260" w:lineRule="auto"/>
              <w:jc w:val="both"/>
              <w:rPr>
                <w:rFonts w:cs="Arial"/>
                <w:lang w:val="mk-MK"/>
              </w:rPr>
            </w:pPr>
            <w:r w:rsidRPr="00091D59">
              <w:rPr>
                <w:rFonts w:cs="Arial"/>
                <w:lang w:val="mk-MK"/>
              </w:rPr>
              <w:t>Усвоен стратешки документ (ресорна стратегија, стратешки план, програма за работа на најмалку среден рок), по кој е организирана институцијата и определени нејзините активности и задачите на вработените.</w:t>
            </w:r>
          </w:p>
          <w:p w:rsidR="00091D59" w:rsidRPr="00091D59" w:rsidRDefault="00091D59" w:rsidP="00091D59">
            <w:pPr>
              <w:pStyle w:val="ListParagraph"/>
              <w:numPr>
                <w:ilvl w:val="0"/>
                <w:numId w:val="42"/>
              </w:numPr>
              <w:spacing w:line="260" w:lineRule="auto"/>
              <w:jc w:val="both"/>
              <w:rPr>
                <w:rFonts w:cs="Arial"/>
                <w:lang w:val="mk-MK"/>
              </w:rPr>
            </w:pPr>
            <w:r w:rsidRPr="00091D59">
              <w:rPr>
                <w:rFonts w:cs="Arial"/>
                <w:lang w:val="mk-MK"/>
              </w:rPr>
              <w:t xml:space="preserve">Правната рамка (од закони до внатрешни правила и процедури) е усогласена со стратешкиот документ.  </w:t>
            </w:r>
          </w:p>
          <w:p w:rsidR="00091D59" w:rsidRPr="00091D59" w:rsidRDefault="00091D59" w:rsidP="00091D59">
            <w:pPr>
              <w:pStyle w:val="ListParagraph"/>
              <w:numPr>
                <w:ilvl w:val="0"/>
                <w:numId w:val="42"/>
              </w:numPr>
              <w:spacing w:line="260" w:lineRule="auto"/>
              <w:jc w:val="both"/>
              <w:rPr>
                <w:rFonts w:cs="Arial"/>
                <w:lang w:val="mk-MK"/>
              </w:rPr>
            </w:pPr>
            <w:r w:rsidRPr="00091D59">
              <w:rPr>
                <w:rFonts w:cs="Arial"/>
                <w:lang w:val="mk-MK"/>
              </w:rPr>
              <w:t>Основните функции и внатрешната организација на институцијата се усогласени со стратешкиот документ и законските надлежности.</w:t>
            </w:r>
          </w:p>
          <w:p w:rsidR="00091D59" w:rsidRPr="00091D59" w:rsidRDefault="00091D59" w:rsidP="00091D59">
            <w:pPr>
              <w:pStyle w:val="ListParagraph"/>
              <w:numPr>
                <w:ilvl w:val="0"/>
                <w:numId w:val="42"/>
              </w:numPr>
              <w:spacing w:line="260" w:lineRule="auto"/>
              <w:jc w:val="both"/>
              <w:rPr>
                <w:rFonts w:cs="Arial"/>
                <w:lang w:val="mk-MK"/>
              </w:rPr>
            </w:pPr>
            <w:r w:rsidRPr="00091D59">
              <w:rPr>
                <w:rFonts w:cs="Arial"/>
                <w:lang w:val="mk-MK"/>
              </w:rPr>
              <w:t xml:space="preserve">Највисокото раководство јасно ги пренесува плановите за реформи, стратешките цели и мерките за подобрување до вработените.  </w:t>
            </w:r>
          </w:p>
          <w:p w:rsidR="00091D59" w:rsidRPr="00091D59" w:rsidRDefault="00091D59" w:rsidP="00091D59">
            <w:pPr>
              <w:spacing w:line="260" w:lineRule="auto"/>
              <w:jc w:val="both"/>
              <w:rPr>
                <w:rFonts w:cs="Arial"/>
                <w:lang w:val="mk-MK"/>
              </w:rPr>
            </w:pPr>
          </w:p>
        </w:tc>
      </w:tr>
      <w:tr w:rsidR="00091D59" w:rsidTr="00091D59">
        <w:tc>
          <w:tcPr>
            <w:tcW w:w="9355" w:type="dxa"/>
            <w:shd w:val="clear" w:color="auto" w:fill="E2EFD9" w:themeFill="accent6" w:themeFillTint="33"/>
          </w:tcPr>
          <w:p w:rsidR="00091D59" w:rsidRPr="00091D59" w:rsidRDefault="00091D59" w:rsidP="00091D59">
            <w:pPr>
              <w:spacing w:line="260" w:lineRule="auto"/>
              <w:jc w:val="both"/>
              <w:rPr>
                <w:rFonts w:cs="Arial"/>
                <w:lang w:val="mk-MK"/>
              </w:rPr>
            </w:pPr>
            <w:r w:rsidRPr="00091D59">
              <w:rPr>
                <w:rFonts w:cs="Arial"/>
                <w:lang w:val="mk-MK"/>
              </w:rPr>
              <w:t>ОРГАНИЗАЦИСКИ КАПАЦИТЕТИ</w:t>
            </w:r>
          </w:p>
          <w:p w:rsidR="00091D59" w:rsidRPr="00091D59" w:rsidRDefault="00091D59" w:rsidP="00091D59">
            <w:pPr>
              <w:pStyle w:val="ListParagraph"/>
              <w:numPr>
                <w:ilvl w:val="0"/>
                <w:numId w:val="42"/>
              </w:numPr>
              <w:spacing w:line="260" w:lineRule="auto"/>
              <w:jc w:val="both"/>
              <w:rPr>
                <w:rFonts w:cs="Arial"/>
                <w:lang w:val="mk-MK"/>
              </w:rPr>
            </w:pPr>
            <w:r w:rsidRPr="00091D59">
              <w:rPr>
                <w:rFonts w:cs="Arial"/>
                <w:lang w:val="mk-MK"/>
              </w:rPr>
              <w:t>Постои јасно разграничување, односно не постои преклопување во делокругот на работни задачи меѓу различни организациски единици во институцијата.</w:t>
            </w:r>
          </w:p>
          <w:p w:rsidR="00091D59" w:rsidRPr="00091D59" w:rsidRDefault="00091D59" w:rsidP="00091D59">
            <w:pPr>
              <w:pStyle w:val="ListParagraph"/>
              <w:numPr>
                <w:ilvl w:val="0"/>
                <w:numId w:val="42"/>
              </w:numPr>
              <w:spacing w:line="260" w:lineRule="auto"/>
              <w:jc w:val="both"/>
              <w:rPr>
                <w:rFonts w:cs="Arial"/>
                <w:lang w:val="mk-MK"/>
              </w:rPr>
            </w:pPr>
            <w:r w:rsidRPr="00091D59">
              <w:rPr>
                <w:rFonts w:cs="Arial"/>
                <w:lang w:val="mk-MK"/>
              </w:rPr>
              <w:t>Вработените ги разбираат основните функции и организациската поставеност на институцијата.</w:t>
            </w:r>
          </w:p>
          <w:p w:rsidR="00091D59" w:rsidRPr="00091D59" w:rsidRDefault="00091D59" w:rsidP="00091D59">
            <w:pPr>
              <w:pStyle w:val="ListParagraph"/>
              <w:numPr>
                <w:ilvl w:val="0"/>
                <w:numId w:val="42"/>
              </w:numPr>
              <w:spacing w:line="260" w:lineRule="auto"/>
              <w:jc w:val="both"/>
              <w:rPr>
                <w:rFonts w:cs="Arial"/>
                <w:lang w:val="mk-MK"/>
              </w:rPr>
            </w:pPr>
            <w:r w:rsidRPr="00091D59">
              <w:rPr>
                <w:rFonts w:cs="Arial"/>
                <w:lang w:val="mk-MK"/>
              </w:rPr>
              <w:t>Клучните работни места (оние преку кои се остварува главната цел / надлежност на институцијата) се пополнети со соодветни лица.</w:t>
            </w:r>
          </w:p>
          <w:p w:rsidR="00091D59" w:rsidRPr="00091D59" w:rsidRDefault="00091D59" w:rsidP="00091D59">
            <w:pPr>
              <w:pStyle w:val="ListParagraph"/>
              <w:numPr>
                <w:ilvl w:val="0"/>
                <w:numId w:val="42"/>
              </w:numPr>
              <w:spacing w:line="260" w:lineRule="auto"/>
              <w:jc w:val="both"/>
              <w:rPr>
                <w:rFonts w:cs="Arial"/>
                <w:lang w:val="mk-MK"/>
              </w:rPr>
            </w:pPr>
            <w:r w:rsidRPr="00091D59">
              <w:rPr>
                <w:rFonts w:cs="Arial"/>
                <w:lang w:val="mk-MK"/>
              </w:rPr>
              <w:t>Сите предвидени активности/задачи во институцијата се извршуваат.</w:t>
            </w:r>
          </w:p>
          <w:p w:rsidR="00091D59" w:rsidRPr="00091D59" w:rsidRDefault="00091D59" w:rsidP="00091D59">
            <w:pPr>
              <w:pStyle w:val="ListParagraph"/>
              <w:numPr>
                <w:ilvl w:val="0"/>
                <w:numId w:val="42"/>
              </w:numPr>
              <w:spacing w:line="260" w:lineRule="auto"/>
              <w:jc w:val="both"/>
              <w:rPr>
                <w:rFonts w:cs="Arial"/>
                <w:lang w:val="mk-MK"/>
              </w:rPr>
            </w:pPr>
            <w:r w:rsidRPr="00091D59">
              <w:rPr>
                <w:rFonts w:cs="Arial"/>
                <w:lang w:val="mk-MK"/>
              </w:rPr>
              <w:t>Секој вработен извршува задачи кои произлегуваат од описот за неговото работно место</w:t>
            </w:r>
          </w:p>
          <w:p w:rsidR="00091D59" w:rsidRPr="00091D59" w:rsidRDefault="00091D59" w:rsidP="00091D59">
            <w:pPr>
              <w:pStyle w:val="ListParagraph"/>
              <w:numPr>
                <w:ilvl w:val="0"/>
                <w:numId w:val="42"/>
              </w:numPr>
              <w:spacing w:line="260" w:lineRule="auto"/>
              <w:jc w:val="both"/>
              <w:rPr>
                <w:rFonts w:cs="Arial"/>
                <w:lang w:val="mk-MK"/>
              </w:rPr>
            </w:pPr>
            <w:r w:rsidRPr="00091D59">
              <w:rPr>
                <w:rFonts w:cs="Arial"/>
                <w:lang w:val="mk-MK"/>
              </w:rPr>
              <w:t xml:space="preserve">Не постојат систематизирани работни места кои се непотребни  </w:t>
            </w:r>
          </w:p>
          <w:p w:rsidR="00091D59" w:rsidRPr="00091D59" w:rsidRDefault="00091D59" w:rsidP="00091D59">
            <w:pPr>
              <w:pStyle w:val="ListParagraph"/>
              <w:numPr>
                <w:ilvl w:val="0"/>
                <w:numId w:val="42"/>
              </w:numPr>
              <w:spacing w:line="260" w:lineRule="auto"/>
              <w:jc w:val="both"/>
              <w:rPr>
                <w:rFonts w:cs="Arial"/>
                <w:lang w:val="mk-MK"/>
              </w:rPr>
            </w:pPr>
            <w:r w:rsidRPr="00091D59">
              <w:rPr>
                <w:rFonts w:cs="Arial"/>
                <w:lang w:val="mk-MK"/>
              </w:rPr>
              <w:t>Вработените генерално поседуваат компетенции за исполнување на активностите и за постигнување на стратешките цели.</w:t>
            </w:r>
          </w:p>
          <w:p w:rsidR="00091D59" w:rsidRPr="00091D59" w:rsidRDefault="00091D59" w:rsidP="00091D59">
            <w:pPr>
              <w:pStyle w:val="ListParagraph"/>
              <w:numPr>
                <w:ilvl w:val="0"/>
                <w:numId w:val="42"/>
              </w:numPr>
              <w:spacing w:line="260" w:lineRule="auto"/>
              <w:jc w:val="both"/>
              <w:rPr>
                <w:rFonts w:cs="Arial"/>
                <w:lang w:val="mk-MK"/>
              </w:rPr>
            </w:pPr>
            <w:r w:rsidRPr="00091D59">
              <w:rPr>
                <w:rFonts w:cs="Arial"/>
                <w:lang w:val="mk-MK"/>
              </w:rPr>
              <w:t xml:space="preserve">Вработените имаат можности за обучување и стручно усовршување.  </w:t>
            </w:r>
          </w:p>
          <w:p w:rsidR="00091D59" w:rsidRPr="00091D59" w:rsidRDefault="00091D59" w:rsidP="00091D59">
            <w:pPr>
              <w:pStyle w:val="ListParagraph"/>
              <w:numPr>
                <w:ilvl w:val="0"/>
                <w:numId w:val="42"/>
              </w:numPr>
              <w:spacing w:line="260" w:lineRule="auto"/>
              <w:jc w:val="both"/>
              <w:rPr>
                <w:rFonts w:cs="Arial"/>
                <w:lang w:val="mk-MK"/>
              </w:rPr>
            </w:pPr>
            <w:r w:rsidRPr="00091D59">
              <w:rPr>
                <w:rFonts w:cs="Arial"/>
                <w:lang w:val="mk-MK"/>
              </w:rPr>
              <w:t xml:space="preserve">Вработените имаат можности за унапредување.  </w:t>
            </w:r>
          </w:p>
          <w:p w:rsidR="00091D59" w:rsidRPr="00091D59" w:rsidRDefault="00091D59" w:rsidP="00091D59">
            <w:pPr>
              <w:pStyle w:val="ListParagraph"/>
              <w:numPr>
                <w:ilvl w:val="0"/>
                <w:numId w:val="42"/>
              </w:numPr>
              <w:spacing w:line="260" w:lineRule="auto"/>
              <w:jc w:val="both"/>
              <w:rPr>
                <w:rFonts w:cs="Arial"/>
                <w:lang w:val="mk-MK"/>
              </w:rPr>
            </w:pPr>
            <w:r w:rsidRPr="00091D59">
              <w:rPr>
                <w:rFonts w:cs="Arial"/>
                <w:lang w:val="mk-MK"/>
              </w:rPr>
              <w:t xml:space="preserve">Системот на оценување има ефект врз подобрувањето на работата во институцијата.  </w:t>
            </w:r>
          </w:p>
          <w:p w:rsidR="00091D59" w:rsidRPr="00091D59" w:rsidRDefault="00091D59" w:rsidP="00091D59">
            <w:pPr>
              <w:spacing w:line="260" w:lineRule="auto"/>
              <w:jc w:val="both"/>
              <w:rPr>
                <w:rFonts w:cs="Arial"/>
                <w:lang w:val="mk-MK"/>
              </w:rPr>
            </w:pPr>
          </w:p>
        </w:tc>
      </w:tr>
      <w:tr w:rsidR="00091D59" w:rsidTr="00091D59">
        <w:tc>
          <w:tcPr>
            <w:tcW w:w="9355" w:type="dxa"/>
            <w:shd w:val="clear" w:color="auto" w:fill="E2EFD9" w:themeFill="accent6" w:themeFillTint="33"/>
          </w:tcPr>
          <w:p w:rsidR="00091D59" w:rsidRPr="00091D59" w:rsidRDefault="00091D59" w:rsidP="00091D59">
            <w:pPr>
              <w:spacing w:line="260" w:lineRule="auto"/>
              <w:jc w:val="both"/>
              <w:rPr>
                <w:rFonts w:cs="Arial"/>
                <w:lang w:val="mk-MK"/>
              </w:rPr>
            </w:pPr>
            <w:r w:rsidRPr="00091D59">
              <w:rPr>
                <w:rFonts w:cs="Arial"/>
                <w:lang w:val="mk-MK"/>
              </w:rPr>
              <w:t>ИЗВРШУВАЊЕ НА РАБОТНИ ЗАДАЧИ ЗА ОСТВАРУВАЊЕ РЕЗУЛТАТИ</w:t>
            </w:r>
          </w:p>
          <w:p w:rsidR="00091D59" w:rsidRPr="00091D59" w:rsidRDefault="00091D59" w:rsidP="00091D59">
            <w:pPr>
              <w:pStyle w:val="ListParagraph"/>
              <w:numPr>
                <w:ilvl w:val="0"/>
                <w:numId w:val="41"/>
              </w:numPr>
              <w:spacing w:line="260" w:lineRule="auto"/>
              <w:jc w:val="both"/>
              <w:rPr>
                <w:rFonts w:cs="Arial"/>
                <w:lang w:val="mk-MK"/>
              </w:rPr>
            </w:pPr>
            <w:r w:rsidRPr="00091D59">
              <w:rPr>
                <w:rFonts w:cs="Arial"/>
                <w:lang w:val="mk-MK"/>
              </w:rPr>
              <w:t xml:space="preserve">Институцијата има соодветна организација, </w:t>
            </w:r>
            <w:proofErr w:type="spellStart"/>
            <w:r w:rsidRPr="00091D59">
              <w:rPr>
                <w:rFonts w:cs="Arial"/>
                <w:lang w:val="mk-MK"/>
              </w:rPr>
              <w:t>приоритизација</w:t>
            </w:r>
            <w:proofErr w:type="spellEnd"/>
            <w:r w:rsidRPr="00091D59">
              <w:rPr>
                <w:rFonts w:cs="Arial"/>
                <w:lang w:val="mk-MK"/>
              </w:rPr>
              <w:t xml:space="preserve"> и распределба на работа.  </w:t>
            </w:r>
          </w:p>
          <w:p w:rsidR="00091D59" w:rsidRPr="00091D59" w:rsidRDefault="00091D59" w:rsidP="00091D59">
            <w:pPr>
              <w:pStyle w:val="ListParagraph"/>
              <w:numPr>
                <w:ilvl w:val="0"/>
                <w:numId w:val="41"/>
              </w:numPr>
              <w:spacing w:line="260" w:lineRule="auto"/>
              <w:jc w:val="both"/>
              <w:rPr>
                <w:rFonts w:cs="Arial"/>
                <w:lang w:val="mk-MK"/>
              </w:rPr>
            </w:pPr>
            <w:r w:rsidRPr="00091D59">
              <w:rPr>
                <w:rFonts w:cs="Arial"/>
                <w:lang w:val="mk-MK"/>
              </w:rPr>
              <w:t xml:space="preserve">Одлучувањето се делегира од повисоко на пониско раководно место.  </w:t>
            </w:r>
          </w:p>
          <w:p w:rsidR="00091D59" w:rsidRPr="00091D59" w:rsidRDefault="00091D59" w:rsidP="00091D59">
            <w:pPr>
              <w:pStyle w:val="ListParagraph"/>
              <w:numPr>
                <w:ilvl w:val="0"/>
                <w:numId w:val="41"/>
              </w:numPr>
              <w:spacing w:line="260" w:lineRule="auto"/>
              <w:jc w:val="both"/>
              <w:rPr>
                <w:rFonts w:cs="Arial"/>
                <w:lang w:val="mk-MK"/>
              </w:rPr>
            </w:pPr>
            <w:r w:rsidRPr="00091D59">
              <w:rPr>
                <w:rFonts w:cs="Arial"/>
                <w:lang w:val="mk-MK"/>
              </w:rPr>
              <w:t xml:space="preserve">Воспоставени се јасни пишани процедури за работните процеси. </w:t>
            </w:r>
          </w:p>
          <w:p w:rsidR="00091D59" w:rsidRPr="00091D59" w:rsidRDefault="00091D59" w:rsidP="00091D59">
            <w:pPr>
              <w:pStyle w:val="ListParagraph"/>
              <w:numPr>
                <w:ilvl w:val="0"/>
                <w:numId w:val="41"/>
              </w:numPr>
              <w:spacing w:line="260" w:lineRule="auto"/>
              <w:jc w:val="both"/>
              <w:rPr>
                <w:rFonts w:cs="Arial"/>
                <w:lang w:val="mk-MK"/>
              </w:rPr>
            </w:pPr>
            <w:r w:rsidRPr="00091D59">
              <w:rPr>
                <w:rFonts w:cs="Arial"/>
                <w:lang w:val="mk-MK"/>
              </w:rPr>
              <w:lastRenderedPageBreak/>
              <w:t xml:space="preserve">Постои добра и редовна комуникација  меѓу организациски единици во институцијата.  </w:t>
            </w:r>
          </w:p>
          <w:p w:rsidR="00091D59" w:rsidRPr="00091D59" w:rsidRDefault="00091D59" w:rsidP="00091D59">
            <w:pPr>
              <w:pStyle w:val="ListParagraph"/>
              <w:numPr>
                <w:ilvl w:val="0"/>
                <w:numId w:val="41"/>
              </w:numPr>
              <w:spacing w:line="260" w:lineRule="auto"/>
              <w:jc w:val="both"/>
              <w:rPr>
                <w:rFonts w:cs="Arial"/>
                <w:lang w:val="mk-MK"/>
              </w:rPr>
            </w:pPr>
            <w:r w:rsidRPr="00091D59">
              <w:rPr>
                <w:rFonts w:cs="Arial"/>
                <w:lang w:val="mk-MK"/>
              </w:rPr>
              <w:t>Квалитет на работата на институцијата се оценува и подобрува.</w:t>
            </w:r>
          </w:p>
          <w:p w:rsidR="00091D59" w:rsidRPr="00091D59" w:rsidRDefault="00091D59" w:rsidP="00091D59">
            <w:pPr>
              <w:pStyle w:val="ListParagraph"/>
              <w:numPr>
                <w:ilvl w:val="0"/>
                <w:numId w:val="41"/>
              </w:numPr>
              <w:spacing w:line="260" w:lineRule="auto"/>
              <w:jc w:val="both"/>
              <w:rPr>
                <w:rFonts w:cs="Arial"/>
                <w:lang w:val="mk-MK"/>
              </w:rPr>
            </w:pPr>
            <w:r w:rsidRPr="00091D59">
              <w:rPr>
                <w:rFonts w:cs="Arial"/>
                <w:lang w:val="mk-MK"/>
              </w:rPr>
              <w:t>Во институцијата се користи соодветна ИТ технологија, софтвер и други алатки за работа.</w:t>
            </w:r>
          </w:p>
          <w:p w:rsidR="00091D59" w:rsidRPr="00091D59" w:rsidRDefault="00091D59" w:rsidP="00091D59">
            <w:pPr>
              <w:spacing w:line="260" w:lineRule="auto"/>
              <w:jc w:val="both"/>
              <w:rPr>
                <w:rFonts w:cs="Arial"/>
                <w:lang w:val="mk-MK"/>
              </w:rPr>
            </w:pPr>
          </w:p>
        </w:tc>
      </w:tr>
    </w:tbl>
    <w:p w:rsidR="00091D59" w:rsidRDefault="00091D59"/>
    <w:p w:rsidR="0067410D" w:rsidRDefault="0067410D"/>
    <w:sectPr w:rsidR="0067410D" w:rsidSect="00B34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50995"/>
    <w:multiLevelType w:val="hybridMultilevel"/>
    <w:tmpl w:val="B2285316"/>
    <w:lvl w:ilvl="0" w:tplc="9C88B3D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2A46A36"/>
    <w:multiLevelType w:val="hybridMultilevel"/>
    <w:tmpl w:val="C5527B8E"/>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2">
    <w:nsid w:val="042F3278"/>
    <w:multiLevelType w:val="hybridMultilevel"/>
    <w:tmpl w:val="E1C2854C"/>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3">
    <w:nsid w:val="0A5B7339"/>
    <w:multiLevelType w:val="hybridMultilevel"/>
    <w:tmpl w:val="51FE0858"/>
    <w:lvl w:ilvl="0" w:tplc="042F0003">
      <w:start w:val="1"/>
      <w:numFmt w:val="bullet"/>
      <w:lvlText w:val="o"/>
      <w:lvlJc w:val="left"/>
      <w:pPr>
        <w:ind w:left="720" w:hanging="360"/>
      </w:pPr>
      <w:rPr>
        <w:rFonts w:ascii="Courier New" w:hAnsi="Courier New" w:cs="Courier New"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nsid w:val="0E866579"/>
    <w:multiLevelType w:val="hybridMultilevel"/>
    <w:tmpl w:val="2B84BAB4"/>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5">
    <w:nsid w:val="0FBB2A51"/>
    <w:multiLevelType w:val="hybridMultilevel"/>
    <w:tmpl w:val="60E49C2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6">
    <w:nsid w:val="10A548B5"/>
    <w:multiLevelType w:val="hybridMultilevel"/>
    <w:tmpl w:val="80F6F7CA"/>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7">
    <w:nsid w:val="11B8654B"/>
    <w:multiLevelType w:val="hybridMultilevel"/>
    <w:tmpl w:val="8F424D0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nsid w:val="13682C50"/>
    <w:multiLevelType w:val="hybridMultilevel"/>
    <w:tmpl w:val="85BAD90C"/>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9">
    <w:nsid w:val="14F23205"/>
    <w:multiLevelType w:val="hybridMultilevel"/>
    <w:tmpl w:val="5B1CBDF2"/>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0">
    <w:nsid w:val="1AC77838"/>
    <w:multiLevelType w:val="hybridMultilevel"/>
    <w:tmpl w:val="9836BD92"/>
    <w:lvl w:ilvl="0" w:tplc="8E14343A">
      <w:start w:val="1"/>
      <w:numFmt w:val="bullet"/>
      <w:lvlText w:val="•"/>
      <w:lvlJc w:val="left"/>
      <w:pPr>
        <w:tabs>
          <w:tab w:val="num" w:pos="720"/>
        </w:tabs>
        <w:ind w:left="720" w:hanging="360"/>
      </w:pPr>
      <w:rPr>
        <w:rFonts w:ascii="Arial" w:hAnsi="Arial" w:hint="default"/>
      </w:rPr>
    </w:lvl>
    <w:lvl w:ilvl="1" w:tplc="04090013">
      <w:start w:val="1"/>
      <w:numFmt w:val="upperRoman"/>
      <w:lvlText w:val="%2."/>
      <w:lvlJc w:val="right"/>
      <w:pPr>
        <w:tabs>
          <w:tab w:val="num" w:pos="1440"/>
        </w:tabs>
        <w:ind w:left="1440" w:hanging="360"/>
      </w:pPr>
      <w:rPr>
        <w:rFonts w:hint="default"/>
      </w:rPr>
    </w:lvl>
    <w:lvl w:ilvl="2" w:tplc="482AC200" w:tentative="1">
      <w:start w:val="1"/>
      <w:numFmt w:val="bullet"/>
      <w:lvlText w:val="•"/>
      <w:lvlJc w:val="left"/>
      <w:pPr>
        <w:tabs>
          <w:tab w:val="num" w:pos="2160"/>
        </w:tabs>
        <w:ind w:left="2160" w:hanging="360"/>
      </w:pPr>
      <w:rPr>
        <w:rFonts w:ascii="Arial" w:hAnsi="Arial" w:hint="default"/>
      </w:rPr>
    </w:lvl>
    <w:lvl w:ilvl="3" w:tplc="01208EBE" w:tentative="1">
      <w:start w:val="1"/>
      <w:numFmt w:val="bullet"/>
      <w:lvlText w:val="•"/>
      <w:lvlJc w:val="left"/>
      <w:pPr>
        <w:tabs>
          <w:tab w:val="num" w:pos="2880"/>
        </w:tabs>
        <w:ind w:left="2880" w:hanging="360"/>
      </w:pPr>
      <w:rPr>
        <w:rFonts w:ascii="Arial" w:hAnsi="Arial" w:hint="default"/>
      </w:rPr>
    </w:lvl>
    <w:lvl w:ilvl="4" w:tplc="90B4E4C8" w:tentative="1">
      <w:start w:val="1"/>
      <w:numFmt w:val="bullet"/>
      <w:lvlText w:val="•"/>
      <w:lvlJc w:val="left"/>
      <w:pPr>
        <w:tabs>
          <w:tab w:val="num" w:pos="3600"/>
        </w:tabs>
        <w:ind w:left="3600" w:hanging="360"/>
      </w:pPr>
      <w:rPr>
        <w:rFonts w:ascii="Arial" w:hAnsi="Arial" w:hint="default"/>
      </w:rPr>
    </w:lvl>
    <w:lvl w:ilvl="5" w:tplc="7D861930" w:tentative="1">
      <w:start w:val="1"/>
      <w:numFmt w:val="bullet"/>
      <w:lvlText w:val="•"/>
      <w:lvlJc w:val="left"/>
      <w:pPr>
        <w:tabs>
          <w:tab w:val="num" w:pos="4320"/>
        </w:tabs>
        <w:ind w:left="4320" w:hanging="360"/>
      </w:pPr>
      <w:rPr>
        <w:rFonts w:ascii="Arial" w:hAnsi="Arial" w:hint="default"/>
      </w:rPr>
    </w:lvl>
    <w:lvl w:ilvl="6" w:tplc="AFB09F68" w:tentative="1">
      <w:start w:val="1"/>
      <w:numFmt w:val="bullet"/>
      <w:lvlText w:val="•"/>
      <w:lvlJc w:val="left"/>
      <w:pPr>
        <w:tabs>
          <w:tab w:val="num" w:pos="5040"/>
        </w:tabs>
        <w:ind w:left="5040" w:hanging="360"/>
      </w:pPr>
      <w:rPr>
        <w:rFonts w:ascii="Arial" w:hAnsi="Arial" w:hint="default"/>
      </w:rPr>
    </w:lvl>
    <w:lvl w:ilvl="7" w:tplc="DA58139A" w:tentative="1">
      <w:start w:val="1"/>
      <w:numFmt w:val="bullet"/>
      <w:lvlText w:val="•"/>
      <w:lvlJc w:val="left"/>
      <w:pPr>
        <w:tabs>
          <w:tab w:val="num" w:pos="5760"/>
        </w:tabs>
        <w:ind w:left="5760" w:hanging="360"/>
      </w:pPr>
      <w:rPr>
        <w:rFonts w:ascii="Arial" w:hAnsi="Arial" w:hint="default"/>
      </w:rPr>
    </w:lvl>
    <w:lvl w:ilvl="8" w:tplc="499C4B8A" w:tentative="1">
      <w:start w:val="1"/>
      <w:numFmt w:val="bullet"/>
      <w:lvlText w:val="•"/>
      <w:lvlJc w:val="left"/>
      <w:pPr>
        <w:tabs>
          <w:tab w:val="num" w:pos="6480"/>
        </w:tabs>
        <w:ind w:left="6480" w:hanging="360"/>
      </w:pPr>
      <w:rPr>
        <w:rFonts w:ascii="Arial" w:hAnsi="Arial" w:hint="default"/>
      </w:rPr>
    </w:lvl>
  </w:abstractNum>
  <w:abstractNum w:abstractNumId="11">
    <w:nsid w:val="1D840E9E"/>
    <w:multiLevelType w:val="hybridMultilevel"/>
    <w:tmpl w:val="0BE0F00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nsid w:val="1F8C758E"/>
    <w:multiLevelType w:val="hybridMultilevel"/>
    <w:tmpl w:val="44189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FF70E8F"/>
    <w:multiLevelType w:val="hybridMultilevel"/>
    <w:tmpl w:val="5F3AAFAC"/>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4">
    <w:nsid w:val="235F2AC8"/>
    <w:multiLevelType w:val="hybridMultilevel"/>
    <w:tmpl w:val="F1D89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340D59"/>
    <w:multiLevelType w:val="hybridMultilevel"/>
    <w:tmpl w:val="9866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97606F"/>
    <w:multiLevelType w:val="hybridMultilevel"/>
    <w:tmpl w:val="A84635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2B3134FA"/>
    <w:multiLevelType w:val="hybridMultilevel"/>
    <w:tmpl w:val="11345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BDB1BC0"/>
    <w:multiLevelType w:val="hybridMultilevel"/>
    <w:tmpl w:val="73169E6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nsid w:val="2C127527"/>
    <w:multiLevelType w:val="hybridMultilevel"/>
    <w:tmpl w:val="341A419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0">
    <w:nsid w:val="2EA956FD"/>
    <w:multiLevelType w:val="hybridMultilevel"/>
    <w:tmpl w:val="D3004E4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1">
    <w:nsid w:val="3BEF0893"/>
    <w:multiLevelType w:val="hybridMultilevel"/>
    <w:tmpl w:val="1D883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AE54EE"/>
    <w:multiLevelType w:val="hybridMultilevel"/>
    <w:tmpl w:val="EFC6333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nsid w:val="446B70EC"/>
    <w:multiLevelType w:val="hybridMultilevel"/>
    <w:tmpl w:val="9606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612F9B"/>
    <w:multiLevelType w:val="hybridMultilevel"/>
    <w:tmpl w:val="12BE453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nsid w:val="4F570193"/>
    <w:multiLevelType w:val="hybridMultilevel"/>
    <w:tmpl w:val="1820079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nsid w:val="57FC1697"/>
    <w:multiLevelType w:val="hybridMultilevel"/>
    <w:tmpl w:val="2F9E1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5A813E90"/>
    <w:multiLevelType w:val="hybridMultilevel"/>
    <w:tmpl w:val="B596A98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8">
    <w:nsid w:val="5AED02B5"/>
    <w:multiLevelType w:val="hybridMultilevel"/>
    <w:tmpl w:val="2586D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F4D6A74"/>
    <w:multiLevelType w:val="hybridMultilevel"/>
    <w:tmpl w:val="84BECE6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0">
    <w:nsid w:val="61012189"/>
    <w:multiLevelType w:val="hybridMultilevel"/>
    <w:tmpl w:val="9E441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1292B8E"/>
    <w:multiLevelType w:val="hybridMultilevel"/>
    <w:tmpl w:val="1D7699E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2">
    <w:nsid w:val="61D03F21"/>
    <w:multiLevelType w:val="hybridMultilevel"/>
    <w:tmpl w:val="07267772"/>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33">
    <w:nsid w:val="64846020"/>
    <w:multiLevelType w:val="hybridMultilevel"/>
    <w:tmpl w:val="ED5CA0B8"/>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4">
    <w:nsid w:val="66AE6809"/>
    <w:multiLevelType w:val="hybridMultilevel"/>
    <w:tmpl w:val="F900FF3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5">
    <w:nsid w:val="6A9F1C16"/>
    <w:multiLevelType w:val="multilevel"/>
    <w:tmpl w:val="51F0E1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F502671"/>
    <w:multiLevelType w:val="hybridMultilevel"/>
    <w:tmpl w:val="CF8846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FBB2547"/>
    <w:multiLevelType w:val="hybridMultilevel"/>
    <w:tmpl w:val="9C88B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0AF3511"/>
    <w:multiLevelType w:val="hybridMultilevel"/>
    <w:tmpl w:val="09B0F86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9">
    <w:nsid w:val="7637673F"/>
    <w:multiLevelType w:val="multilevel"/>
    <w:tmpl w:val="760ACA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77B01E3"/>
    <w:multiLevelType w:val="hybridMultilevel"/>
    <w:tmpl w:val="0B0A018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1">
    <w:nsid w:val="7FAC3483"/>
    <w:multiLevelType w:val="hybridMultilevel"/>
    <w:tmpl w:val="8B5816BA"/>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4"/>
  </w:num>
  <w:num w:numId="3">
    <w:abstractNumId w:val="6"/>
  </w:num>
  <w:num w:numId="4">
    <w:abstractNumId w:val="2"/>
  </w:num>
  <w:num w:numId="5">
    <w:abstractNumId w:val="16"/>
  </w:num>
  <w:num w:numId="6">
    <w:abstractNumId w:val="0"/>
  </w:num>
  <w:num w:numId="7">
    <w:abstractNumId w:val="27"/>
  </w:num>
  <w:num w:numId="8">
    <w:abstractNumId w:val="32"/>
  </w:num>
  <w:num w:numId="9">
    <w:abstractNumId w:val="29"/>
  </w:num>
  <w:num w:numId="10">
    <w:abstractNumId w:val="25"/>
  </w:num>
  <w:num w:numId="11">
    <w:abstractNumId w:val="11"/>
  </w:num>
  <w:num w:numId="12">
    <w:abstractNumId w:val="8"/>
  </w:num>
  <w:num w:numId="13">
    <w:abstractNumId w:val="1"/>
  </w:num>
  <w:num w:numId="14">
    <w:abstractNumId w:val="19"/>
  </w:num>
  <w:num w:numId="15">
    <w:abstractNumId w:val="3"/>
  </w:num>
  <w:num w:numId="16">
    <w:abstractNumId w:val="9"/>
  </w:num>
  <w:num w:numId="17">
    <w:abstractNumId w:val="5"/>
  </w:num>
  <w:num w:numId="18">
    <w:abstractNumId w:val="20"/>
  </w:num>
  <w:num w:numId="19">
    <w:abstractNumId w:val="38"/>
  </w:num>
  <w:num w:numId="20">
    <w:abstractNumId w:val="40"/>
  </w:num>
  <w:num w:numId="21">
    <w:abstractNumId w:val="24"/>
  </w:num>
  <w:num w:numId="22">
    <w:abstractNumId w:val="22"/>
  </w:num>
  <w:num w:numId="23">
    <w:abstractNumId w:val="33"/>
  </w:num>
  <w:num w:numId="24">
    <w:abstractNumId w:val="31"/>
  </w:num>
  <w:num w:numId="25">
    <w:abstractNumId w:val="18"/>
  </w:num>
  <w:num w:numId="26">
    <w:abstractNumId w:val="7"/>
  </w:num>
  <w:num w:numId="27">
    <w:abstractNumId w:val="34"/>
  </w:num>
  <w:num w:numId="28">
    <w:abstractNumId w:val="14"/>
  </w:num>
  <w:num w:numId="29">
    <w:abstractNumId w:val="39"/>
  </w:num>
  <w:num w:numId="30">
    <w:abstractNumId w:val="35"/>
  </w:num>
  <w:num w:numId="31">
    <w:abstractNumId w:val="15"/>
  </w:num>
  <w:num w:numId="32">
    <w:abstractNumId w:val="23"/>
  </w:num>
  <w:num w:numId="33">
    <w:abstractNumId w:val="30"/>
  </w:num>
  <w:num w:numId="34">
    <w:abstractNumId w:val="21"/>
  </w:num>
  <w:num w:numId="35">
    <w:abstractNumId w:val="37"/>
  </w:num>
  <w:num w:numId="36">
    <w:abstractNumId w:val="36"/>
  </w:num>
  <w:num w:numId="37">
    <w:abstractNumId w:val="12"/>
  </w:num>
  <w:num w:numId="38">
    <w:abstractNumId w:val="26"/>
  </w:num>
  <w:num w:numId="39">
    <w:abstractNumId w:val="10"/>
  </w:num>
  <w:num w:numId="40">
    <w:abstractNumId w:val="41"/>
  </w:num>
  <w:num w:numId="41">
    <w:abstractNumId w:val="28"/>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C3E"/>
    <w:rsid w:val="00005F5D"/>
    <w:rsid w:val="00091D59"/>
    <w:rsid w:val="000B3D4E"/>
    <w:rsid w:val="000C41C3"/>
    <w:rsid w:val="00104B01"/>
    <w:rsid w:val="001F76DE"/>
    <w:rsid w:val="002374CF"/>
    <w:rsid w:val="005300FD"/>
    <w:rsid w:val="0067410D"/>
    <w:rsid w:val="007433D5"/>
    <w:rsid w:val="008A3979"/>
    <w:rsid w:val="00A04C3E"/>
    <w:rsid w:val="00A35399"/>
    <w:rsid w:val="00A83F1D"/>
    <w:rsid w:val="00AB6ACA"/>
    <w:rsid w:val="00B3400F"/>
    <w:rsid w:val="00CB3A72"/>
    <w:rsid w:val="00DC1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C2C754-A0BE-44E9-A1F6-EFBC76B6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F5D"/>
    <w:rPr>
      <w:lang w:val="en-GB"/>
    </w:rPr>
  </w:style>
  <w:style w:type="paragraph" w:styleId="Heading3">
    <w:name w:val="heading 3"/>
    <w:basedOn w:val="Normal"/>
    <w:next w:val="Normal"/>
    <w:link w:val="Heading3Char"/>
    <w:uiPriority w:val="9"/>
    <w:unhideWhenUsed/>
    <w:qFormat/>
    <w:rsid w:val="00A04C3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04C3E"/>
    <w:rPr>
      <w:rFonts w:asciiTheme="majorHAnsi" w:eastAsiaTheme="majorEastAsia" w:hAnsiTheme="majorHAnsi" w:cstheme="majorBidi"/>
      <w:color w:val="1F4D78" w:themeColor="accent1" w:themeShade="7F"/>
      <w:sz w:val="24"/>
      <w:szCs w:val="24"/>
      <w:lang w:val="en-GB"/>
    </w:rPr>
  </w:style>
  <w:style w:type="paragraph" w:styleId="ListParagraph">
    <w:name w:val="List Paragraph"/>
    <w:basedOn w:val="Normal"/>
    <w:uiPriority w:val="34"/>
    <w:qFormat/>
    <w:rsid w:val="00A04C3E"/>
    <w:pPr>
      <w:ind w:left="720"/>
      <w:contextualSpacing/>
    </w:pPr>
  </w:style>
  <w:style w:type="table" w:styleId="TableGrid">
    <w:name w:val="Table Grid"/>
    <w:basedOn w:val="TableNormal"/>
    <w:uiPriority w:val="39"/>
    <w:rsid w:val="00A04C3E"/>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F76DE"/>
    <w:rPr>
      <w:color w:val="0563C1" w:themeColor="hyperlink"/>
      <w:u w:val="single"/>
    </w:rPr>
  </w:style>
  <w:style w:type="paragraph" w:styleId="IntenseQuote">
    <w:name w:val="Intense Quote"/>
    <w:basedOn w:val="Normal"/>
    <w:next w:val="Normal"/>
    <w:link w:val="IntenseQuoteChar"/>
    <w:uiPriority w:val="30"/>
    <w:qFormat/>
    <w:rsid w:val="001F76DE"/>
    <w:pPr>
      <w:pBdr>
        <w:top w:val="single" w:sz="4" w:space="10" w:color="5B9BD5" w:themeColor="accent1"/>
        <w:bottom w:val="single" w:sz="4" w:space="10" w:color="5B9BD5" w:themeColor="accent1"/>
      </w:pBdr>
      <w:spacing w:before="360" w:after="360" w:line="276" w:lineRule="auto"/>
      <w:ind w:left="864" w:right="864"/>
      <w:jc w:val="center"/>
    </w:pPr>
    <w:rPr>
      <w:rFonts w:ascii="Calibri" w:eastAsia="Calibri" w:hAnsi="Calibri" w:cs="Times New Roman"/>
      <w:i/>
      <w:iCs/>
      <w:color w:val="5B9BD5" w:themeColor="accent1"/>
    </w:rPr>
  </w:style>
  <w:style w:type="character" w:customStyle="1" w:styleId="IntenseQuoteChar">
    <w:name w:val="Intense Quote Char"/>
    <w:basedOn w:val="DefaultParagraphFont"/>
    <w:link w:val="IntenseQuote"/>
    <w:uiPriority w:val="30"/>
    <w:rsid w:val="001F76DE"/>
    <w:rPr>
      <w:rFonts w:ascii="Calibri" w:eastAsia="Calibri" w:hAnsi="Calibri" w:cs="Times New Roman"/>
      <w:i/>
      <w:iCs/>
      <w:color w:val="5B9BD5" w:themeColor="accent1"/>
      <w:lang w:val="en-GB"/>
    </w:rPr>
  </w:style>
  <w:style w:type="table" w:customStyle="1" w:styleId="GridTable1Light-Accent31">
    <w:name w:val="Grid Table 1 Light - Accent 31"/>
    <w:basedOn w:val="TableNormal"/>
    <w:uiPriority w:val="46"/>
    <w:rsid w:val="00B3400F"/>
    <w:pPr>
      <w:spacing w:after="0" w:line="240" w:lineRule="auto"/>
    </w:pPr>
    <w:rPr>
      <w:lang w:val="en-GB"/>
    </w:r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005F5D"/>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834</Words>
  <Characters>4757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Iskra</dc:creator>
  <cp:keywords/>
  <dc:description/>
  <cp:lastModifiedBy>Iskra</cp:lastModifiedBy>
  <cp:revision>5</cp:revision>
  <dcterms:created xsi:type="dcterms:W3CDTF">2019-10-14T10:12:00Z</dcterms:created>
  <dcterms:modified xsi:type="dcterms:W3CDTF">2019-10-14T10:14:00Z</dcterms:modified>
</cp:coreProperties>
</file>