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04C3E" w:rsidRPr="00F81384" w:rsidTr="005D436F">
        <w:tc>
          <w:tcPr>
            <w:tcW w:w="13948" w:type="dxa"/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24"/>
            </w:tblGrid>
            <w:tr w:rsidR="00CB3A72" w:rsidTr="005D436F">
              <w:tc>
                <w:tcPr>
                  <w:tcW w:w="13948" w:type="dxa"/>
                  <w:shd w:val="clear" w:color="auto" w:fill="E2EFD9" w:themeFill="accent6" w:themeFillTint="33"/>
                </w:tcPr>
                <w:p w:rsidR="00CB3A72" w:rsidRDefault="00CB3A72" w:rsidP="00CB3A72">
                  <w:pPr>
                    <w:pStyle w:val="Heading3"/>
                    <w:outlineLvl w:val="2"/>
                    <w:rPr>
                      <w:b/>
                      <w:lang w:val="mk-MK"/>
                    </w:rPr>
                  </w:pPr>
                </w:p>
                <w:p w:rsidR="00CB3A72" w:rsidRPr="00670B7D" w:rsidRDefault="00CB3A72" w:rsidP="00CB3A72">
                  <w:pPr>
                    <w:pStyle w:val="Heading3"/>
                    <w:outlineLvl w:val="2"/>
                    <w:rPr>
                      <w:b/>
                      <w:color w:val="2E74B5" w:themeColor="accent1" w:themeShade="BF"/>
                      <w:lang w:val="mk-MK"/>
                    </w:rPr>
                  </w:pPr>
                  <w:bookmarkStart w:id="0" w:name="_Toc518572057"/>
                  <w:r w:rsidRPr="00670B7D">
                    <w:rPr>
                      <w:b/>
                      <w:color w:val="2E74B5" w:themeColor="accent1" w:themeShade="BF"/>
                      <w:lang w:val="mk-MK"/>
                    </w:rPr>
                    <w:t>Прилог Б - ПРЕГЛЕД НА ДОКУМЕНТИТЕ ПОТРЕБНИ ЗА СПРОВЕДУВАЊЕ НА ФУНКЦИОНАЛНАТА АНАЛИЗА</w:t>
                  </w:r>
                  <w:bookmarkEnd w:id="0"/>
                </w:p>
                <w:p w:rsidR="00CB3A72" w:rsidRDefault="00CB3A72" w:rsidP="00CB3A72">
                  <w:pPr>
                    <w:rPr>
                      <w:rFonts w:cstheme="minorHAnsi"/>
                      <w:lang w:val="mk-MK"/>
                    </w:rPr>
                  </w:pPr>
                </w:p>
                <w:p w:rsidR="00CB3A72" w:rsidRPr="0086655C" w:rsidRDefault="00CB3A72" w:rsidP="00CB3A72">
                  <w:pPr>
                    <w:rPr>
                      <w:rFonts w:cstheme="minorHAnsi"/>
                    </w:rPr>
                  </w:pPr>
                  <w:r w:rsidRPr="0086655C">
                    <w:rPr>
                      <w:rFonts w:cstheme="minorHAnsi"/>
                      <w:lang w:val="mk-MK"/>
                    </w:rPr>
                    <w:t xml:space="preserve">Тимот за </w:t>
                  </w:r>
                  <w:r>
                    <w:rPr>
                      <w:rFonts w:cstheme="minorHAnsi"/>
                      <w:lang w:val="mk-MK"/>
                    </w:rPr>
                    <w:t xml:space="preserve">ФА </w:t>
                  </w:r>
                  <w:r w:rsidRPr="0086655C">
                    <w:rPr>
                      <w:rFonts w:cstheme="minorHAnsi"/>
                      <w:lang w:val="mk-MK"/>
                    </w:rPr>
                    <w:t>треба да ги собере следните информации и документи на почетокот од спроведување на ФА</w:t>
                  </w:r>
                  <w:r>
                    <w:rPr>
                      <w:rFonts w:cstheme="minorHAnsi"/>
                      <w:lang w:val="mk-MK"/>
                    </w:rPr>
                    <w:t>:</w:t>
                  </w:r>
                </w:p>
                <w:tbl>
                  <w:tblPr>
                    <w:tblW w:w="1314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7507"/>
                    <w:gridCol w:w="985"/>
                    <w:gridCol w:w="4207"/>
                  </w:tblGrid>
                  <w:tr w:rsidR="00CB3A72" w:rsidRPr="0086655C" w:rsidTr="005D436F">
                    <w:tc>
                      <w:tcPr>
                        <w:tcW w:w="310" w:type="dxa"/>
                        <w:shd w:val="clear" w:color="auto" w:fill="D9E2F3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b/>
                            <w:lang w:val="en-US"/>
                          </w:rPr>
                        </w:pPr>
                        <w:r w:rsidRPr="0086655C">
                          <w:rPr>
                            <w:rFonts w:cstheme="minorHAnsi"/>
                            <w:b/>
                            <w:lang w:val="en-US"/>
                          </w:rPr>
                          <w:t>#</w:t>
                        </w:r>
                      </w:p>
                    </w:tc>
                    <w:tc>
                      <w:tcPr>
                        <w:tcW w:w="7596" w:type="dxa"/>
                        <w:shd w:val="clear" w:color="auto" w:fill="D9E2F3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b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b/>
                            <w:lang w:val="mk-MK"/>
                          </w:rPr>
                          <w:t>Назив</w:t>
                        </w:r>
                      </w:p>
                    </w:tc>
                    <w:tc>
                      <w:tcPr>
                        <w:tcW w:w="988" w:type="dxa"/>
                        <w:shd w:val="clear" w:color="auto" w:fill="D9E2F3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b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b/>
                            <w:lang w:val="mk-MK"/>
                          </w:rPr>
                          <w:t>Статус</w:t>
                        </w:r>
                      </w:p>
                    </w:tc>
                    <w:tc>
                      <w:tcPr>
                        <w:tcW w:w="4246" w:type="dxa"/>
                        <w:shd w:val="clear" w:color="auto" w:fill="D9E2F3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b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b/>
                            <w:lang w:val="mk-MK"/>
                          </w:rPr>
                          <w:t>Забелешка</w:t>
                        </w: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1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Акт за внатрешна организација и </w:t>
                        </w:r>
                        <w:proofErr w:type="spellStart"/>
                        <w:r w:rsidRPr="0086655C">
                          <w:rPr>
                            <w:rFonts w:cstheme="minorHAnsi"/>
                            <w:lang w:val="mk-MK"/>
                          </w:rPr>
                          <w:t>органограм</w:t>
                        </w:r>
                        <w:proofErr w:type="spellEnd"/>
                        <w:r>
                          <w:rPr>
                            <w:rFonts w:cstheme="minorHAnsi"/>
                            <w:lang w:val="mk-MK"/>
                          </w:rPr>
                          <w:t xml:space="preserve"> на институцијата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i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i/>
                            <w:lang w:val="mk-MK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2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B87C0B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Акт за систематизација на работни места и Табеларен приказ на пополнети  работни места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 xml:space="preserve"> на институцијата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i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3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Стратешки план на институцијата 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и/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или 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 xml:space="preserve">стратегија 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во областа во која дејствува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numPr>
                            <w:ilvl w:val="0"/>
                            <w:numId w:val="16"/>
                          </w:numPr>
                          <w:spacing w:before="60" w:after="60" w:line="276" w:lineRule="auto"/>
                          <w:rPr>
                            <w:rFonts w:cstheme="minorHAnsi"/>
                            <w:i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На пр. Стратешки план 2018-2020</w:t>
                        </w:r>
                      </w:p>
                      <w:p w:rsidR="00CB3A72" w:rsidRPr="0086655C" w:rsidRDefault="00CB3A72" w:rsidP="00CB3A72">
                        <w:pPr>
                          <w:numPr>
                            <w:ilvl w:val="0"/>
                            <w:numId w:val="16"/>
                          </w:numPr>
                          <w:spacing w:before="60" w:after="60" w:line="276" w:lineRule="auto"/>
                          <w:rPr>
                            <w:rFonts w:cstheme="minorHAnsi"/>
                            <w:i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С</w:t>
                        </w:r>
                        <w:r>
                          <w:rPr>
                            <w:rFonts w:cstheme="minorHAnsi"/>
                            <w:i/>
                            <w:lang w:val="mk-MK"/>
                          </w:rPr>
                          <w:t xml:space="preserve">тратегија </w:t>
                        </w: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 xml:space="preserve">за </w:t>
                        </w:r>
                        <w:r>
                          <w:rPr>
                            <w:rFonts w:cstheme="minorHAnsi"/>
                            <w:i/>
                            <w:lang w:val="mk-MK"/>
                          </w:rPr>
                          <w:t>развој на</w:t>
                        </w: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...</w:t>
                        </w: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4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Годишна програма за работа 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на институцијата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5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Релевантни општи прописи (З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организација и работа на органите на државната управа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Уредба за начела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та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 на внатрешна организација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 xml:space="preserve"> на органите на државната управа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вработените во јавниот сектор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административни службеници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работните односи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општата управна постапка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јавна внатрешна финансиска контрола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сметководство на непрофитни организации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заштита на личните податоци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јавните набавки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безбедноста и здравје при работа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, З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>акон за слободен пристап до информации од јавен карактер</w:t>
                        </w:r>
                        <w:r w:rsidRPr="0086655C">
                          <w:rPr>
                            <w:rFonts w:cstheme="minorHAnsi"/>
                            <w:lang w:val="mk-MK"/>
                          </w:rPr>
                          <w:t>...)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6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Релевантни материјални прописи за вршење на надлежноста</w:t>
                        </w:r>
                        <w:r>
                          <w:rPr>
                            <w:rFonts w:cstheme="minorHAnsi"/>
                            <w:lang w:val="mk-MK"/>
                          </w:rPr>
                          <w:t xml:space="preserve"> (прописи во областа во која дејствува институцијата)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7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Буџет на институцијата за последните три години 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8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Извештаи за работата на институцијата за последните три години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9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en-US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 xml:space="preserve">Извештаи или други публикации на меѓународни институции за состојбата во областа или </w:t>
                        </w:r>
                        <w:proofErr w:type="spellStart"/>
                        <w:r w:rsidRPr="0086655C">
                          <w:rPr>
                            <w:rFonts w:cstheme="minorHAnsi"/>
                            <w:lang w:val="mk-MK"/>
                          </w:rPr>
                          <w:t>инститицијата</w:t>
                        </w:r>
                        <w:proofErr w:type="spellEnd"/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i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 xml:space="preserve">На пр. Извадоци од Извештајот на ЕК за напредокот на РМ за 2016 година </w:t>
                        </w: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Интерни писмени правила и процедури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rPr>
                            <w:rFonts w:cstheme="minorHAnsi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i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 xml:space="preserve">На пр. </w:t>
                        </w:r>
                        <w:proofErr w:type="spellStart"/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сертифицирани</w:t>
                        </w:r>
                        <w:proofErr w:type="spellEnd"/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 xml:space="preserve"> процедури</w:t>
                        </w:r>
                        <w:r>
                          <w:rPr>
                            <w:rFonts w:cstheme="minorHAnsi"/>
                            <w:i/>
                            <w:lang w:val="mk-MK"/>
                          </w:rPr>
                          <w:t xml:space="preserve"> согласно стандардот </w:t>
                        </w: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ИСО 9001</w:t>
                        </w:r>
                        <w:r>
                          <w:rPr>
                            <w:rFonts w:cstheme="minorHAnsi"/>
                            <w:i/>
                            <w:lang w:val="mk-MK"/>
                          </w:rPr>
                          <w:t xml:space="preserve"> за управување со квалитет</w:t>
                        </w: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11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Преглед на организациската структура на слични институции во државата или други држави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lang w:val="mk-MK"/>
                          </w:rPr>
                          <w:t>/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</w:p>
                    </w:tc>
                  </w:tr>
                  <w:tr w:rsidR="00CB3A72" w:rsidRPr="0086655C" w:rsidTr="005D436F">
                    <w:tc>
                      <w:tcPr>
                        <w:tcW w:w="310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>
                          <w:rPr>
                            <w:rFonts w:cstheme="minorHAnsi"/>
                            <w:lang w:val="mk-MK"/>
                          </w:rPr>
                          <w:t>12</w:t>
                        </w:r>
                      </w:p>
                    </w:tc>
                    <w:tc>
                      <w:tcPr>
                        <w:tcW w:w="759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>
                          <w:rPr>
                            <w:rFonts w:cstheme="minorHAnsi"/>
                            <w:lang w:val="mk-MK"/>
                          </w:rPr>
                          <w:t>Извештаи или статистички и други податоци за учество на обуки на вработените</w:t>
                        </w:r>
                      </w:p>
                    </w:tc>
                    <w:tc>
                      <w:tcPr>
                        <w:tcW w:w="988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  <w:r w:rsidRPr="0086655C">
                          <w:rPr>
                            <w:rFonts w:cstheme="minorHAnsi"/>
                            <w:i/>
                            <w:lang w:val="mk-MK"/>
                          </w:rPr>
                          <w:t>Да/ Не</w:t>
                        </w:r>
                      </w:p>
                    </w:tc>
                    <w:tc>
                      <w:tcPr>
                        <w:tcW w:w="4246" w:type="dxa"/>
                      </w:tcPr>
                      <w:p w:rsidR="00CB3A72" w:rsidRPr="0086655C" w:rsidRDefault="00CB3A72" w:rsidP="00CB3A72">
                        <w:pPr>
                          <w:spacing w:before="60" w:after="60" w:line="276" w:lineRule="auto"/>
                          <w:rPr>
                            <w:rFonts w:cstheme="minorHAnsi"/>
                            <w:lang w:val="mk-MK"/>
                          </w:rPr>
                        </w:pPr>
                      </w:p>
                    </w:tc>
                  </w:tr>
                </w:tbl>
                <w:p w:rsidR="00CB3A72" w:rsidRDefault="00CB3A72" w:rsidP="00CB3A72">
                  <w:pPr>
                    <w:rPr>
                      <w:lang w:val="mk-MK"/>
                    </w:rPr>
                  </w:pPr>
                </w:p>
                <w:p w:rsidR="00CB3A72" w:rsidRPr="00F81384" w:rsidRDefault="00CB3A72" w:rsidP="00CB3A72">
                  <w:pPr>
                    <w:rPr>
                      <w:lang w:val="mk-MK"/>
                    </w:rPr>
                  </w:pPr>
                </w:p>
              </w:tc>
            </w:tr>
          </w:tbl>
          <w:p w:rsidR="00A04C3E" w:rsidRPr="00CB3A72" w:rsidRDefault="00A04C3E" w:rsidP="005D436F">
            <w:pPr>
              <w:rPr>
                <w:b/>
                <w:lang w:val="mk-MK"/>
              </w:rPr>
            </w:pPr>
            <w:bookmarkStart w:id="1" w:name="_GoBack"/>
            <w:bookmarkEnd w:id="1"/>
          </w:p>
        </w:tc>
      </w:tr>
    </w:tbl>
    <w:p w:rsidR="000C41C3" w:rsidRDefault="000C41C3"/>
    <w:sectPr w:rsidR="000C41C3" w:rsidSect="00A04C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995"/>
    <w:multiLevelType w:val="hybridMultilevel"/>
    <w:tmpl w:val="B2285316"/>
    <w:lvl w:ilvl="0" w:tplc="9C88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6A36"/>
    <w:multiLevelType w:val="hybridMultilevel"/>
    <w:tmpl w:val="C5527B8E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F3278"/>
    <w:multiLevelType w:val="hybridMultilevel"/>
    <w:tmpl w:val="E1C2854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B7339"/>
    <w:multiLevelType w:val="hybridMultilevel"/>
    <w:tmpl w:val="51FE0858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579"/>
    <w:multiLevelType w:val="hybridMultilevel"/>
    <w:tmpl w:val="2B84BAB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8B5"/>
    <w:multiLevelType w:val="hybridMultilevel"/>
    <w:tmpl w:val="80F6F7CA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682C50"/>
    <w:multiLevelType w:val="hybridMultilevel"/>
    <w:tmpl w:val="85BAD90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F23205"/>
    <w:multiLevelType w:val="hybridMultilevel"/>
    <w:tmpl w:val="5B1CBDF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40E9E"/>
    <w:multiLevelType w:val="hybridMultilevel"/>
    <w:tmpl w:val="0BE0F0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70E8F"/>
    <w:multiLevelType w:val="hybridMultilevel"/>
    <w:tmpl w:val="5F3AAFA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7606F"/>
    <w:multiLevelType w:val="hybridMultilevel"/>
    <w:tmpl w:val="A8463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127527"/>
    <w:multiLevelType w:val="hybridMultilevel"/>
    <w:tmpl w:val="341A41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70193"/>
    <w:multiLevelType w:val="hybridMultilevel"/>
    <w:tmpl w:val="182007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13E90"/>
    <w:multiLevelType w:val="hybridMultilevel"/>
    <w:tmpl w:val="B596A9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D6A74"/>
    <w:multiLevelType w:val="hybridMultilevel"/>
    <w:tmpl w:val="84BECE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03F21"/>
    <w:multiLevelType w:val="hybridMultilevel"/>
    <w:tmpl w:val="0726777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E"/>
    <w:rsid w:val="000B3D4E"/>
    <w:rsid w:val="000C41C3"/>
    <w:rsid w:val="00104B01"/>
    <w:rsid w:val="002374CF"/>
    <w:rsid w:val="007433D5"/>
    <w:rsid w:val="008A3979"/>
    <w:rsid w:val="00A04C3E"/>
    <w:rsid w:val="00A83F1D"/>
    <w:rsid w:val="00AB6ACA"/>
    <w:rsid w:val="00C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C754-A0BE-44E9-A1F6-EFBC76B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72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04C3E"/>
    <w:pPr>
      <w:ind w:left="720"/>
      <w:contextualSpacing/>
    </w:pPr>
  </w:style>
  <w:style w:type="table" w:styleId="TableGrid">
    <w:name w:val="Table Grid"/>
    <w:basedOn w:val="TableNormal"/>
    <w:uiPriority w:val="39"/>
    <w:rsid w:val="00A04C3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dcterms:created xsi:type="dcterms:W3CDTF">2019-10-14T10:08:00Z</dcterms:created>
  <dcterms:modified xsi:type="dcterms:W3CDTF">2019-10-14T10:08:00Z</dcterms:modified>
</cp:coreProperties>
</file>