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6AC" w:rsidRPr="0055737A" w:rsidRDefault="004806AC" w:rsidP="004806AC">
      <w:pPr>
        <w:jc w:val="right"/>
        <w:rPr>
          <w:rFonts w:cs="Tahoma"/>
          <w:b/>
          <w:lang w:val="mk-MK"/>
        </w:rPr>
      </w:pPr>
      <w:bookmarkStart w:id="0" w:name="_GoBack"/>
      <w:bookmarkEnd w:id="0"/>
      <w:r>
        <w:rPr>
          <w:rFonts w:ascii="StobiSerifPro" w:hAnsi="StobiSerifPro" w:cs="Tahoma"/>
          <w:lang w:val="mk-MK"/>
        </w:rPr>
        <w:tab/>
      </w:r>
      <w:r w:rsidRPr="0055737A">
        <w:rPr>
          <w:rFonts w:cs="Tahoma"/>
          <w:b/>
          <w:lang w:val="mk-MK"/>
        </w:rPr>
        <w:t>НАЦРТ</w:t>
      </w:r>
    </w:p>
    <w:p w:rsidR="00295DA5" w:rsidRPr="00C92D6D" w:rsidRDefault="00295DA5" w:rsidP="00295DA5">
      <w:pPr>
        <w:tabs>
          <w:tab w:val="left" w:pos="0"/>
        </w:tabs>
        <w:jc w:val="center"/>
        <w:rPr>
          <w:rFonts w:ascii="StobiSerifPro" w:hAnsi="StobiSerifPro" w:cs="Tahoma"/>
          <w:lang w:val="mk-MK"/>
        </w:rPr>
      </w:pPr>
      <w:r>
        <w:rPr>
          <w:rFonts w:ascii="StobiSerifPro" w:hAnsi="StobiSerifPro" w:cs="Tahoma"/>
          <w:noProof/>
          <w:lang w:val="mk-MK" w:eastAsia="mk-MK"/>
        </w:rPr>
        <w:drawing>
          <wp:inline distT="0" distB="0" distL="0" distR="0">
            <wp:extent cx="552450" cy="590550"/>
            <wp:effectExtent l="0" t="0" r="0" b="0"/>
            <wp:docPr id="634" name="Picture 634" descr="Description: 558px-Coat_of_arms_of_the_Republic_of_Macedonia_sv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558px-Coat_of_arms_of_the_Republic_of_Macedonia_svg copy"/>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590550"/>
                    </a:xfrm>
                    <a:prstGeom prst="rect">
                      <a:avLst/>
                    </a:prstGeom>
                    <a:noFill/>
                    <a:ln>
                      <a:noFill/>
                    </a:ln>
                  </pic:spPr>
                </pic:pic>
              </a:graphicData>
            </a:graphic>
          </wp:inline>
        </w:drawing>
      </w:r>
    </w:p>
    <w:p w:rsidR="00295DA5" w:rsidRPr="009913D7" w:rsidRDefault="00295DA5" w:rsidP="00295DA5">
      <w:pPr>
        <w:jc w:val="center"/>
        <w:rPr>
          <w:rFonts w:cs="Tahoma"/>
          <w:lang w:val="mk-MK"/>
        </w:rPr>
      </w:pPr>
      <w:r w:rsidRPr="009913D7">
        <w:rPr>
          <w:rFonts w:cs="Tahoma"/>
          <w:lang w:val="mk-MK"/>
        </w:rPr>
        <w:t xml:space="preserve"> Република  Македонија</w:t>
      </w:r>
    </w:p>
    <w:p w:rsidR="00295DA5" w:rsidRPr="009913D7" w:rsidRDefault="00295DA5" w:rsidP="00295DA5">
      <w:pPr>
        <w:jc w:val="center"/>
        <w:rPr>
          <w:rFonts w:cs="Tahoma"/>
          <w:lang w:val="mk-MK"/>
        </w:rPr>
      </w:pPr>
      <w:r w:rsidRPr="009913D7">
        <w:rPr>
          <w:rFonts w:cs="Tahoma"/>
          <w:lang w:val="mk-MK"/>
        </w:rPr>
        <w:t xml:space="preserve">        Министерство за информатичко општество и администрација</w:t>
      </w:r>
    </w:p>
    <w:p w:rsidR="00295DA5" w:rsidRPr="00C92D6D" w:rsidRDefault="00295DA5" w:rsidP="00295DA5">
      <w:pPr>
        <w:jc w:val="center"/>
        <w:rPr>
          <w:rFonts w:ascii="StobiSerifPro" w:hAnsi="StobiSerifPro" w:cs="Tahoma"/>
          <w:lang w:val="mk-MK"/>
        </w:rPr>
      </w:pPr>
    </w:p>
    <w:p w:rsidR="00295DA5" w:rsidRPr="00C92D6D" w:rsidRDefault="00295DA5" w:rsidP="00295DA5">
      <w:pPr>
        <w:jc w:val="center"/>
        <w:rPr>
          <w:rFonts w:ascii="StobiSerifPro" w:hAnsi="StobiSerifPro" w:cs="Tahoma"/>
          <w:lang w:val="mk-MK"/>
        </w:rPr>
      </w:pPr>
    </w:p>
    <w:p w:rsidR="00295DA5" w:rsidRDefault="00295DA5" w:rsidP="00295DA5">
      <w:pPr>
        <w:ind w:left="-360"/>
        <w:jc w:val="center"/>
        <w:rPr>
          <w:rFonts w:ascii="StobiSerifPro" w:hAnsi="StobiSerifPro" w:cs="Tahoma"/>
          <w:lang w:val="mk-MK"/>
        </w:rPr>
      </w:pPr>
    </w:p>
    <w:p w:rsidR="00295DA5" w:rsidRDefault="00295DA5" w:rsidP="00295DA5">
      <w:pPr>
        <w:ind w:left="-360"/>
        <w:jc w:val="center"/>
        <w:rPr>
          <w:rFonts w:ascii="StobiSerifPro" w:hAnsi="StobiSerifPro" w:cs="Tahoma"/>
          <w:lang w:val="mk-MK"/>
        </w:rPr>
      </w:pPr>
    </w:p>
    <w:p w:rsidR="00295DA5" w:rsidRPr="00C92D6D" w:rsidRDefault="00295DA5" w:rsidP="00295DA5">
      <w:pPr>
        <w:ind w:left="-360"/>
        <w:jc w:val="center"/>
        <w:rPr>
          <w:rFonts w:ascii="StobiSerifPro" w:hAnsi="StobiSerifPro" w:cs="Tahoma"/>
          <w:lang w:val="mk-MK"/>
        </w:rPr>
      </w:pPr>
    </w:p>
    <w:p w:rsidR="00295DA5" w:rsidRPr="00C92D6D" w:rsidRDefault="00295DA5" w:rsidP="00295DA5">
      <w:pPr>
        <w:ind w:left="-360"/>
        <w:jc w:val="center"/>
        <w:rPr>
          <w:rFonts w:ascii="StobiSerifPro" w:hAnsi="StobiSerifPro" w:cs="Tahoma"/>
          <w:lang w:val="mk-MK"/>
        </w:rPr>
      </w:pPr>
    </w:p>
    <w:p w:rsidR="00295DA5" w:rsidRPr="00C92D6D" w:rsidRDefault="00295DA5" w:rsidP="00295DA5">
      <w:pPr>
        <w:tabs>
          <w:tab w:val="left" w:pos="1710"/>
        </w:tabs>
        <w:ind w:left="-360"/>
        <w:rPr>
          <w:rFonts w:ascii="StobiSerifPro" w:hAnsi="StobiSerifPro" w:cs="Tahoma"/>
          <w:lang w:val="mk-MK"/>
        </w:rPr>
      </w:pPr>
    </w:p>
    <w:p w:rsidR="00295DA5" w:rsidRPr="009913D7" w:rsidRDefault="00295DA5" w:rsidP="00295DA5">
      <w:pPr>
        <w:ind w:left="-360"/>
        <w:jc w:val="center"/>
        <w:rPr>
          <w:rFonts w:cs="Tahoma"/>
          <w:b/>
          <w:sz w:val="24"/>
          <w:szCs w:val="24"/>
          <w:lang w:val="mk-MK"/>
        </w:rPr>
      </w:pPr>
      <w:r w:rsidRPr="009913D7">
        <w:rPr>
          <w:rFonts w:cs="Tahoma"/>
          <w:b/>
          <w:sz w:val="24"/>
          <w:szCs w:val="24"/>
          <w:lang w:val="mk-MK"/>
        </w:rPr>
        <w:t>СРЕДНОРОЧЕН ИЗВЕШТАЈ ЗА САМООЦЕНУВАЊЕ</w:t>
      </w:r>
    </w:p>
    <w:p w:rsidR="00295DA5" w:rsidRPr="009913D7" w:rsidRDefault="00295DA5" w:rsidP="00295DA5">
      <w:pPr>
        <w:ind w:left="-360"/>
        <w:jc w:val="center"/>
        <w:rPr>
          <w:rFonts w:cs="Tahoma"/>
          <w:b/>
          <w:sz w:val="24"/>
          <w:szCs w:val="24"/>
          <w:lang w:val="mk-MK"/>
        </w:rPr>
      </w:pPr>
      <w:r w:rsidRPr="009913D7">
        <w:rPr>
          <w:rFonts w:cs="Tahoma"/>
          <w:b/>
          <w:sz w:val="24"/>
          <w:szCs w:val="24"/>
          <w:lang w:val="mk-MK"/>
        </w:rPr>
        <w:t>АКЦИСКИ ПЛАН ЗА ОТВОРЕНО ВЛАДИНО ПАРТНЕРСТВО ЗА  2014-2016 ГОДИНА</w:t>
      </w:r>
    </w:p>
    <w:p w:rsidR="00295DA5" w:rsidRPr="00C92D6D" w:rsidRDefault="00295DA5" w:rsidP="00295DA5">
      <w:pPr>
        <w:rPr>
          <w:rFonts w:ascii="StobiSerifPro" w:hAnsi="StobiSerifPro" w:cs="Tahoma"/>
          <w:lang w:val="mk-MK"/>
        </w:rPr>
      </w:pPr>
    </w:p>
    <w:p w:rsidR="00295DA5" w:rsidRPr="00C92D6D" w:rsidRDefault="00295DA5" w:rsidP="00295DA5">
      <w:pPr>
        <w:rPr>
          <w:rFonts w:ascii="StobiSerifPro" w:hAnsi="StobiSerifPro" w:cs="Tahoma"/>
          <w:lang w:val="mk-MK"/>
        </w:rPr>
      </w:pPr>
    </w:p>
    <w:p w:rsidR="00295DA5" w:rsidRPr="00C92D6D" w:rsidRDefault="00295DA5" w:rsidP="00295DA5">
      <w:pPr>
        <w:rPr>
          <w:rFonts w:ascii="StobiSerifPro" w:hAnsi="StobiSerifPro" w:cs="Tahoma"/>
          <w:lang w:val="mk-MK"/>
        </w:rPr>
      </w:pPr>
    </w:p>
    <w:p w:rsidR="00295DA5" w:rsidRPr="00C92D6D" w:rsidRDefault="00295DA5" w:rsidP="00295DA5">
      <w:pPr>
        <w:ind w:left="-360"/>
        <w:jc w:val="center"/>
        <w:rPr>
          <w:rFonts w:ascii="StobiSerifPro" w:hAnsi="StobiSerifPro" w:cs="Tahoma"/>
          <w:lang w:val="mk-MK"/>
        </w:rPr>
      </w:pPr>
    </w:p>
    <w:p w:rsidR="00295DA5" w:rsidRPr="00C92D6D" w:rsidRDefault="00295DA5" w:rsidP="00295DA5">
      <w:pPr>
        <w:ind w:left="-360"/>
        <w:jc w:val="center"/>
        <w:rPr>
          <w:rFonts w:ascii="StobiSerifPro" w:hAnsi="StobiSerifPro" w:cs="Tahoma"/>
          <w:lang w:val="mk-MK"/>
        </w:rPr>
      </w:pPr>
    </w:p>
    <w:p w:rsidR="00295DA5" w:rsidRPr="00C92D6D" w:rsidRDefault="00295DA5" w:rsidP="00295DA5">
      <w:pPr>
        <w:rPr>
          <w:rFonts w:ascii="StobiSerifPro" w:hAnsi="StobiSerifPro" w:cs="Tahoma"/>
          <w:lang w:val="mk-MK"/>
        </w:rPr>
      </w:pPr>
    </w:p>
    <w:p w:rsidR="00295DA5" w:rsidRPr="00C92D6D" w:rsidRDefault="00295DA5" w:rsidP="00295DA5">
      <w:pPr>
        <w:rPr>
          <w:rFonts w:ascii="StobiSerifPro" w:hAnsi="StobiSerifPro" w:cs="Tahoma"/>
          <w:lang w:val="mk-MK"/>
        </w:rPr>
      </w:pPr>
    </w:p>
    <w:p w:rsidR="00295DA5" w:rsidRPr="009913D7" w:rsidRDefault="00295DA5" w:rsidP="00295DA5">
      <w:pPr>
        <w:ind w:left="-360"/>
        <w:jc w:val="center"/>
        <w:rPr>
          <w:rFonts w:cs="Tahoma"/>
          <w:lang w:val="mk-MK"/>
        </w:rPr>
      </w:pPr>
      <w:r w:rsidRPr="009913D7">
        <w:rPr>
          <w:rFonts w:cs="Tahoma"/>
          <w:lang w:val="mk-MK"/>
        </w:rPr>
        <w:t>Скопје,  септември 2015 година</w:t>
      </w:r>
    </w:p>
    <w:p w:rsidR="00295DA5" w:rsidRDefault="00295DA5" w:rsidP="00295DA5">
      <w:pPr>
        <w:spacing w:line="240" w:lineRule="auto"/>
        <w:jc w:val="center"/>
        <w:rPr>
          <w:b/>
        </w:rPr>
      </w:pPr>
    </w:p>
    <w:p w:rsidR="00295DA5" w:rsidRDefault="00295DA5" w:rsidP="00295DA5">
      <w:pPr>
        <w:spacing w:line="240" w:lineRule="auto"/>
        <w:jc w:val="center"/>
        <w:rPr>
          <w:b/>
        </w:rPr>
      </w:pPr>
    </w:p>
    <w:p w:rsidR="00295DA5" w:rsidRDefault="00295DA5" w:rsidP="00295DA5">
      <w:pPr>
        <w:spacing w:line="240" w:lineRule="auto"/>
        <w:jc w:val="center"/>
        <w:rPr>
          <w:b/>
          <w:lang w:val="mk-MK"/>
        </w:rPr>
      </w:pPr>
    </w:p>
    <w:p w:rsidR="00295DA5" w:rsidRDefault="00295DA5" w:rsidP="00295DA5">
      <w:pPr>
        <w:spacing w:line="240" w:lineRule="auto"/>
        <w:jc w:val="center"/>
        <w:rPr>
          <w:b/>
          <w:lang w:val="mk-MK"/>
        </w:rPr>
      </w:pPr>
    </w:p>
    <w:p w:rsidR="00295DA5" w:rsidRDefault="00295DA5" w:rsidP="00295DA5">
      <w:pPr>
        <w:spacing w:line="240" w:lineRule="auto"/>
        <w:jc w:val="center"/>
        <w:rPr>
          <w:b/>
          <w:lang w:val="mk-MK"/>
        </w:rPr>
      </w:pPr>
    </w:p>
    <w:p w:rsidR="00295DA5" w:rsidRPr="009913D7" w:rsidRDefault="00295DA5" w:rsidP="00295DA5">
      <w:pPr>
        <w:spacing w:line="240" w:lineRule="auto"/>
        <w:jc w:val="center"/>
        <w:rPr>
          <w:b/>
          <w:lang w:val="mk-MK"/>
        </w:rPr>
      </w:pPr>
    </w:p>
    <w:p w:rsidR="00295DA5" w:rsidRDefault="00295DA5" w:rsidP="00295DA5">
      <w:pPr>
        <w:spacing w:line="240" w:lineRule="auto"/>
        <w:jc w:val="center"/>
        <w:rPr>
          <w:b/>
        </w:rPr>
      </w:pPr>
    </w:p>
    <w:p w:rsidR="00295DA5" w:rsidRPr="00847474" w:rsidRDefault="00295DA5" w:rsidP="00295DA5">
      <w:pPr>
        <w:spacing w:line="240" w:lineRule="auto"/>
        <w:jc w:val="center"/>
        <w:rPr>
          <w:b/>
          <w:lang w:val="mk-MK"/>
        </w:rPr>
      </w:pPr>
      <w:r w:rsidRPr="00847474">
        <w:rPr>
          <w:b/>
          <w:lang w:val="mk-MK"/>
        </w:rPr>
        <w:t>РЕПУБЛИКА МАКЕДОНИЈА</w:t>
      </w:r>
    </w:p>
    <w:p w:rsidR="00295DA5" w:rsidRDefault="00295DA5" w:rsidP="00295DA5">
      <w:pPr>
        <w:spacing w:line="240" w:lineRule="auto"/>
        <w:jc w:val="center"/>
        <w:rPr>
          <w:lang w:val="mk-MK"/>
        </w:rPr>
      </w:pPr>
      <w:r>
        <w:rPr>
          <w:lang w:val="mk-MK"/>
        </w:rPr>
        <w:t>Среднорочен извештај за самооценување</w:t>
      </w:r>
    </w:p>
    <w:p w:rsidR="00295DA5" w:rsidRDefault="00295DA5" w:rsidP="00295DA5">
      <w:pPr>
        <w:spacing w:line="240" w:lineRule="auto"/>
        <w:jc w:val="center"/>
      </w:pPr>
      <w:r>
        <w:rPr>
          <w:lang w:val="mk-MK"/>
        </w:rPr>
        <w:t xml:space="preserve">Акциски план </w:t>
      </w:r>
      <w:r w:rsidRPr="00ED53FD">
        <w:rPr>
          <w:lang w:val="mk-MK"/>
        </w:rPr>
        <w:t>за отворено Владино партнерство</w:t>
      </w:r>
      <w:r>
        <w:rPr>
          <w:lang w:val="mk-MK"/>
        </w:rPr>
        <w:t xml:space="preserve"> за  2014-2016 година</w:t>
      </w:r>
    </w:p>
    <w:p w:rsidR="00295DA5" w:rsidRPr="009913D7" w:rsidRDefault="00295DA5" w:rsidP="00295DA5">
      <w:pPr>
        <w:spacing w:line="240" w:lineRule="auto"/>
        <w:jc w:val="center"/>
      </w:pPr>
    </w:p>
    <w:p w:rsidR="00295DA5" w:rsidRPr="00E645FF" w:rsidRDefault="00295DA5" w:rsidP="00295DA5">
      <w:pPr>
        <w:pStyle w:val="ListParagraph"/>
        <w:numPr>
          <w:ilvl w:val="0"/>
          <w:numId w:val="1"/>
        </w:numPr>
        <w:spacing w:after="0" w:line="240" w:lineRule="auto"/>
        <w:jc w:val="both"/>
        <w:rPr>
          <w:b/>
          <w:lang w:val="mk-MK"/>
        </w:rPr>
      </w:pPr>
      <w:r w:rsidRPr="00E645FF">
        <w:rPr>
          <w:b/>
          <w:lang w:val="mk-MK"/>
        </w:rPr>
        <w:t>Вовед и историјат</w:t>
      </w:r>
    </w:p>
    <w:p w:rsidR="00295DA5" w:rsidRDefault="00295DA5" w:rsidP="00295DA5">
      <w:pPr>
        <w:spacing w:after="0" w:line="240" w:lineRule="auto"/>
        <w:jc w:val="both"/>
        <w:rPr>
          <w:lang w:val="mk-MK"/>
        </w:rPr>
      </w:pPr>
    </w:p>
    <w:p w:rsidR="00295DA5" w:rsidRPr="00ED53FD" w:rsidRDefault="00295DA5" w:rsidP="00295DA5">
      <w:pPr>
        <w:spacing w:line="240" w:lineRule="auto"/>
        <w:jc w:val="both"/>
        <w:rPr>
          <w:lang w:val="mk-MK"/>
        </w:rPr>
      </w:pPr>
      <w:r w:rsidRPr="00ED53FD">
        <w:rPr>
          <w:lang w:val="mk-MK"/>
        </w:rPr>
        <w:t xml:space="preserve">Република Македонија пристапи кон глобалната Инцијатива за Отворено владино партнерство во 2011 година. Согласно обврските за сите земји кои се приклучија кон оваа инцијатива да достават Акциски планови за спроведување на мерките од Инцијативата,  Владата на РМ на 01.06.2012 година го усвои првиот Акцискиот план за отворено Владино партнерство. </w:t>
      </w:r>
      <w:r>
        <w:rPr>
          <w:lang w:val="mk-MK"/>
        </w:rPr>
        <w:t xml:space="preserve">Врз основа на насоките и обврските веќе во 2013 година беше подготвен  Извештај за спроведување на акцискиот план кој заедно со препораките од независниот мониторинг механизам преставуваа основа за подготовка на Вториот Акциски план </w:t>
      </w:r>
      <w:r w:rsidRPr="00ED53FD">
        <w:rPr>
          <w:lang w:val="mk-MK"/>
        </w:rPr>
        <w:t>за отворено Владино партнерство</w:t>
      </w:r>
      <w:r>
        <w:rPr>
          <w:lang w:val="mk-MK"/>
        </w:rPr>
        <w:t xml:space="preserve"> за  2014-2016 година кој на </w:t>
      </w:r>
      <w:r w:rsidRPr="00EF77EE">
        <w:rPr>
          <w:lang w:val="mk-MK"/>
        </w:rPr>
        <w:t>20.05.2014</w:t>
      </w:r>
      <w:r>
        <w:rPr>
          <w:lang w:val="mk-MK"/>
        </w:rPr>
        <w:t xml:space="preserve"> година беше усвоен од страна на Владата на РМ.</w:t>
      </w:r>
    </w:p>
    <w:p w:rsidR="00295DA5" w:rsidRPr="00ED53FD" w:rsidRDefault="00295DA5" w:rsidP="00295DA5">
      <w:pPr>
        <w:spacing w:after="0" w:line="240" w:lineRule="auto"/>
        <w:jc w:val="both"/>
        <w:rPr>
          <w:lang w:val="mk-MK"/>
        </w:rPr>
      </w:pPr>
      <w:r w:rsidRPr="00ED53FD">
        <w:rPr>
          <w:lang w:val="mk-MK"/>
        </w:rPr>
        <w:t xml:space="preserve">Во изминатите неколку години Република Македонија постигна напредок во </w:t>
      </w:r>
      <w:r>
        <w:rPr>
          <w:lang w:val="mk-MK"/>
        </w:rPr>
        <w:t xml:space="preserve">областите кои </w:t>
      </w:r>
      <w:r w:rsidR="00711DC1">
        <w:rPr>
          <w:lang w:val="mk-MK"/>
        </w:rPr>
        <w:t>придонсуваат</w:t>
      </w:r>
      <w:r>
        <w:rPr>
          <w:lang w:val="mk-MK"/>
        </w:rPr>
        <w:t xml:space="preserve"> кон остваеување на основните принципи </w:t>
      </w:r>
      <w:r w:rsidRPr="00ED53FD">
        <w:rPr>
          <w:lang w:val="mk-MK"/>
        </w:rPr>
        <w:t xml:space="preserve">на Отвореното владино партнерство. </w:t>
      </w:r>
    </w:p>
    <w:p w:rsidR="00295DA5" w:rsidRDefault="00295DA5" w:rsidP="00295DA5">
      <w:pPr>
        <w:spacing w:after="0" w:line="240" w:lineRule="auto"/>
        <w:jc w:val="both"/>
        <w:rPr>
          <w:lang w:val="mk-MK"/>
        </w:rPr>
      </w:pPr>
    </w:p>
    <w:p w:rsidR="00295DA5" w:rsidRPr="00ED53FD" w:rsidRDefault="00295DA5" w:rsidP="00295DA5">
      <w:pPr>
        <w:spacing w:after="0" w:line="240" w:lineRule="auto"/>
        <w:jc w:val="both"/>
        <w:rPr>
          <w:lang w:val="mk-MK"/>
        </w:rPr>
      </w:pPr>
      <w:r w:rsidRPr="00ED53FD">
        <w:rPr>
          <w:lang w:val="mk-MK"/>
        </w:rPr>
        <w:t xml:space="preserve">Преземени беа голем број активности за градење на партнерски однос со граѓаните и компаниите во обликување на националните политики и креирање на националното законодавство, стратегии и инцијативи. Покрај нивното имплементирање низ конкретни Стратешки документи и Кодекси, беа отворени и интерактивни веб портали за олеснување на процесот, за поголема транспарентност и можност за креирање форуми за размена на ставови и мислења. Ваквиот пристап секогаш </w:t>
      </w:r>
      <w:r>
        <w:rPr>
          <w:lang w:val="mk-MK"/>
        </w:rPr>
        <w:t xml:space="preserve">придонесува за постигнување на </w:t>
      </w:r>
      <w:r w:rsidRPr="00ED53FD">
        <w:rPr>
          <w:lang w:val="mk-MK"/>
        </w:rPr>
        <w:t>добри резултати и поквалитетно законодавство, а висок приоритет останува подобрување на сите механизми кои ја гарантираат вклученоста и партнерскиот однос помеѓу институциите и граѓанскиот сектор како основа за градење на демократско општество.</w:t>
      </w:r>
    </w:p>
    <w:p w:rsidR="00295DA5" w:rsidRDefault="00295DA5" w:rsidP="00295DA5">
      <w:pPr>
        <w:spacing w:after="0" w:line="240" w:lineRule="auto"/>
        <w:jc w:val="both"/>
        <w:rPr>
          <w:lang w:val="mk-MK"/>
        </w:rPr>
      </w:pPr>
    </w:p>
    <w:p w:rsidR="00295DA5" w:rsidRDefault="00295DA5" w:rsidP="00295DA5">
      <w:pPr>
        <w:spacing w:after="0" w:line="240" w:lineRule="auto"/>
        <w:jc w:val="both"/>
        <w:rPr>
          <w:lang w:val="mk-MK"/>
        </w:rPr>
      </w:pPr>
      <w:r w:rsidRPr="00ED53FD">
        <w:rPr>
          <w:lang w:val="mk-MK"/>
        </w:rPr>
        <w:t xml:space="preserve">Во Република Македонија постои законодавство со кое се гарантира пристапот до информации. Законодавната рамка беше соодветно дополнета со цел нејзина доследна примена. Беа спроведени и обуки за надлежните лица кои директно се вклучени во имплементацијата. </w:t>
      </w:r>
    </w:p>
    <w:p w:rsidR="00295DA5" w:rsidRPr="00ED53FD" w:rsidRDefault="00295DA5" w:rsidP="00295DA5">
      <w:pPr>
        <w:spacing w:after="0" w:line="240" w:lineRule="auto"/>
        <w:jc w:val="both"/>
        <w:rPr>
          <w:lang w:val="mk-MK"/>
        </w:rPr>
      </w:pPr>
    </w:p>
    <w:p w:rsidR="00295DA5" w:rsidRDefault="00295DA5" w:rsidP="00295DA5">
      <w:pPr>
        <w:spacing w:after="0" w:line="240" w:lineRule="auto"/>
        <w:jc w:val="both"/>
        <w:rPr>
          <w:lang w:val="mk-MK"/>
        </w:rPr>
      </w:pPr>
      <w:r w:rsidRPr="00ED53FD">
        <w:rPr>
          <w:lang w:val="mk-MK"/>
        </w:rPr>
        <w:t>Институциите во Република Македонија објавуваат широк спектар на информации на своите веб портали со што отвореноста кон граѓаните и компаниите не изостанува. Сепак, отворените п</w:t>
      </w:r>
      <w:r>
        <w:rPr>
          <w:lang w:val="mk-MK"/>
        </w:rPr>
        <w:t xml:space="preserve">одатоци согласно столбовите на </w:t>
      </w:r>
      <w:r w:rsidRPr="00ED53FD">
        <w:rPr>
          <w:lang w:val="mk-MK"/>
        </w:rPr>
        <w:t>Отвореното владино партнерство наметнуваат одредени стандарди кои дополнително треба да се пресретнат. Ова останува највисокиот приоритет на Партнерството особено имајќи предвид дека се предвидуваат механизми за приоретизирање на отворените податоци согласно потребите на граѓаните и компаниите.</w:t>
      </w:r>
    </w:p>
    <w:p w:rsidR="00295DA5" w:rsidRPr="00ED53FD" w:rsidRDefault="00295DA5" w:rsidP="00295DA5">
      <w:pPr>
        <w:spacing w:after="0" w:line="240" w:lineRule="auto"/>
        <w:jc w:val="both"/>
        <w:rPr>
          <w:lang w:val="mk-MK"/>
        </w:rPr>
      </w:pPr>
    </w:p>
    <w:p w:rsidR="00295DA5" w:rsidRPr="00ED53FD" w:rsidRDefault="00295DA5" w:rsidP="00295DA5">
      <w:pPr>
        <w:spacing w:after="0" w:line="240" w:lineRule="auto"/>
        <w:jc w:val="both"/>
        <w:rPr>
          <w:lang w:val="mk-MK"/>
        </w:rPr>
      </w:pPr>
      <w:r w:rsidRPr="00ED53FD">
        <w:rPr>
          <w:lang w:val="mk-MK"/>
        </w:rPr>
        <w:t xml:space="preserve">Во изминатите неколку години во Република Македонија беа развиени голем број електронски услуги наменети за олеснет пристап на граѓаните. Процесот на подобрување на услугите и нивната испорака до граѓаните и компаниите подлежи на константно унапредување и подобрување. Граѓанинот го зазема централното место. Од тие причини покрај електронските услуги, беа развиени и соодветни проекти </w:t>
      </w:r>
      <w:r>
        <w:rPr>
          <w:lang w:val="mk-MK"/>
        </w:rPr>
        <w:t xml:space="preserve">за </w:t>
      </w:r>
      <w:r w:rsidRPr="00ED53FD">
        <w:rPr>
          <w:lang w:val="mk-MK"/>
        </w:rPr>
        <w:t xml:space="preserve">утврдување на задоволството на граѓаните од испорачаните услуги од страна на институциите, но истовремени и можност да се оцени администрацијата или да се упатат забелешки за нејзиното работење. </w:t>
      </w:r>
    </w:p>
    <w:p w:rsidR="00295DA5" w:rsidRPr="00ED53FD" w:rsidRDefault="00295DA5" w:rsidP="00295DA5">
      <w:pPr>
        <w:spacing w:after="0" w:line="240" w:lineRule="auto"/>
        <w:jc w:val="both"/>
        <w:rPr>
          <w:lang w:val="mk-MK"/>
        </w:rPr>
      </w:pPr>
      <w:r w:rsidRPr="00ED53FD">
        <w:rPr>
          <w:lang w:val="mk-MK"/>
        </w:rPr>
        <w:t>Во Република Македонија воспоставена и е законска рамка која го утврдува и стандардизира електронското управување со што се подобр</w:t>
      </w:r>
      <w:r>
        <w:rPr>
          <w:lang w:val="mk-MK"/>
        </w:rPr>
        <w:t>ија</w:t>
      </w:r>
      <w:r w:rsidRPr="00ED53FD">
        <w:rPr>
          <w:lang w:val="mk-MK"/>
        </w:rPr>
        <w:t xml:space="preserve"> голем број процеси, а интероперабилноста допринесе за унапредување на конзистентноста и ефикасноста на административните постапки.</w:t>
      </w:r>
    </w:p>
    <w:p w:rsidR="00295DA5" w:rsidRPr="00ED53FD" w:rsidRDefault="00295DA5" w:rsidP="00295DA5">
      <w:pPr>
        <w:spacing w:after="0" w:line="240" w:lineRule="auto"/>
        <w:jc w:val="both"/>
        <w:rPr>
          <w:lang w:val="mk-MK"/>
        </w:rPr>
      </w:pPr>
    </w:p>
    <w:p w:rsidR="00295DA5" w:rsidRDefault="00295DA5" w:rsidP="00295DA5">
      <w:pPr>
        <w:spacing w:after="0" w:line="240" w:lineRule="auto"/>
        <w:jc w:val="both"/>
        <w:rPr>
          <w:lang w:val="mk-MK"/>
        </w:rPr>
      </w:pPr>
      <w:r w:rsidRPr="00ED53FD">
        <w:rPr>
          <w:lang w:val="mk-MK"/>
        </w:rPr>
        <w:t>Постојат уште многубројни активности кои директно влијаеја за подобрување на квалитетот на живеењето во модерно и демократско општество, а секогаш останува и заложбата дека може да биде и подобро.</w:t>
      </w:r>
    </w:p>
    <w:p w:rsidR="00295DA5" w:rsidRDefault="00295DA5" w:rsidP="00295DA5">
      <w:pPr>
        <w:spacing w:after="0" w:line="240" w:lineRule="auto"/>
        <w:jc w:val="both"/>
        <w:rPr>
          <w:lang w:val="mk-MK"/>
        </w:rPr>
      </w:pPr>
    </w:p>
    <w:p w:rsidR="00295DA5" w:rsidRDefault="00295DA5" w:rsidP="00295DA5">
      <w:pPr>
        <w:spacing w:after="0" w:line="240" w:lineRule="auto"/>
        <w:jc w:val="both"/>
        <w:rPr>
          <w:lang w:val="mk-MK"/>
        </w:rPr>
      </w:pPr>
    </w:p>
    <w:p w:rsidR="00295DA5" w:rsidRDefault="00295DA5" w:rsidP="00295DA5">
      <w:pPr>
        <w:pStyle w:val="ListParagraph"/>
        <w:numPr>
          <w:ilvl w:val="0"/>
          <w:numId w:val="1"/>
        </w:numPr>
        <w:spacing w:after="0" w:line="240" w:lineRule="auto"/>
        <w:jc w:val="both"/>
        <w:rPr>
          <w:b/>
          <w:lang w:val="mk-MK"/>
        </w:rPr>
      </w:pPr>
      <w:r w:rsidRPr="00E645FF">
        <w:rPr>
          <w:b/>
          <w:lang w:val="mk-MK"/>
        </w:rPr>
        <w:t>Процес на национален акциски план</w:t>
      </w:r>
    </w:p>
    <w:p w:rsidR="00295DA5" w:rsidRPr="00EF77EE" w:rsidRDefault="00295DA5" w:rsidP="00295DA5">
      <w:pPr>
        <w:pStyle w:val="ListParagraph"/>
        <w:spacing w:after="0" w:line="240" w:lineRule="auto"/>
        <w:jc w:val="both"/>
        <w:rPr>
          <w:b/>
          <w:lang w:val="mk-MK"/>
        </w:rPr>
      </w:pPr>
    </w:p>
    <w:p w:rsidR="00295DA5" w:rsidRPr="0009382E" w:rsidRDefault="00295DA5" w:rsidP="00295DA5">
      <w:pPr>
        <w:jc w:val="both"/>
        <w:rPr>
          <w:lang w:val="mk-MK"/>
        </w:rPr>
      </w:pPr>
      <w:r w:rsidRPr="008179F7">
        <w:rPr>
          <w:lang w:val="mk-MK"/>
        </w:rPr>
        <w:t xml:space="preserve">Министерството за информатичко општество и администрација врз база на добиените материјали од носечките институции на поединечните мерки во септември 2013 година изготви Извештај за спроведување на Акцискиот план 2012-2014 година за кој се спроведе навремена консултација (на порталот е-демократија и со директна покана за коментирање </w:t>
      </w:r>
      <w:r>
        <w:rPr>
          <w:lang w:val="mk-MK"/>
        </w:rPr>
        <w:t>испратена до</w:t>
      </w:r>
      <w:r w:rsidRPr="008179F7">
        <w:rPr>
          <w:lang w:val="mk-MK"/>
        </w:rPr>
        <w:t xml:space="preserve"> сите ИКТ комори, граѓани и невладини организации кои учествува</w:t>
      </w:r>
      <w:r>
        <w:rPr>
          <w:lang w:val="mk-MK"/>
        </w:rPr>
        <w:t>а</w:t>
      </w:r>
      <w:r w:rsidRPr="008179F7">
        <w:rPr>
          <w:lang w:val="mk-MK"/>
        </w:rPr>
        <w:t xml:space="preserve"> во дотогашните активности на Акцискиот план за Отворено владино партнерство</w:t>
      </w:r>
      <w:r>
        <w:rPr>
          <w:lang w:val="mk-MK"/>
        </w:rPr>
        <w:t>).</w:t>
      </w:r>
      <w:r w:rsidRPr="008179F7">
        <w:rPr>
          <w:lang w:val="mk-MK"/>
        </w:rPr>
        <w:t xml:space="preserve"> Врз основа на Извештајот за спроведување на Акцискиот план 2012-2014 година и препораките на независниот мониторинг механизам во декември 2013 година се пристапи </w:t>
      </w:r>
      <w:r>
        <w:rPr>
          <w:lang w:val="mk-MK"/>
        </w:rPr>
        <w:t xml:space="preserve">кон подготовка на </w:t>
      </w:r>
      <w:r w:rsidRPr="008179F7">
        <w:rPr>
          <w:lang w:val="mk-MK"/>
        </w:rPr>
        <w:t>Акциски план за отворено Владино партнерство за  2014-2016 година</w:t>
      </w:r>
      <w:r>
        <w:rPr>
          <w:lang w:val="mk-MK"/>
        </w:rPr>
        <w:t xml:space="preserve">.  </w:t>
      </w:r>
    </w:p>
    <w:p w:rsidR="00295DA5" w:rsidRPr="00E645FF" w:rsidRDefault="00295DA5" w:rsidP="00295DA5">
      <w:pPr>
        <w:spacing w:after="0" w:line="240" w:lineRule="auto"/>
        <w:jc w:val="both"/>
        <w:rPr>
          <w:lang w:val="mk-MK"/>
        </w:rPr>
      </w:pPr>
      <w:r w:rsidRPr="0009382E">
        <w:rPr>
          <w:lang w:val="mk-MK"/>
        </w:rPr>
        <w:t>Во рана фаза беше дефинирано дека при подготовка на новиот план е неопходно активно вклучување на сите институции во дефинирање на приоритетите согласно Инцијативата за Отворено владино партнерство, имплементација на тие мерки и нивно следење од страна на самите институции, формирање на работна група со номинирани претставници од самите институции кои ќе бидат контакт лица како носители на поединечните мерки со цел да се покаже целосен координиран пристап кон спроведување на мерките од Инцијативата за отворено владино партнерство на ниво на сите институции а Министерството за информатичко општество и администрација и натаму да го координира процесот на мониторинг на имплементација на акцискиот план, доставување на редовни извештаи на меѓународно ниво и да обезбеди широк и јавен консултацикси процес согласно насоките за сите земји членки на оваа глобална иницијатива.</w:t>
      </w:r>
      <w:r>
        <w:rPr>
          <w:lang w:val="mk-MK"/>
        </w:rPr>
        <w:t xml:space="preserve"> Оттука, </w:t>
      </w:r>
      <w:r w:rsidRPr="00E645FF">
        <w:rPr>
          <w:lang w:val="mk-MK"/>
        </w:rPr>
        <w:t xml:space="preserve">Министерството за информатичко општество и администрација </w:t>
      </w:r>
      <w:r>
        <w:rPr>
          <w:lang w:val="mk-MK"/>
        </w:rPr>
        <w:t xml:space="preserve">го </w:t>
      </w:r>
      <w:r w:rsidRPr="00E645FF">
        <w:rPr>
          <w:lang w:val="mk-MK"/>
        </w:rPr>
        <w:t>започна координатив</w:t>
      </w:r>
      <w:r>
        <w:rPr>
          <w:lang w:val="mk-MK"/>
        </w:rPr>
        <w:t>ниот</w:t>
      </w:r>
      <w:r w:rsidRPr="00E645FF">
        <w:rPr>
          <w:lang w:val="mk-MK"/>
        </w:rPr>
        <w:t xml:space="preserve"> процес на создавање на новиот Акциски план за 2014-2016 година со номинирани претставници од сите институции носители на поединечни мерки како и претставници на граѓанското општество, согласно барањето и насоките од меѓународните правила на глобална</w:t>
      </w:r>
      <w:r>
        <w:rPr>
          <w:lang w:val="mk-MK"/>
        </w:rPr>
        <w:t>та</w:t>
      </w:r>
      <w:r w:rsidRPr="00E645FF">
        <w:rPr>
          <w:lang w:val="mk-MK"/>
        </w:rPr>
        <w:t xml:space="preserve"> инцијатива за Отворено владино </w:t>
      </w:r>
      <w:r w:rsidRPr="0009382E">
        <w:rPr>
          <w:lang w:val="mk-MK"/>
        </w:rPr>
        <w:t xml:space="preserve">партнерство. </w:t>
      </w:r>
    </w:p>
    <w:p w:rsidR="00295DA5" w:rsidRPr="00E645FF" w:rsidRDefault="00295DA5" w:rsidP="00295DA5">
      <w:pPr>
        <w:spacing w:after="0" w:line="240" w:lineRule="auto"/>
        <w:jc w:val="both"/>
        <w:rPr>
          <w:lang w:val="mk-MK"/>
        </w:rPr>
      </w:pPr>
    </w:p>
    <w:p w:rsidR="00295DA5" w:rsidRDefault="00295DA5" w:rsidP="00295DA5">
      <w:pPr>
        <w:spacing w:after="0" w:line="240" w:lineRule="auto"/>
        <w:jc w:val="both"/>
        <w:rPr>
          <w:lang w:val="mk-MK"/>
        </w:rPr>
      </w:pPr>
      <w:r w:rsidRPr="00E645FF">
        <w:rPr>
          <w:lang w:val="mk-MK"/>
        </w:rPr>
        <w:t xml:space="preserve">Согласно </w:t>
      </w:r>
      <w:r>
        <w:rPr>
          <w:lang w:val="mk-MK"/>
        </w:rPr>
        <w:t>утврдената</w:t>
      </w:r>
      <w:r w:rsidRPr="00E645FF">
        <w:rPr>
          <w:lang w:val="mk-MK"/>
        </w:rPr>
        <w:t xml:space="preserve"> временска рамка</w:t>
      </w:r>
      <w:r>
        <w:rPr>
          <w:lang w:val="mk-MK"/>
        </w:rPr>
        <w:t xml:space="preserve"> к</w:t>
      </w:r>
      <w:r w:rsidRPr="00E645FF">
        <w:rPr>
          <w:lang w:val="mk-MK"/>
        </w:rPr>
        <w:t>онсултацисикиот процес</w:t>
      </w:r>
      <w:r>
        <w:rPr>
          <w:lang w:val="mk-MK"/>
        </w:rPr>
        <w:t xml:space="preserve"> за подготовка на </w:t>
      </w:r>
      <w:r w:rsidRPr="008179F7">
        <w:rPr>
          <w:lang w:val="mk-MK"/>
        </w:rPr>
        <w:t>Акциски</w:t>
      </w:r>
      <w:r>
        <w:rPr>
          <w:lang w:val="mk-MK"/>
        </w:rPr>
        <w:t>от</w:t>
      </w:r>
      <w:r w:rsidRPr="008179F7">
        <w:rPr>
          <w:lang w:val="mk-MK"/>
        </w:rPr>
        <w:t xml:space="preserve"> план за о</w:t>
      </w:r>
      <w:r>
        <w:rPr>
          <w:lang w:val="mk-MK"/>
        </w:rPr>
        <w:t xml:space="preserve">творено Владино партнерство за </w:t>
      </w:r>
      <w:r w:rsidRPr="008179F7">
        <w:rPr>
          <w:lang w:val="mk-MK"/>
        </w:rPr>
        <w:t>2014-2016 година</w:t>
      </w:r>
      <w:r w:rsidRPr="00E645FF">
        <w:rPr>
          <w:lang w:val="mk-MK"/>
        </w:rPr>
        <w:t xml:space="preserve"> траеше два месеци и беше спроведен на порталот е-демократија каде бeа објавени сите предлози добиени од институциите и граѓанскиот сектор.  </w:t>
      </w:r>
      <w:r>
        <w:rPr>
          <w:lang w:val="mk-MK"/>
        </w:rPr>
        <w:t>Исто така б</w:t>
      </w:r>
      <w:r w:rsidRPr="00E645FF">
        <w:rPr>
          <w:lang w:val="mk-MK"/>
        </w:rPr>
        <w:t xml:space="preserve">еа одржани состаноци со претставници од институциите и граѓанскиот сектор за секој приоритет поединечно, а воедно, беа одржани  два јавни состаноци од кои вториот и во форма на работилници каде секоја работна група ги дефинираше мерките по одредените приоритети. Како резултат од овој </w:t>
      </w:r>
      <w:r w:rsidRPr="00D46012">
        <w:rPr>
          <w:lang w:val="mk-MK"/>
        </w:rPr>
        <w:t xml:space="preserve">широк консултативен процес со сите релевантни државни органи,  преку 40 граѓански асоцијации и претставништва на меѓународните организации </w:t>
      </w:r>
      <w:r w:rsidRPr="00D46012">
        <w:rPr>
          <w:lang w:val="mk-MK"/>
        </w:rPr>
        <w:lastRenderedPageBreak/>
        <w:t>и амбасади во РМ го изготви вториот Акциски план за отворено владино парнетово за 2014-2016 година а Владата на Република Македонија истиот го усвои на  20.05.2014 година</w:t>
      </w:r>
      <w:r>
        <w:rPr>
          <w:lang w:val="mk-MK"/>
        </w:rPr>
        <w:t xml:space="preserve"> и по што беше објавен на порталот е-демокртија.</w:t>
      </w:r>
      <w:r w:rsidRPr="00D46012">
        <w:rPr>
          <w:lang w:val="mk-MK"/>
        </w:rPr>
        <w:t>  По усвојувањето, Министерството за информатичко општество и администрација во јуни 2014 Акцискиот план го достави на англиски јазик до интернационалата на Отвореното владино партнерство во Вашингтон и објавен е на opengovparnetrship.org.</w:t>
      </w:r>
    </w:p>
    <w:p w:rsidR="00295DA5" w:rsidRDefault="00295DA5" w:rsidP="00295DA5">
      <w:pPr>
        <w:spacing w:after="0" w:line="240" w:lineRule="auto"/>
        <w:jc w:val="both"/>
        <w:rPr>
          <w:lang w:val="mk-MK"/>
        </w:rPr>
      </w:pPr>
    </w:p>
    <w:p w:rsidR="00295DA5" w:rsidRDefault="00295DA5" w:rsidP="00295DA5">
      <w:pPr>
        <w:spacing w:after="0" w:line="240" w:lineRule="auto"/>
        <w:jc w:val="both"/>
        <w:rPr>
          <w:lang w:val="mk-MK"/>
        </w:rPr>
      </w:pPr>
    </w:p>
    <w:p w:rsidR="00295DA5" w:rsidRPr="00316A70" w:rsidRDefault="00295DA5" w:rsidP="00295DA5">
      <w:pPr>
        <w:spacing w:after="0" w:line="240" w:lineRule="auto"/>
        <w:jc w:val="both"/>
        <w:rPr>
          <w:lang w:val="mk-MK"/>
        </w:rPr>
      </w:pPr>
    </w:p>
    <w:p w:rsidR="00295DA5" w:rsidRPr="003A6B6A" w:rsidRDefault="00295DA5" w:rsidP="00295DA5">
      <w:pPr>
        <w:pStyle w:val="ListParagraph"/>
        <w:numPr>
          <w:ilvl w:val="0"/>
          <w:numId w:val="1"/>
        </w:numPr>
        <w:spacing w:after="0" w:line="240" w:lineRule="auto"/>
        <w:jc w:val="both"/>
        <w:rPr>
          <w:b/>
          <w:lang w:val="mk-MK"/>
        </w:rPr>
      </w:pPr>
      <w:r w:rsidRPr="003A6B6A">
        <w:rPr>
          <w:b/>
          <w:lang w:val="mk-MK"/>
        </w:rPr>
        <w:t>ИРМ препораки</w:t>
      </w:r>
    </w:p>
    <w:p w:rsidR="00295DA5" w:rsidRDefault="00295DA5" w:rsidP="00295DA5">
      <w:pPr>
        <w:spacing w:after="0" w:line="240" w:lineRule="auto"/>
        <w:jc w:val="both"/>
        <w:rPr>
          <w:lang w:val="mk-MK"/>
        </w:rPr>
      </w:pPr>
    </w:p>
    <w:p w:rsidR="00295DA5" w:rsidRDefault="00295DA5" w:rsidP="00295DA5">
      <w:pPr>
        <w:spacing w:after="0" w:line="240" w:lineRule="auto"/>
        <w:jc w:val="both"/>
        <w:rPr>
          <w:lang w:val="mk-MK"/>
        </w:rPr>
      </w:pPr>
      <w:r w:rsidRPr="00AD2DC6">
        <w:rPr>
          <w:lang w:val="mk-MK"/>
        </w:rPr>
        <w:t xml:space="preserve">Врз основа на предизвиците и наодите утврдени </w:t>
      </w:r>
      <w:r>
        <w:rPr>
          <w:lang w:val="mk-MK"/>
        </w:rPr>
        <w:t xml:space="preserve">во </w:t>
      </w:r>
      <w:r w:rsidRPr="00AD2DC6">
        <w:rPr>
          <w:lang w:val="mk-MK"/>
        </w:rPr>
        <w:t>Извештај</w:t>
      </w:r>
      <w:r>
        <w:rPr>
          <w:lang w:val="mk-MK"/>
        </w:rPr>
        <w:t>от</w:t>
      </w:r>
      <w:r w:rsidRPr="00AD2DC6">
        <w:rPr>
          <w:lang w:val="mk-MK"/>
        </w:rPr>
        <w:t xml:space="preserve"> за напредокот </w:t>
      </w:r>
      <w:r>
        <w:rPr>
          <w:lang w:val="mk-MK"/>
        </w:rPr>
        <w:t xml:space="preserve">на Република Македонија за </w:t>
      </w:r>
      <w:r w:rsidRPr="00AD2DC6">
        <w:rPr>
          <w:lang w:val="mk-MK"/>
        </w:rPr>
        <w:t>2012-</w:t>
      </w:r>
      <w:r>
        <w:rPr>
          <w:lang w:val="mk-MK"/>
        </w:rPr>
        <w:t>20</w:t>
      </w:r>
      <w:r w:rsidRPr="00AD2DC6">
        <w:rPr>
          <w:lang w:val="mk-MK"/>
        </w:rPr>
        <w:t>13</w:t>
      </w:r>
      <w:r>
        <w:rPr>
          <w:lang w:val="mk-MK"/>
        </w:rPr>
        <w:t xml:space="preserve"> година, подготвен во рамките на независниот механизам за известување </w:t>
      </w:r>
      <w:r w:rsidRPr="00AD2DC6">
        <w:rPr>
          <w:lang w:val="mk-MK"/>
        </w:rPr>
        <w:t xml:space="preserve">, </w:t>
      </w:r>
      <w:r>
        <w:rPr>
          <w:lang w:val="mk-MK"/>
        </w:rPr>
        <w:t xml:space="preserve">во текот на подготовката на </w:t>
      </w:r>
      <w:r w:rsidRPr="00816672">
        <w:rPr>
          <w:lang w:val="mk-MK"/>
        </w:rPr>
        <w:t>Акцискиот план за Отворено владино партнерство 2014-2016 година</w:t>
      </w:r>
      <w:r>
        <w:rPr>
          <w:lang w:val="mk-MK"/>
        </w:rPr>
        <w:t xml:space="preserve">беа земени во предвид  </w:t>
      </w:r>
      <w:r w:rsidRPr="00AD2DC6">
        <w:rPr>
          <w:lang w:val="mk-MK"/>
        </w:rPr>
        <w:t>главните препораки</w:t>
      </w:r>
      <w:r>
        <w:rPr>
          <w:lang w:val="mk-MK"/>
        </w:rPr>
        <w:t xml:space="preserve"> и тоа:</w:t>
      </w:r>
    </w:p>
    <w:p w:rsidR="00295DA5" w:rsidRDefault="00295DA5" w:rsidP="00295DA5">
      <w:pPr>
        <w:spacing w:after="0" w:line="240" w:lineRule="auto"/>
        <w:jc w:val="both"/>
        <w:rPr>
          <w:lang w:val="mk-MK"/>
        </w:rPr>
      </w:pPr>
    </w:p>
    <w:p w:rsidR="00295DA5" w:rsidRDefault="00295DA5" w:rsidP="00295DA5">
      <w:pPr>
        <w:jc w:val="both"/>
        <w:rPr>
          <w:lang w:val="mk-MK"/>
        </w:rPr>
      </w:pPr>
      <w:r>
        <w:rPr>
          <w:lang w:val="mk-MK"/>
        </w:rPr>
        <w:t>-</w:t>
      </w:r>
      <w:r w:rsidRPr="009D6E77">
        <w:rPr>
          <w:lang w:val="mk-MK"/>
        </w:rPr>
        <w:t xml:space="preserve"> при  изготвувањето на Акцискиот план за 2014-2016 година не се изврши  проширување на листата на приоритети, туку активностите беа насочени кон утврдување на поконкретни и некаде померливи активности кои самите институции ги идентификувакако клучни за остварување на  своите цели. </w:t>
      </w:r>
    </w:p>
    <w:p w:rsidR="00295DA5" w:rsidRDefault="00295DA5" w:rsidP="00295DA5">
      <w:pPr>
        <w:jc w:val="both"/>
        <w:rPr>
          <w:lang w:val="mk-MK"/>
        </w:rPr>
      </w:pPr>
      <w:r>
        <w:rPr>
          <w:lang w:val="mk-MK"/>
        </w:rPr>
        <w:t>- со цел подигнување на јавната свест и создавање на партиципативно и поттикнувачко опкружување за засегнатите страни, на порталот е-демокртија беше објавена временска рамка за спроведување на планираните активности за подготовка на новиот план и планираните активности за спроведување на консултациите (</w:t>
      </w:r>
      <w:hyperlink r:id="rId7" w:history="1">
        <w:r w:rsidRPr="001A17BE">
          <w:rPr>
            <w:rStyle w:val="Hyperlink"/>
            <w:lang w:val="mk-MK"/>
          </w:rPr>
          <w:t>http://e-demokratija.mk/sd_administracija/-/document_library_display/4ugU/view/170268/5502?_110_INSTANCE_4ugU_redirect=http%3A%2F%2Fe-demokratija.mk%2Fsd_administracija%2F</w:t>
        </w:r>
      </w:hyperlink>
      <w:r w:rsidRPr="00576419">
        <w:rPr>
          <w:lang w:val="mk-MK"/>
        </w:rPr>
        <w:t>%2Fdocument_library_display%2F4ugU%2Fview%2F170268</w:t>
      </w:r>
      <w:r>
        <w:rPr>
          <w:lang w:val="mk-MK"/>
        </w:rPr>
        <w:t xml:space="preserve">). </w:t>
      </w:r>
    </w:p>
    <w:p w:rsidR="00295DA5" w:rsidRDefault="00295DA5" w:rsidP="00295DA5">
      <w:pPr>
        <w:jc w:val="both"/>
        <w:rPr>
          <w:lang w:val="mk-MK"/>
        </w:rPr>
      </w:pPr>
      <w:r>
        <w:rPr>
          <w:lang w:val="mk-MK"/>
        </w:rPr>
        <w:t xml:space="preserve">- за имплементација на приоритетите и поединечните мерки, министерот за информатичко општество и администрација донесе Решение за </w:t>
      </w:r>
      <w:r w:rsidRPr="00816672">
        <w:rPr>
          <w:lang w:val="mk-MK"/>
        </w:rPr>
        <w:t>формирање работна група со сите</w:t>
      </w:r>
      <w:r>
        <w:rPr>
          <w:lang w:val="mk-MK"/>
        </w:rPr>
        <w:t xml:space="preserve"> чинители за имплементирање на </w:t>
      </w:r>
      <w:r w:rsidRPr="00816672">
        <w:rPr>
          <w:lang w:val="mk-MK"/>
        </w:rPr>
        <w:t>Акцискиот план за Отворено владино партнерство 2014-2016 година</w:t>
      </w:r>
      <w:r>
        <w:rPr>
          <w:lang w:val="mk-MK"/>
        </w:rPr>
        <w:t xml:space="preserve">.  Секоја работна група има координатор, заменик координатор и членови (претставници од </w:t>
      </w:r>
      <w:r w:rsidRPr="00D9283C">
        <w:rPr>
          <w:lang w:val="mk-MK"/>
        </w:rPr>
        <w:t>релевантни институции и претставници на граѓанскиот сектор</w:t>
      </w:r>
      <w:r>
        <w:rPr>
          <w:lang w:val="mk-MK"/>
        </w:rPr>
        <w:t xml:space="preserve"> -надвор од главниот град на РМ) кои дават придонес во спроведувањето на мерките од акцискиот план. Работата и динамиката на состанување е во надлежност на работните групи додека за подготовка на кварталните извештаи и превземање на тековни активности редовно се одржуваат состаноци на ниво на координатори на работни групи на кои без исклучок е поканет и независниот мониторинг набљудувач за Република Македонија.</w:t>
      </w:r>
    </w:p>
    <w:p w:rsidR="00295DA5" w:rsidRDefault="00295DA5" w:rsidP="00295DA5">
      <w:pPr>
        <w:spacing w:after="0" w:line="240" w:lineRule="auto"/>
        <w:jc w:val="both"/>
        <w:rPr>
          <w:lang w:val="mk-MK"/>
        </w:rPr>
      </w:pPr>
    </w:p>
    <w:p w:rsidR="00295DA5" w:rsidRPr="00295DA5" w:rsidRDefault="00295DA5" w:rsidP="00295DA5">
      <w:pPr>
        <w:spacing w:after="0" w:line="240" w:lineRule="auto"/>
        <w:jc w:val="both"/>
        <w:rPr>
          <w:lang w:val="mk-MK"/>
        </w:rPr>
      </w:pPr>
    </w:p>
    <w:p w:rsidR="00295DA5" w:rsidRPr="00911518" w:rsidRDefault="00295DA5" w:rsidP="00295DA5">
      <w:pPr>
        <w:pStyle w:val="ListParagraph"/>
        <w:numPr>
          <w:ilvl w:val="0"/>
          <w:numId w:val="1"/>
        </w:numPr>
        <w:spacing w:after="0" w:line="240" w:lineRule="auto"/>
        <w:jc w:val="both"/>
        <w:rPr>
          <w:b/>
          <w:lang w:val="mk-MK"/>
        </w:rPr>
      </w:pPr>
      <w:r w:rsidRPr="00911518">
        <w:rPr>
          <w:b/>
          <w:lang w:val="mk-MK"/>
        </w:rPr>
        <w:t>Имплементација на обврски за Националниот акциски план</w:t>
      </w:r>
    </w:p>
    <w:p w:rsidR="00295DA5" w:rsidRDefault="00295DA5" w:rsidP="00295DA5">
      <w:pPr>
        <w:pStyle w:val="ListParagraph"/>
        <w:ind w:left="567" w:firstLine="153"/>
        <w:rPr>
          <w:lang w:val="mk-MK"/>
        </w:rPr>
      </w:pPr>
    </w:p>
    <w:p w:rsidR="00295DA5" w:rsidRPr="002609F7" w:rsidRDefault="00295DA5" w:rsidP="00295DA5">
      <w:pPr>
        <w:pStyle w:val="ListParagraph"/>
        <w:ind w:left="0" w:firstLine="720"/>
        <w:jc w:val="both"/>
        <w:rPr>
          <w:lang w:val="mk-MK"/>
        </w:rPr>
      </w:pPr>
      <w:r>
        <w:rPr>
          <w:lang w:val="mk-MK"/>
        </w:rPr>
        <w:t xml:space="preserve">Подолу </w:t>
      </w:r>
      <w:r w:rsidR="00B40D33">
        <w:rPr>
          <w:lang w:val="mk-MK"/>
        </w:rPr>
        <w:t xml:space="preserve">во табела 1 едаден </w:t>
      </w:r>
      <w:r>
        <w:rPr>
          <w:lang w:val="mk-MK"/>
        </w:rPr>
        <w:t xml:space="preserve">преглед на </w:t>
      </w:r>
      <w:r w:rsidRPr="007F0E7C">
        <w:rPr>
          <w:lang w:val="mk-MK"/>
        </w:rPr>
        <w:t xml:space="preserve"> напредокот и главните постигнати резултати</w:t>
      </w:r>
      <w:r w:rsidR="0055737A">
        <w:rPr>
          <w:lang w:val="mk-MK"/>
        </w:rPr>
        <w:t xml:space="preserve"> додека во т</w:t>
      </w:r>
      <w:r w:rsidR="00B40D33">
        <w:rPr>
          <w:lang w:val="mk-MK"/>
        </w:rPr>
        <w:t xml:space="preserve">абела 2 е даден збирен приказ на ниво на реализација за </w:t>
      </w:r>
      <w:r>
        <w:rPr>
          <w:lang w:val="mk-MK"/>
        </w:rPr>
        <w:t>секој поединечен приоритет од Акцискиот план 2014-2016 година за кој е започната имплементацијата</w:t>
      </w:r>
      <w:r w:rsidRPr="007F0E7C">
        <w:rPr>
          <w:lang w:val="mk-MK"/>
        </w:rPr>
        <w:t>.</w:t>
      </w:r>
    </w:p>
    <w:p w:rsidR="00F80806" w:rsidRDefault="00F80806">
      <w:pPr>
        <w:rPr>
          <w:lang w:val="mk-MK"/>
        </w:rPr>
      </w:pPr>
    </w:p>
    <w:p w:rsidR="00E63737" w:rsidRDefault="00E63737">
      <w:pPr>
        <w:rPr>
          <w:lang w:val="mk-MK"/>
        </w:rPr>
      </w:pPr>
    </w:p>
    <w:p w:rsidR="00E63737" w:rsidRDefault="00852AE9" w:rsidP="00852AE9">
      <w:pPr>
        <w:jc w:val="both"/>
        <w:rPr>
          <w:b/>
          <w:lang w:val="mk-MK"/>
        </w:rPr>
      </w:pPr>
      <w:r>
        <w:rPr>
          <w:b/>
          <w:lang w:val="mk-MK"/>
        </w:rPr>
        <w:t>Табела 1. П</w:t>
      </w:r>
      <w:r w:rsidRPr="00852AE9">
        <w:rPr>
          <w:b/>
          <w:lang w:val="mk-MK"/>
        </w:rPr>
        <w:t>реглед  на  напредокот и главните по</w:t>
      </w:r>
      <w:r>
        <w:rPr>
          <w:b/>
          <w:lang w:val="mk-MK"/>
        </w:rPr>
        <w:t xml:space="preserve">стигнати резултати </w:t>
      </w:r>
      <w:r w:rsidRPr="00852AE9">
        <w:rPr>
          <w:b/>
          <w:lang w:val="mk-MK"/>
        </w:rPr>
        <w:t>за секој поединечен приоритет од Акцискиот план 2014-2016 година за кој е започната имплементацијата</w:t>
      </w:r>
    </w:p>
    <w:p w:rsidR="00852AE9" w:rsidRDefault="00852AE9" w:rsidP="00852AE9">
      <w:pPr>
        <w:jc w:val="both"/>
        <w:rPr>
          <w:b/>
          <w:lang w:val="mk-MK"/>
        </w:rPr>
      </w:pPr>
    </w:p>
    <w:tbl>
      <w:tblPr>
        <w:tblStyle w:val="TableGrid"/>
        <w:tblW w:w="0" w:type="auto"/>
        <w:tblLook w:val="04A0"/>
      </w:tblPr>
      <w:tblGrid>
        <w:gridCol w:w="1803"/>
        <w:gridCol w:w="2140"/>
        <w:gridCol w:w="17"/>
        <w:gridCol w:w="1627"/>
        <w:gridCol w:w="1724"/>
        <w:gridCol w:w="1564"/>
        <w:gridCol w:w="1835"/>
      </w:tblGrid>
      <w:tr w:rsidR="002F1864" w:rsidTr="002F1864">
        <w:tc>
          <w:tcPr>
            <w:tcW w:w="10710" w:type="dxa"/>
            <w:gridSpan w:val="7"/>
            <w:shd w:val="clear" w:color="auto" w:fill="262626" w:themeFill="text1" w:themeFillTint="D9"/>
          </w:tcPr>
          <w:p w:rsidR="002F1864" w:rsidRDefault="002F1864" w:rsidP="002F1864">
            <w:pPr>
              <w:jc w:val="center"/>
              <w:rPr>
                <w:b/>
                <w:lang w:val="mk-MK"/>
              </w:rPr>
            </w:pPr>
            <w:r w:rsidRPr="002F1864">
              <w:rPr>
                <w:rFonts w:eastAsia="Times New Roman" w:cs="Times New Roman"/>
                <w:color w:val="EEECE1" w:themeColor="background2"/>
                <w:spacing w:val="-12"/>
                <w:w w:val="123"/>
                <w:sz w:val="20"/>
                <w:szCs w:val="20"/>
                <w:lang w:val="mk-MK"/>
              </w:rPr>
              <w:t>Шаблон за завршување на заложбите</w:t>
            </w:r>
          </w:p>
        </w:tc>
      </w:tr>
      <w:tr w:rsidR="002F1864" w:rsidTr="002F1864">
        <w:tc>
          <w:tcPr>
            <w:tcW w:w="10710" w:type="dxa"/>
            <w:gridSpan w:val="7"/>
          </w:tcPr>
          <w:p w:rsidR="002F1864" w:rsidRPr="002F1864" w:rsidRDefault="002F1864" w:rsidP="002F1864">
            <w:pPr>
              <w:pStyle w:val="ListParagraph"/>
              <w:numPr>
                <w:ilvl w:val="0"/>
                <w:numId w:val="2"/>
              </w:numPr>
              <w:jc w:val="center"/>
              <w:rPr>
                <w:b/>
                <w:color w:val="262626" w:themeColor="text1" w:themeTint="D9"/>
                <w:lang w:val="mk-MK"/>
              </w:rPr>
            </w:pPr>
            <w:r>
              <w:rPr>
                <w:b/>
                <w:color w:val="262626" w:themeColor="text1" w:themeTint="D9"/>
                <w:lang w:val="mk-MK"/>
              </w:rPr>
              <w:t>Партиципативно креирање на политики</w:t>
            </w:r>
          </w:p>
        </w:tc>
      </w:tr>
      <w:tr w:rsidR="004A0125" w:rsidTr="004A0125">
        <w:tc>
          <w:tcPr>
            <w:tcW w:w="3943" w:type="dxa"/>
            <w:gridSpan w:val="2"/>
          </w:tcPr>
          <w:p w:rsidR="004A0125" w:rsidRPr="00381F72" w:rsidRDefault="004A0125" w:rsidP="00381F72">
            <w:pPr>
              <w:jc w:val="both"/>
              <w:rPr>
                <w:color w:val="878786"/>
                <w:spacing w:val="-6"/>
                <w:w w:val="124"/>
                <w:sz w:val="18"/>
                <w:szCs w:val="18"/>
                <w:lang w:val="mk-MK"/>
              </w:rPr>
            </w:pPr>
            <w:r w:rsidRPr="00381F72">
              <w:rPr>
                <w:color w:val="878786"/>
                <w:spacing w:val="-6"/>
                <w:w w:val="124"/>
                <w:sz w:val="18"/>
                <w:szCs w:val="18"/>
                <w:lang w:val="mk-MK"/>
              </w:rPr>
              <w:t>Водечка агенција за спроведување</w:t>
            </w:r>
          </w:p>
        </w:tc>
        <w:tc>
          <w:tcPr>
            <w:tcW w:w="6767" w:type="dxa"/>
            <w:gridSpan w:val="5"/>
          </w:tcPr>
          <w:p w:rsidR="004A0125" w:rsidRDefault="004A0125" w:rsidP="00C45916">
            <w:pPr>
              <w:rPr>
                <w:rFonts w:eastAsia="Times New Roman" w:cs="Times New Roman"/>
                <w:sz w:val="20"/>
                <w:szCs w:val="20"/>
                <w:lang w:val="mk-MK"/>
              </w:rPr>
            </w:pPr>
            <w:r w:rsidRPr="009913D7">
              <w:rPr>
                <w:rFonts w:eastAsia="Times New Roman" w:cs="Times New Roman"/>
                <w:sz w:val="20"/>
                <w:szCs w:val="20"/>
              </w:rPr>
              <w:t>Министерство за информатичко општество и администрација</w:t>
            </w:r>
            <w:r>
              <w:rPr>
                <w:rFonts w:eastAsia="Times New Roman" w:cs="Times New Roman"/>
                <w:sz w:val="20"/>
                <w:szCs w:val="20"/>
                <w:lang w:val="mk-MK"/>
              </w:rPr>
              <w:t xml:space="preserve"> и </w:t>
            </w:r>
          </w:p>
          <w:p w:rsidR="004A0125" w:rsidRPr="009913D7" w:rsidRDefault="004A0125" w:rsidP="00C45916">
            <w:pPr>
              <w:rPr>
                <w:rFonts w:eastAsia="Times New Roman" w:cs="Times New Roman"/>
                <w:sz w:val="20"/>
                <w:szCs w:val="20"/>
                <w:lang w:val="mk-MK"/>
              </w:rPr>
            </w:pPr>
            <w:r w:rsidRPr="009913D7">
              <w:rPr>
                <w:rFonts w:eastAsia="Times New Roman" w:cs="Times New Roman"/>
                <w:sz w:val="20"/>
                <w:szCs w:val="20"/>
              </w:rPr>
              <w:t xml:space="preserve">Генерален </w:t>
            </w:r>
            <w:r w:rsidRPr="009913D7">
              <w:rPr>
                <w:rFonts w:eastAsia="Times New Roman" w:cs="Times New Roman"/>
                <w:sz w:val="20"/>
                <w:szCs w:val="20"/>
                <w:lang w:val="mk-MK"/>
              </w:rPr>
              <w:t>с</w:t>
            </w:r>
            <w:r w:rsidRPr="009913D7">
              <w:rPr>
                <w:rFonts w:eastAsia="Times New Roman" w:cs="Times New Roman"/>
                <w:sz w:val="20"/>
                <w:szCs w:val="20"/>
              </w:rPr>
              <w:t>екретаријат</w:t>
            </w:r>
            <w:r w:rsidRPr="009913D7">
              <w:rPr>
                <w:rFonts w:eastAsia="Times New Roman" w:cs="Times New Roman"/>
                <w:sz w:val="20"/>
                <w:szCs w:val="20"/>
                <w:lang w:val="mk-MK"/>
              </w:rPr>
              <w:t xml:space="preserve"> на Владата на Република Македонија</w:t>
            </w:r>
          </w:p>
        </w:tc>
      </w:tr>
      <w:tr w:rsidR="004A0125" w:rsidTr="004A0125">
        <w:tc>
          <w:tcPr>
            <w:tcW w:w="3943" w:type="dxa"/>
            <w:gridSpan w:val="2"/>
          </w:tcPr>
          <w:p w:rsidR="004A0125" w:rsidRPr="00381F72" w:rsidRDefault="004A0125" w:rsidP="00381F72">
            <w:pPr>
              <w:jc w:val="both"/>
              <w:rPr>
                <w:color w:val="878786"/>
                <w:spacing w:val="-6"/>
                <w:w w:val="124"/>
                <w:sz w:val="18"/>
                <w:szCs w:val="18"/>
                <w:lang w:val="mk-MK"/>
              </w:rPr>
            </w:pPr>
            <w:r w:rsidRPr="00381F72">
              <w:rPr>
                <w:color w:val="878786"/>
                <w:spacing w:val="-6"/>
                <w:w w:val="124"/>
                <w:sz w:val="18"/>
                <w:szCs w:val="18"/>
                <w:lang w:val="mk-MK"/>
              </w:rPr>
              <w:t>Име на одговорно лице од агенција за спроведување</w:t>
            </w:r>
          </w:p>
        </w:tc>
        <w:tc>
          <w:tcPr>
            <w:tcW w:w="6767" w:type="dxa"/>
            <w:gridSpan w:val="5"/>
          </w:tcPr>
          <w:p w:rsidR="004A0125" w:rsidRPr="009913D7" w:rsidRDefault="004A0125" w:rsidP="00C45916">
            <w:pPr>
              <w:rPr>
                <w:rFonts w:eastAsia="Times New Roman" w:cs="Times New Roman"/>
                <w:sz w:val="20"/>
                <w:szCs w:val="20"/>
                <w:lang w:val="mk-MK"/>
              </w:rPr>
            </w:pPr>
            <w:r w:rsidRPr="009913D7">
              <w:rPr>
                <w:rFonts w:eastAsia="Times New Roman" w:cs="Times New Roman"/>
                <w:sz w:val="20"/>
                <w:szCs w:val="20"/>
                <w:lang w:val="mk-MK"/>
              </w:rPr>
              <w:t>Гордана Гапиќ Димитровска, координатор</w:t>
            </w:r>
          </w:p>
          <w:p w:rsidR="004A0125" w:rsidRPr="009913D7" w:rsidRDefault="004A0125" w:rsidP="00C45916">
            <w:pPr>
              <w:rPr>
                <w:rFonts w:eastAsia="Times New Roman" w:cs="Times New Roman"/>
                <w:sz w:val="20"/>
                <w:szCs w:val="20"/>
                <w:lang w:val="mk-MK"/>
              </w:rPr>
            </w:pPr>
            <w:r w:rsidRPr="009913D7">
              <w:rPr>
                <w:rFonts w:eastAsia="Times New Roman" w:cs="Times New Roman"/>
                <w:sz w:val="20"/>
                <w:szCs w:val="20"/>
                <w:lang w:val="mk-MK"/>
              </w:rPr>
              <w:t>Весна Василева, заменик координатор</w:t>
            </w:r>
          </w:p>
        </w:tc>
      </w:tr>
      <w:tr w:rsidR="004A0125" w:rsidTr="004A0125">
        <w:tc>
          <w:tcPr>
            <w:tcW w:w="3943" w:type="dxa"/>
            <w:gridSpan w:val="2"/>
          </w:tcPr>
          <w:p w:rsidR="004A0125" w:rsidRPr="00381F72" w:rsidRDefault="004A0125" w:rsidP="00381F72">
            <w:pPr>
              <w:jc w:val="both"/>
              <w:rPr>
                <w:color w:val="878786"/>
                <w:spacing w:val="-6"/>
                <w:w w:val="124"/>
                <w:sz w:val="18"/>
                <w:szCs w:val="18"/>
                <w:lang w:val="mk-MK"/>
              </w:rPr>
            </w:pPr>
            <w:r w:rsidRPr="00381F72">
              <w:rPr>
                <w:color w:val="878786"/>
                <w:spacing w:val="-6"/>
                <w:w w:val="124"/>
                <w:sz w:val="18"/>
                <w:szCs w:val="18"/>
                <w:lang w:val="mk-MK"/>
              </w:rPr>
              <w:t>Назив, Одделение</w:t>
            </w:r>
          </w:p>
        </w:tc>
        <w:tc>
          <w:tcPr>
            <w:tcW w:w="6767" w:type="dxa"/>
            <w:gridSpan w:val="5"/>
          </w:tcPr>
          <w:p w:rsidR="004A0125" w:rsidRDefault="004A0125" w:rsidP="00C45916">
            <w:pPr>
              <w:rPr>
                <w:rFonts w:eastAsia="Times New Roman" w:cs="Times New Roman"/>
                <w:sz w:val="20"/>
                <w:szCs w:val="20"/>
                <w:lang w:val="mk-MK"/>
              </w:rPr>
            </w:pPr>
            <w:r>
              <w:rPr>
                <w:rFonts w:eastAsia="Times New Roman" w:cs="Times New Roman"/>
                <w:sz w:val="20"/>
                <w:szCs w:val="20"/>
                <w:lang w:val="mk-MK"/>
              </w:rPr>
              <w:t>Раководител на одделение</w:t>
            </w:r>
          </w:p>
          <w:p w:rsidR="004A0125" w:rsidRPr="009913D7" w:rsidRDefault="004A0125" w:rsidP="00C45916">
            <w:pPr>
              <w:rPr>
                <w:rFonts w:eastAsia="Times New Roman" w:cs="Times New Roman"/>
                <w:sz w:val="20"/>
                <w:szCs w:val="20"/>
                <w:lang w:val="mk-MK"/>
              </w:rPr>
            </w:pPr>
            <w:r w:rsidRPr="009913D7">
              <w:rPr>
                <w:rFonts w:eastAsia="Times New Roman" w:cs="Times New Roman"/>
                <w:sz w:val="20"/>
                <w:szCs w:val="20"/>
                <w:lang w:val="mk-MK"/>
              </w:rPr>
              <w:t>Раководител на одделение</w:t>
            </w:r>
          </w:p>
        </w:tc>
      </w:tr>
      <w:tr w:rsidR="004A0125" w:rsidTr="004A0125">
        <w:tc>
          <w:tcPr>
            <w:tcW w:w="3943" w:type="dxa"/>
            <w:gridSpan w:val="2"/>
          </w:tcPr>
          <w:p w:rsidR="004A0125" w:rsidRPr="00381F72" w:rsidRDefault="004A0125" w:rsidP="00381F72">
            <w:pPr>
              <w:jc w:val="both"/>
              <w:rPr>
                <w:color w:val="878786"/>
                <w:spacing w:val="-6"/>
                <w:w w:val="124"/>
                <w:sz w:val="18"/>
                <w:szCs w:val="18"/>
                <w:lang w:val="mk-MK"/>
              </w:rPr>
            </w:pPr>
            <w:r w:rsidRPr="00381F72">
              <w:rPr>
                <w:color w:val="878786"/>
                <w:spacing w:val="-6"/>
                <w:w w:val="124"/>
                <w:sz w:val="18"/>
                <w:szCs w:val="18"/>
                <w:lang w:val="mk-MK"/>
              </w:rPr>
              <w:t xml:space="preserve">          Е-пошгта</w:t>
            </w:r>
          </w:p>
        </w:tc>
        <w:tc>
          <w:tcPr>
            <w:tcW w:w="6767" w:type="dxa"/>
            <w:gridSpan w:val="5"/>
          </w:tcPr>
          <w:p w:rsidR="004A0125" w:rsidRPr="009913D7" w:rsidRDefault="00FA42AE" w:rsidP="00C45916">
            <w:pPr>
              <w:rPr>
                <w:rFonts w:eastAsia="Times New Roman" w:cs="Times New Roman"/>
                <w:sz w:val="20"/>
                <w:szCs w:val="20"/>
              </w:rPr>
            </w:pPr>
            <w:hyperlink r:id="rId8" w:history="1">
              <w:r w:rsidR="004A0125" w:rsidRPr="009913D7">
                <w:rPr>
                  <w:rFonts w:eastAsia="Times New Roman" w:cs="Times New Roman"/>
                  <w:color w:val="0000FF"/>
                  <w:sz w:val="20"/>
                  <w:szCs w:val="20"/>
                  <w:u w:val="single"/>
                </w:rPr>
                <w:t>gordana.dimitrovska@mioa.gov.mk</w:t>
              </w:r>
            </w:hyperlink>
          </w:p>
          <w:p w:rsidR="004A0125" w:rsidRPr="009913D7" w:rsidRDefault="00FA42AE" w:rsidP="00C45916">
            <w:pPr>
              <w:rPr>
                <w:rFonts w:eastAsia="Times New Roman" w:cs="Times New Roman"/>
                <w:sz w:val="20"/>
                <w:szCs w:val="20"/>
              </w:rPr>
            </w:pPr>
            <w:hyperlink r:id="rId9" w:history="1">
              <w:r w:rsidR="004A0125" w:rsidRPr="009913D7">
                <w:rPr>
                  <w:rFonts w:eastAsia="Times New Roman" w:cs="Times New Roman"/>
                  <w:color w:val="0000FF"/>
                  <w:sz w:val="20"/>
                  <w:szCs w:val="20"/>
                  <w:u w:val="single"/>
                </w:rPr>
                <w:t>Vesna.vasileva@gs.gov.mk</w:t>
              </w:r>
            </w:hyperlink>
          </w:p>
          <w:p w:rsidR="004A0125" w:rsidRPr="009913D7" w:rsidRDefault="004A0125" w:rsidP="00C45916">
            <w:pPr>
              <w:rPr>
                <w:rFonts w:eastAsia="Times New Roman" w:cs="Times New Roman"/>
                <w:sz w:val="20"/>
                <w:szCs w:val="20"/>
              </w:rPr>
            </w:pPr>
          </w:p>
        </w:tc>
      </w:tr>
      <w:tr w:rsidR="004A0125" w:rsidTr="004A0125">
        <w:tc>
          <w:tcPr>
            <w:tcW w:w="3943" w:type="dxa"/>
            <w:gridSpan w:val="2"/>
          </w:tcPr>
          <w:p w:rsidR="004A0125" w:rsidRPr="00381F72" w:rsidRDefault="004A0125" w:rsidP="00381F72">
            <w:pPr>
              <w:jc w:val="both"/>
              <w:rPr>
                <w:color w:val="878786"/>
                <w:spacing w:val="-6"/>
                <w:w w:val="124"/>
                <w:sz w:val="18"/>
                <w:szCs w:val="18"/>
                <w:lang w:val="mk-MK"/>
              </w:rPr>
            </w:pPr>
            <w:r w:rsidRPr="00381F72">
              <w:rPr>
                <w:color w:val="878786"/>
                <w:spacing w:val="-6"/>
                <w:w w:val="124"/>
                <w:sz w:val="18"/>
                <w:szCs w:val="18"/>
                <w:lang w:val="mk-MK"/>
              </w:rPr>
              <w:t>Телефон</w:t>
            </w:r>
          </w:p>
        </w:tc>
        <w:tc>
          <w:tcPr>
            <w:tcW w:w="6767" w:type="dxa"/>
            <w:gridSpan w:val="5"/>
          </w:tcPr>
          <w:p w:rsidR="004A0125" w:rsidRPr="009913D7" w:rsidRDefault="00DD0137" w:rsidP="00C45916">
            <w:pPr>
              <w:rPr>
                <w:rFonts w:eastAsia="Times New Roman" w:cs="Times New Roman"/>
                <w:sz w:val="20"/>
                <w:szCs w:val="20"/>
              </w:rPr>
            </w:pPr>
            <w:r w:rsidRPr="00FD27AF">
              <w:rPr>
                <w:rFonts w:eastAsia="Times New Roman" w:cs="Times New Roman"/>
                <w:sz w:val="20"/>
                <w:szCs w:val="20"/>
              </w:rPr>
              <w:t>+389(0</w:t>
            </w:r>
            <w:r>
              <w:rPr>
                <w:rFonts w:eastAsia="Times New Roman" w:cs="Times New Roman"/>
                <w:sz w:val="20"/>
                <w:szCs w:val="20"/>
                <w:lang w:val="mk-MK"/>
              </w:rPr>
              <w:t>2</w:t>
            </w:r>
            <w:r w:rsidRPr="00FD27AF">
              <w:rPr>
                <w:rFonts w:eastAsia="Times New Roman" w:cs="Times New Roman"/>
                <w:sz w:val="20"/>
                <w:szCs w:val="20"/>
              </w:rPr>
              <w:t>)</w:t>
            </w:r>
            <w:r>
              <w:rPr>
                <w:rFonts w:eastAsia="Times New Roman" w:cs="Times New Roman"/>
                <w:sz w:val="20"/>
                <w:szCs w:val="20"/>
                <w:lang w:val="mk-MK"/>
              </w:rPr>
              <w:t>3</w:t>
            </w:r>
            <w:r w:rsidR="004A0125" w:rsidRPr="009913D7">
              <w:rPr>
                <w:rFonts w:eastAsia="Times New Roman" w:cs="Times New Roman"/>
                <w:sz w:val="20"/>
                <w:szCs w:val="20"/>
              </w:rPr>
              <w:t xml:space="preserve"> 200-944</w:t>
            </w:r>
          </w:p>
          <w:p w:rsidR="004A0125" w:rsidRPr="009913D7" w:rsidRDefault="00DD0137" w:rsidP="00DD0137">
            <w:pPr>
              <w:rPr>
                <w:rFonts w:eastAsia="Times New Roman" w:cs="Times New Roman"/>
                <w:sz w:val="20"/>
                <w:szCs w:val="20"/>
              </w:rPr>
            </w:pPr>
            <w:r w:rsidRPr="00FD27AF">
              <w:rPr>
                <w:rFonts w:eastAsia="Times New Roman" w:cs="Times New Roman"/>
                <w:sz w:val="20"/>
                <w:szCs w:val="20"/>
              </w:rPr>
              <w:t>+389(0</w:t>
            </w:r>
            <w:r>
              <w:rPr>
                <w:rFonts w:eastAsia="Times New Roman" w:cs="Times New Roman"/>
                <w:sz w:val="20"/>
                <w:szCs w:val="20"/>
                <w:lang w:val="mk-MK"/>
              </w:rPr>
              <w:t>2</w:t>
            </w:r>
            <w:r w:rsidRPr="00FD27AF">
              <w:rPr>
                <w:rFonts w:eastAsia="Times New Roman" w:cs="Times New Roman"/>
                <w:sz w:val="20"/>
                <w:szCs w:val="20"/>
              </w:rPr>
              <w:t>)</w:t>
            </w:r>
            <w:r>
              <w:rPr>
                <w:rFonts w:eastAsia="Times New Roman" w:cs="Times New Roman"/>
                <w:sz w:val="20"/>
                <w:szCs w:val="20"/>
                <w:lang w:val="mk-MK"/>
              </w:rPr>
              <w:t>3</w:t>
            </w:r>
            <w:r w:rsidR="004A0125" w:rsidRPr="009913D7">
              <w:rPr>
                <w:rFonts w:eastAsia="Times New Roman" w:cs="Times New Roman"/>
                <w:sz w:val="20"/>
                <w:szCs w:val="20"/>
              </w:rPr>
              <w:t>3118-022</w:t>
            </w:r>
          </w:p>
        </w:tc>
      </w:tr>
      <w:tr w:rsidR="00C45916" w:rsidTr="004A0125">
        <w:trPr>
          <w:trHeight w:val="486"/>
        </w:trPr>
        <w:tc>
          <w:tcPr>
            <w:tcW w:w="1803" w:type="dxa"/>
            <w:vMerge w:val="restart"/>
          </w:tcPr>
          <w:p w:rsidR="00C45916" w:rsidRPr="00381F72" w:rsidRDefault="00C45916" w:rsidP="00381F72">
            <w:pPr>
              <w:jc w:val="both"/>
              <w:rPr>
                <w:color w:val="878786"/>
                <w:spacing w:val="-6"/>
                <w:w w:val="124"/>
                <w:sz w:val="18"/>
                <w:szCs w:val="18"/>
                <w:lang w:val="mk-MK"/>
              </w:rPr>
            </w:pPr>
            <w:r w:rsidRPr="00381F72">
              <w:rPr>
                <w:color w:val="878786"/>
                <w:spacing w:val="-6"/>
                <w:w w:val="124"/>
                <w:sz w:val="18"/>
                <w:szCs w:val="18"/>
                <w:lang w:val="mk-MK"/>
              </w:rPr>
              <w:t xml:space="preserve">          Други</w:t>
            </w:r>
          </w:p>
          <w:p w:rsidR="00C45916" w:rsidRPr="00381F72" w:rsidRDefault="00C45916" w:rsidP="00381F72">
            <w:pPr>
              <w:pStyle w:val="ListParagraph"/>
              <w:ind w:left="360"/>
              <w:jc w:val="both"/>
              <w:rPr>
                <w:color w:val="878786"/>
                <w:spacing w:val="-6"/>
                <w:w w:val="124"/>
                <w:sz w:val="18"/>
                <w:szCs w:val="18"/>
                <w:lang w:val="mk-MK"/>
              </w:rPr>
            </w:pPr>
            <w:r w:rsidRPr="00381F72">
              <w:rPr>
                <w:color w:val="878786"/>
                <w:spacing w:val="-6"/>
                <w:w w:val="124"/>
                <w:sz w:val="18"/>
                <w:szCs w:val="18"/>
                <w:lang w:val="mk-MK"/>
              </w:rPr>
              <w:t>Инволвирани учесници</w:t>
            </w:r>
          </w:p>
          <w:p w:rsidR="00C45916" w:rsidRPr="00381F72" w:rsidRDefault="00C45916" w:rsidP="00381F72">
            <w:pPr>
              <w:pStyle w:val="ListParagraph"/>
              <w:ind w:left="360"/>
              <w:jc w:val="both"/>
              <w:rPr>
                <w:color w:val="878786"/>
                <w:spacing w:val="-6"/>
                <w:w w:val="124"/>
                <w:sz w:val="18"/>
                <w:szCs w:val="18"/>
                <w:lang w:val="mk-MK"/>
              </w:rPr>
            </w:pPr>
          </w:p>
          <w:p w:rsidR="00C45916" w:rsidRPr="00381F72" w:rsidRDefault="00C45916" w:rsidP="00381F72">
            <w:pPr>
              <w:pStyle w:val="ListParagraph"/>
              <w:ind w:left="360"/>
              <w:jc w:val="both"/>
              <w:rPr>
                <w:color w:val="878786"/>
                <w:spacing w:val="-6"/>
                <w:w w:val="124"/>
                <w:sz w:val="18"/>
                <w:szCs w:val="18"/>
                <w:lang w:val="mk-MK"/>
              </w:rPr>
            </w:pPr>
          </w:p>
        </w:tc>
        <w:tc>
          <w:tcPr>
            <w:tcW w:w="2140" w:type="dxa"/>
          </w:tcPr>
          <w:p w:rsidR="00C45916" w:rsidRPr="009913D7" w:rsidRDefault="00C45916" w:rsidP="004A0125">
            <w:pPr>
              <w:rPr>
                <w:rFonts w:eastAsia="Times New Roman" w:cs="Times New Roman"/>
                <w:sz w:val="20"/>
                <w:szCs w:val="20"/>
                <w:lang w:val="mk-MK"/>
              </w:rPr>
            </w:pPr>
            <w:r>
              <w:rPr>
                <w:color w:val="878786"/>
                <w:spacing w:val="-6"/>
                <w:w w:val="124"/>
                <w:sz w:val="18"/>
                <w:szCs w:val="18"/>
                <w:lang w:val="mk-MK"/>
              </w:rPr>
              <w:t>Влада</w:t>
            </w:r>
          </w:p>
        </w:tc>
        <w:tc>
          <w:tcPr>
            <w:tcW w:w="6767" w:type="dxa"/>
            <w:gridSpan w:val="5"/>
          </w:tcPr>
          <w:p w:rsidR="00C45916" w:rsidRPr="009913D7" w:rsidRDefault="00C45916" w:rsidP="00C45916">
            <w:pPr>
              <w:rPr>
                <w:rFonts w:eastAsia="Times New Roman" w:cs="Times New Roman"/>
                <w:sz w:val="20"/>
                <w:szCs w:val="20"/>
              </w:rPr>
            </w:pPr>
            <w:r w:rsidRPr="009913D7">
              <w:rPr>
                <w:rFonts w:eastAsia="Times New Roman" w:cs="Times New Roman"/>
                <w:sz w:val="20"/>
                <w:szCs w:val="20"/>
              </w:rPr>
              <w:t xml:space="preserve">Министерство за информатичко општество и администрација и </w:t>
            </w:r>
          </w:p>
          <w:p w:rsidR="00C45916" w:rsidRPr="009913D7" w:rsidRDefault="00C45916" w:rsidP="00C45916">
            <w:pPr>
              <w:rPr>
                <w:rFonts w:eastAsia="Times New Roman" w:cs="Times New Roman"/>
                <w:sz w:val="20"/>
                <w:szCs w:val="20"/>
                <w:lang w:val="mk-MK"/>
              </w:rPr>
            </w:pPr>
            <w:r w:rsidRPr="009913D7">
              <w:rPr>
                <w:rFonts w:eastAsia="Times New Roman" w:cs="Times New Roman"/>
                <w:sz w:val="20"/>
                <w:szCs w:val="20"/>
              </w:rPr>
              <w:t xml:space="preserve">Генерален </w:t>
            </w:r>
            <w:r w:rsidRPr="009913D7">
              <w:rPr>
                <w:rFonts w:eastAsia="Times New Roman" w:cs="Times New Roman"/>
                <w:sz w:val="20"/>
                <w:szCs w:val="20"/>
                <w:lang w:val="mk-MK"/>
              </w:rPr>
              <w:t>с</w:t>
            </w:r>
            <w:r w:rsidRPr="009913D7">
              <w:rPr>
                <w:rFonts w:eastAsia="Times New Roman" w:cs="Times New Roman"/>
                <w:sz w:val="20"/>
                <w:szCs w:val="20"/>
              </w:rPr>
              <w:t>екретаријат</w:t>
            </w:r>
            <w:r w:rsidRPr="009913D7">
              <w:rPr>
                <w:rFonts w:eastAsia="Times New Roman" w:cs="Times New Roman"/>
                <w:sz w:val="20"/>
                <w:szCs w:val="20"/>
                <w:lang w:val="mk-MK"/>
              </w:rPr>
              <w:t xml:space="preserve"> на Владата на Република Македонија</w:t>
            </w:r>
          </w:p>
        </w:tc>
      </w:tr>
      <w:tr w:rsidR="00C45916" w:rsidTr="004A0125">
        <w:trPr>
          <w:trHeight w:val="625"/>
        </w:trPr>
        <w:tc>
          <w:tcPr>
            <w:tcW w:w="1803" w:type="dxa"/>
            <w:vMerge/>
          </w:tcPr>
          <w:p w:rsidR="00C45916" w:rsidRPr="00381F72" w:rsidRDefault="00C45916" w:rsidP="00381F72">
            <w:pPr>
              <w:jc w:val="both"/>
              <w:rPr>
                <w:color w:val="878786"/>
                <w:spacing w:val="-6"/>
                <w:w w:val="124"/>
                <w:sz w:val="18"/>
                <w:szCs w:val="18"/>
                <w:lang w:val="mk-MK"/>
              </w:rPr>
            </w:pPr>
          </w:p>
        </w:tc>
        <w:tc>
          <w:tcPr>
            <w:tcW w:w="2140" w:type="dxa"/>
          </w:tcPr>
          <w:p w:rsidR="00C45916" w:rsidRPr="00381F72" w:rsidRDefault="00C45916" w:rsidP="00381F72">
            <w:pPr>
              <w:pStyle w:val="ListParagraph"/>
              <w:ind w:left="0"/>
              <w:jc w:val="both"/>
              <w:rPr>
                <w:color w:val="878786"/>
                <w:spacing w:val="-6"/>
                <w:w w:val="124"/>
                <w:sz w:val="18"/>
                <w:szCs w:val="18"/>
                <w:lang w:val="mk-MK"/>
              </w:rPr>
            </w:pPr>
            <w:r w:rsidRPr="00381F72">
              <w:rPr>
                <w:color w:val="878786"/>
                <w:spacing w:val="-6"/>
                <w:w w:val="124"/>
                <w:sz w:val="18"/>
                <w:szCs w:val="18"/>
                <w:lang w:val="mk-MK"/>
              </w:rPr>
              <w:t xml:space="preserve">ЦСО, приватен сектор,работни групи,мултилатерали  </w:t>
            </w:r>
          </w:p>
        </w:tc>
        <w:tc>
          <w:tcPr>
            <w:tcW w:w="6767" w:type="dxa"/>
            <w:gridSpan w:val="5"/>
          </w:tcPr>
          <w:p w:rsidR="00C45916" w:rsidRPr="009913D7" w:rsidRDefault="00C45916" w:rsidP="00C45916">
            <w:pPr>
              <w:rPr>
                <w:rFonts w:eastAsia="Times New Roman" w:cs="Times New Roman"/>
                <w:sz w:val="20"/>
                <w:szCs w:val="20"/>
              </w:rPr>
            </w:pPr>
            <w:r w:rsidRPr="009913D7">
              <w:rPr>
                <w:rFonts w:eastAsia="Times New Roman" w:cs="Times New Roman"/>
                <w:sz w:val="20"/>
                <w:szCs w:val="20"/>
              </w:rPr>
              <w:t>Македонски центар за меѓународна соработка (МЦМС), Центар за истражување и креирање политики (ЦИКП), Центар за управување со промени (ЦУП), ЕКО-СВЕСТ, Институт за развој на заедницата (ИРЗ), ИРЕС,Биосфера - Битола, Бујрум –Тетово,  Центар за рурален развој – Куманово, Центар за европски развој и интеграција – Битола (ЦЕРИ), Институт за економски стратегии и меѓународни односи Охрид, Скопје</w:t>
            </w:r>
          </w:p>
        </w:tc>
      </w:tr>
      <w:tr w:rsidR="00C45916" w:rsidTr="004A0125">
        <w:tc>
          <w:tcPr>
            <w:tcW w:w="3943" w:type="dxa"/>
            <w:gridSpan w:val="2"/>
          </w:tcPr>
          <w:p w:rsidR="00C45916" w:rsidRPr="00381F72" w:rsidRDefault="00C45916" w:rsidP="00381F72">
            <w:pPr>
              <w:jc w:val="both"/>
              <w:rPr>
                <w:color w:val="878786"/>
                <w:spacing w:val="-6"/>
                <w:w w:val="124"/>
                <w:sz w:val="18"/>
                <w:szCs w:val="18"/>
                <w:lang w:val="mk-MK"/>
              </w:rPr>
            </w:pPr>
            <w:r w:rsidRPr="00381F72">
              <w:rPr>
                <w:color w:val="878786"/>
                <w:spacing w:val="-6"/>
                <w:w w:val="124"/>
                <w:sz w:val="18"/>
                <w:szCs w:val="18"/>
                <w:lang w:val="mk-MK"/>
              </w:rPr>
              <w:t>Главна цел</w:t>
            </w:r>
          </w:p>
        </w:tc>
        <w:tc>
          <w:tcPr>
            <w:tcW w:w="6767" w:type="dxa"/>
            <w:gridSpan w:val="5"/>
          </w:tcPr>
          <w:p w:rsidR="00C45916" w:rsidRPr="009913D7" w:rsidRDefault="00C45916" w:rsidP="00C45916">
            <w:pPr>
              <w:rPr>
                <w:rFonts w:eastAsia="Times New Roman" w:cs="Times New Roman"/>
                <w:sz w:val="20"/>
                <w:szCs w:val="20"/>
              </w:rPr>
            </w:pPr>
            <w:r w:rsidRPr="009913D7">
              <w:rPr>
                <w:rFonts w:eastAsia="Times New Roman" w:cs="Times New Roman"/>
                <w:sz w:val="20"/>
                <w:szCs w:val="20"/>
              </w:rPr>
              <w:t>Афирмирање и унапредување на воспоставените практики за партиципативно креирање на политиги поддржано од владиниот и јавниот сектор.</w:t>
            </w:r>
          </w:p>
        </w:tc>
      </w:tr>
      <w:tr w:rsidR="00C45916" w:rsidTr="004A0125">
        <w:tc>
          <w:tcPr>
            <w:tcW w:w="3943" w:type="dxa"/>
            <w:gridSpan w:val="2"/>
          </w:tcPr>
          <w:p w:rsidR="00C45916" w:rsidRPr="00381F72" w:rsidRDefault="00C45916" w:rsidP="00381F72">
            <w:pPr>
              <w:jc w:val="both"/>
              <w:rPr>
                <w:color w:val="878786"/>
                <w:spacing w:val="-6"/>
                <w:w w:val="124"/>
                <w:sz w:val="18"/>
                <w:szCs w:val="18"/>
                <w:lang w:val="mk-MK"/>
              </w:rPr>
            </w:pPr>
            <w:r w:rsidRPr="00381F72">
              <w:rPr>
                <w:color w:val="878786"/>
                <w:spacing w:val="-6"/>
                <w:w w:val="124"/>
                <w:sz w:val="18"/>
                <w:szCs w:val="18"/>
                <w:lang w:val="mk-MK"/>
              </w:rPr>
              <w:t>Краток опис на заложбата (макс 140 карактери)</w:t>
            </w:r>
          </w:p>
        </w:tc>
        <w:tc>
          <w:tcPr>
            <w:tcW w:w="6767" w:type="dxa"/>
            <w:gridSpan w:val="5"/>
          </w:tcPr>
          <w:p w:rsidR="00C45916" w:rsidRPr="009913D7" w:rsidRDefault="00C45916" w:rsidP="00C45916">
            <w:pPr>
              <w:rPr>
                <w:rFonts w:eastAsia="Times New Roman" w:cs="Times New Roman"/>
                <w:sz w:val="20"/>
                <w:szCs w:val="20"/>
              </w:rPr>
            </w:pPr>
            <w:r w:rsidRPr="009913D7">
              <w:rPr>
                <w:rFonts w:eastAsia="Times New Roman" w:cs="Times New Roman"/>
                <w:sz w:val="20"/>
                <w:szCs w:val="20"/>
              </w:rPr>
              <w:t>Jакнењето на односите помеѓу Владата и невладиниот сектор е клучно начело за добро владеење и преставува неопходна инвестиција во процесот на креирање квалитетни политики.</w:t>
            </w:r>
          </w:p>
        </w:tc>
      </w:tr>
      <w:tr w:rsidR="00C45916" w:rsidTr="004A0125">
        <w:tc>
          <w:tcPr>
            <w:tcW w:w="3943" w:type="dxa"/>
            <w:gridSpan w:val="2"/>
          </w:tcPr>
          <w:p w:rsidR="00C45916" w:rsidRPr="00381F72" w:rsidRDefault="00C45916" w:rsidP="00381F72">
            <w:pPr>
              <w:jc w:val="both"/>
              <w:rPr>
                <w:color w:val="878786"/>
                <w:spacing w:val="-6"/>
                <w:w w:val="124"/>
                <w:sz w:val="18"/>
                <w:szCs w:val="18"/>
                <w:lang w:val="mk-MK"/>
              </w:rPr>
            </w:pPr>
            <w:r w:rsidRPr="00381F72">
              <w:rPr>
                <w:color w:val="878786"/>
                <w:spacing w:val="-6"/>
                <w:w w:val="124"/>
                <w:sz w:val="18"/>
                <w:szCs w:val="18"/>
                <w:lang w:val="mk-MK"/>
              </w:rPr>
              <w:t>Релевантност</w:t>
            </w:r>
          </w:p>
          <w:p w:rsidR="00C45916" w:rsidRPr="00381F72" w:rsidRDefault="00C45916" w:rsidP="00381F72">
            <w:pPr>
              <w:jc w:val="both"/>
              <w:rPr>
                <w:color w:val="878786"/>
                <w:spacing w:val="-6"/>
                <w:w w:val="124"/>
                <w:sz w:val="18"/>
                <w:szCs w:val="18"/>
                <w:lang w:val="mk-MK"/>
              </w:rPr>
            </w:pPr>
            <w:r w:rsidRPr="00381F72">
              <w:rPr>
                <w:color w:val="878786"/>
                <w:spacing w:val="-6"/>
                <w:w w:val="124"/>
                <w:sz w:val="18"/>
                <w:szCs w:val="18"/>
                <w:lang w:val="mk-MK"/>
              </w:rPr>
              <w:t>Накратко опишете го начинот на кој оваа заложба е релевантна за понатамошно унапредување на вредностите на ОВП,</w:t>
            </w:r>
          </w:p>
          <w:p w:rsidR="00C45916" w:rsidRPr="00381F72" w:rsidRDefault="00C45916" w:rsidP="00381F72">
            <w:pPr>
              <w:pStyle w:val="ListParagraph"/>
              <w:ind w:left="0"/>
              <w:jc w:val="both"/>
              <w:rPr>
                <w:color w:val="878786"/>
                <w:spacing w:val="-6"/>
                <w:w w:val="124"/>
                <w:sz w:val="18"/>
                <w:szCs w:val="18"/>
                <w:lang w:val="mk-MK"/>
              </w:rPr>
            </w:pPr>
            <w:r w:rsidRPr="00381F72">
              <w:rPr>
                <w:color w:val="878786"/>
                <w:spacing w:val="-6"/>
                <w:w w:val="124"/>
                <w:sz w:val="18"/>
                <w:szCs w:val="18"/>
                <w:lang w:val="mk-MK"/>
              </w:rPr>
              <w:t>на пристап до информации, јавна одговорност, граѓанско учество, и технологија и иновации за отвореност и одговорност. (Детален опис на овие вредности е достапна во Забелешка за насоки во врска со Извештајот за ОВП)</w:t>
            </w:r>
          </w:p>
        </w:tc>
        <w:tc>
          <w:tcPr>
            <w:tcW w:w="6767" w:type="dxa"/>
            <w:gridSpan w:val="5"/>
          </w:tcPr>
          <w:p w:rsidR="00C45916" w:rsidRPr="009913D7" w:rsidRDefault="00C45916" w:rsidP="00C45916">
            <w:pPr>
              <w:rPr>
                <w:rFonts w:eastAsia="Times New Roman" w:cs="Times New Roman"/>
                <w:sz w:val="20"/>
                <w:szCs w:val="20"/>
                <w:lang w:val="mk-MK"/>
              </w:rPr>
            </w:pPr>
            <w:r w:rsidRPr="009913D7">
              <w:rPr>
                <w:rFonts w:eastAsia="Times New Roman" w:cs="Times New Roman"/>
                <w:sz w:val="20"/>
                <w:szCs w:val="20"/>
              </w:rPr>
              <w:t xml:space="preserve">Оваа заложбата содржи 10 проверливи и мерливи мерки кои овозможуваат унапредување на процесот на партиципативно креирање на политики. </w:t>
            </w:r>
          </w:p>
          <w:p w:rsidR="00C45916" w:rsidRPr="009913D7" w:rsidRDefault="00C45916" w:rsidP="00C45916">
            <w:pPr>
              <w:jc w:val="both"/>
              <w:rPr>
                <w:rFonts w:eastAsia="Times New Roman" w:cs="Times New Roman"/>
                <w:sz w:val="20"/>
                <w:szCs w:val="20"/>
                <w:lang w:val="mk-MK"/>
              </w:rPr>
            </w:pPr>
            <w:r w:rsidRPr="009913D7">
              <w:rPr>
                <w:rFonts w:eastAsia="Times New Roman" w:cs="Times New Roman"/>
                <w:sz w:val="20"/>
                <w:szCs w:val="20"/>
              </w:rPr>
              <w:t xml:space="preserve">Jакнењето на односите помеѓу Владата и невладиниот сектор е клучно начело за добро владеење и преставува неопходна инвестиција во процесот на креирање квалитетни политики. Преку учеството на засегнатите страни, Владата има пристап до нови извори на идеи, информации и ресурси кои се важни во процесот на креирање на политики и донесување на одлуки. </w:t>
            </w:r>
          </w:p>
          <w:p w:rsidR="00C45916" w:rsidRPr="009913D7" w:rsidRDefault="00C45916" w:rsidP="00C45916">
            <w:pPr>
              <w:jc w:val="both"/>
              <w:rPr>
                <w:rFonts w:eastAsia="Times New Roman" w:cs="Times New Roman"/>
                <w:sz w:val="20"/>
                <w:szCs w:val="20"/>
              </w:rPr>
            </w:pPr>
            <w:r w:rsidRPr="009913D7">
              <w:rPr>
                <w:rFonts w:eastAsia="Times New Roman" w:cs="Times New Roman"/>
                <w:sz w:val="20"/>
                <w:szCs w:val="20"/>
              </w:rPr>
              <w:t xml:space="preserve">Афирмирањето и унапредувањето на воспоставените практики и процедури за креирање на политики поддржани од владиниот и јавниот сектор </w:t>
            </w:r>
            <w:r w:rsidRPr="009913D7">
              <w:rPr>
                <w:rFonts w:eastAsia="Times New Roman" w:cs="Times New Roman"/>
                <w:sz w:val="20"/>
                <w:szCs w:val="20"/>
                <w:lang w:val="mk-MK"/>
              </w:rPr>
              <w:t>претставуваат</w:t>
            </w:r>
            <w:r w:rsidRPr="009913D7">
              <w:rPr>
                <w:rFonts w:eastAsia="Times New Roman" w:cs="Times New Roman"/>
                <w:sz w:val="20"/>
                <w:szCs w:val="20"/>
              </w:rPr>
              <w:t xml:space="preserve"> основа за унапредување на транспарентноста и одговорноста на Владат</w:t>
            </w:r>
            <w:r w:rsidRPr="009913D7">
              <w:rPr>
                <w:rFonts w:eastAsia="Times New Roman" w:cs="Times New Roman"/>
                <w:sz w:val="20"/>
                <w:szCs w:val="20"/>
                <w:lang w:val="mk-MK"/>
              </w:rPr>
              <w:t>а</w:t>
            </w:r>
            <w:r w:rsidRPr="009913D7">
              <w:rPr>
                <w:rFonts w:eastAsia="Times New Roman" w:cs="Times New Roman"/>
                <w:sz w:val="20"/>
                <w:szCs w:val="20"/>
              </w:rPr>
              <w:t xml:space="preserve"> пред јавноста. Исто така информатичката технологија која </w:t>
            </w:r>
            <w:r w:rsidRPr="009913D7">
              <w:rPr>
                <w:rFonts w:eastAsia="Times New Roman" w:cs="Times New Roman"/>
                <w:sz w:val="20"/>
                <w:szCs w:val="20"/>
                <w:lang w:val="mk-MK"/>
              </w:rPr>
              <w:t>гиподдржува</w:t>
            </w:r>
            <w:r w:rsidRPr="009913D7">
              <w:rPr>
                <w:rFonts w:eastAsia="Times New Roman" w:cs="Times New Roman"/>
                <w:sz w:val="20"/>
                <w:szCs w:val="20"/>
              </w:rPr>
              <w:t xml:space="preserve"> воспоставениот </w:t>
            </w:r>
            <w:r w:rsidRPr="009913D7">
              <w:rPr>
                <w:rFonts w:eastAsia="Times New Roman" w:cs="Times New Roman"/>
                <w:sz w:val="20"/>
                <w:szCs w:val="20"/>
                <w:lang w:val="mk-MK"/>
              </w:rPr>
              <w:t>процедури</w:t>
            </w:r>
            <w:r w:rsidRPr="009913D7">
              <w:rPr>
                <w:rFonts w:eastAsia="Times New Roman" w:cs="Times New Roman"/>
                <w:sz w:val="20"/>
                <w:szCs w:val="20"/>
              </w:rPr>
              <w:t xml:space="preserve"> на креирање на политики овозможува поголема отвореност, навременост и одговорност</w:t>
            </w:r>
            <w:r w:rsidRPr="009913D7">
              <w:rPr>
                <w:rFonts w:eastAsia="Times New Roman" w:cs="Times New Roman"/>
                <w:sz w:val="20"/>
                <w:szCs w:val="20"/>
                <w:lang w:val="mk-MK"/>
              </w:rPr>
              <w:t xml:space="preserve"> на јавниот сектор</w:t>
            </w:r>
            <w:r w:rsidRPr="009913D7">
              <w:rPr>
                <w:rFonts w:eastAsia="Times New Roman" w:cs="Times New Roman"/>
                <w:sz w:val="20"/>
                <w:szCs w:val="20"/>
              </w:rPr>
              <w:t xml:space="preserve">. </w:t>
            </w:r>
          </w:p>
          <w:p w:rsidR="00C45916" w:rsidRPr="009913D7" w:rsidRDefault="00C45916" w:rsidP="00C45916">
            <w:pPr>
              <w:jc w:val="both"/>
              <w:rPr>
                <w:rFonts w:eastAsia="Times New Roman" w:cs="Times New Roman"/>
                <w:sz w:val="20"/>
                <w:szCs w:val="20"/>
              </w:rPr>
            </w:pPr>
          </w:p>
        </w:tc>
      </w:tr>
      <w:tr w:rsidR="00C45916" w:rsidTr="004A0125">
        <w:tc>
          <w:tcPr>
            <w:tcW w:w="3943" w:type="dxa"/>
            <w:gridSpan w:val="2"/>
            <w:tcBorders>
              <w:bottom w:val="single" w:sz="4" w:space="0" w:color="auto"/>
            </w:tcBorders>
          </w:tcPr>
          <w:p w:rsidR="00C45916" w:rsidRPr="00381F72" w:rsidRDefault="00C45916" w:rsidP="00381F72">
            <w:pPr>
              <w:jc w:val="both"/>
              <w:rPr>
                <w:color w:val="878786"/>
                <w:spacing w:val="-6"/>
                <w:w w:val="124"/>
                <w:sz w:val="18"/>
                <w:szCs w:val="18"/>
                <w:lang w:val="mk-MK"/>
              </w:rPr>
            </w:pPr>
            <w:r w:rsidRPr="00381F72">
              <w:rPr>
                <w:color w:val="878786"/>
                <w:spacing w:val="-6"/>
                <w:w w:val="124"/>
                <w:sz w:val="18"/>
                <w:szCs w:val="18"/>
                <w:lang w:val="mk-MK"/>
              </w:rPr>
              <w:t>Амбиција</w:t>
            </w:r>
          </w:p>
          <w:p w:rsidR="00C45916" w:rsidRPr="00381F72" w:rsidRDefault="00C45916" w:rsidP="00381F72">
            <w:pPr>
              <w:pStyle w:val="ListParagraph"/>
              <w:ind w:left="0"/>
              <w:jc w:val="both"/>
              <w:rPr>
                <w:color w:val="878786"/>
                <w:spacing w:val="-6"/>
                <w:w w:val="124"/>
                <w:sz w:val="18"/>
                <w:szCs w:val="18"/>
                <w:lang w:val="mk-MK"/>
              </w:rPr>
            </w:pPr>
            <w:r w:rsidRPr="00381F72">
              <w:rPr>
                <w:color w:val="878786"/>
                <w:spacing w:val="-6"/>
                <w:w w:val="124"/>
                <w:sz w:val="18"/>
                <w:szCs w:val="18"/>
                <w:lang w:val="mk-MK"/>
              </w:rPr>
              <w:t xml:space="preserve">Накратко опишете ги планираните </w:t>
            </w:r>
            <w:r w:rsidRPr="00381F72">
              <w:rPr>
                <w:color w:val="878786"/>
                <w:spacing w:val="-6"/>
                <w:w w:val="124"/>
                <w:sz w:val="18"/>
                <w:szCs w:val="18"/>
                <w:lang w:val="mk-MK"/>
              </w:rPr>
              <w:lastRenderedPageBreak/>
              <w:t>резултати за политика на посветеност и тоа како таа или ќе ја направи владата поотворена или ќе ја подобри Владата преку поголема отвореност.</w:t>
            </w:r>
          </w:p>
        </w:tc>
        <w:tc>
          <w:tcPr>
            <w:tcW w:w="6767" w:type="dxa"/>
            <w:gridSpan w:val="5"/>
            <w:tcBorders>
              <w:bottom w:val="single" w:sz="4" w:space="0" w:color="auto"/>
            </w:tcBorders>
          </w:tcPr>
          <w:p w:rsidR="00C45916" w:rsidRPr="009913D7" w:rsidRDefault="00C45916" w:rsidP="00C45916">
            <w:pPr>
              <w:jc w:val="both"/>
              <w:rPr>
                <w:rFonts w:eastAsia="Times New Roman" w:cs="Times New Roman"/>
                <w:sz w:val="20"/>
                <w:szCs w:val="20"/>
              </w:rPr>
            </w:pPr>
            <w:r w:rsidRPr="009913D7">
              <w:rPr>
                <w:rFonts w:eastAsia="Times New Roman" w:cs="Times New Roman"/>
                <w:sz w:val="20"/>
                <w:szCs w:val="20"/>
              </w:rPr>
              <w:lastRenderedPageBreak/>
              <w:t xml:space="preserve">Еден од најзначајните сегменти на транспарентно владеење е соработката со заинтересираните страни во процесот на  креирањето на политиките, </w:t>
            </w:r>
            <w:r w:rsidRPr="009913D7">
              <w:rPr>
                <w:rFonts w:eastAsia="Times New Roman" w:cs="Times New Roman"/>
                <w:sz w:val="20"/>
                <w:szCs w:val="20"/>
              </w:rPr>
              <w:lastRenderedPageBreak/>
              <w:t>градење на партнерски однос  и преземање на неопходните мерки со цел стимулирање и зајакнување на нивното учество.</w:t>
            </w:r>
          </w:p>
          <w:p w:rsidR="00C45916" w:rsidRPr="009913D7" w:rsidRDefault="00C45916" w:rsidP="00C45916">
            <w:pPr>
              <w:jc w:val="both"/>
              <w:rPr>
                <w:rFonts w:eastAsia="Times New Roman" w:cs="Times New Roman"/>
                <w:sz w:val="20"/>
                <w:szCs w:val="20"/>
              </w:rPr>
            </w:pPr>
            <w:r w:rsidRPr="009913D7">
              <w:rPr>
                <w:rFonts w:eastAsia="Times New Roman" w:cs="Times New Roman"/>
                <w:sz w:val="20"/>
                <w:szCs w:val="20"/>
              </w:rPr>
              <w:t xml:space="preserve">Консултациите придонесуваат кон градење на меѓусебната доверба, развивање на квалитетот на демократијата и јакнење на капацитетите на невладиниот сектор. </w:t>
            </w:r>
          </w:p>
          <w:p w:rsidR="00C45916" w:rsidRPr="009913D7" w:rsidRDefault="00C45916" w:rsidP="00C45916">
            <w:pPr>
              <w:jc w:val="both"/>
              <w:rPr>
                <w:rFonts w:eastAsia="Times New Roman" w:cs="Times New Roman"/>
                <w:sz w:val="20"/>
                <w:szCs w:val="20"/>
              </w:rPr>
            </w:pPr>
            <w:r w:rsidRPr="009913D7">
              <w:rPr>
                <w:rFonts w:eastAsia="Times New Roman" w:cs="Times New Roman"/>
                <w:sz w:val="20"/>
                <w:szCs w:val="20"/>
              </w:rPr>
              <w:t>Преку усовршување на порталот Единствениот национален електронски регистар на прописи (ЕНЕР) и оптимизација на процесот на консултација со јавноста, објавување на резултатите од независното следење на отвореноста на Владини институции во процесите на креирање политики и подготовка на закони од страна на невладина организација, градење на капацитетите на граѓанските организации за мониторинг на спроведувањето на политиките имаат за цел да се унапреди  јавно приватниот дијалог и да обезбеди  поголемо учество на граѓанските организации во процесот на креирање на Владините политики.</w:t>
            </w:r>
          </w:p>
          <w:p w:rsidR="00C45916" w:rsidRPr="009913D7" w:rsidRDefault="00C45916" w:rsidP="00C45916">
            <w:pPr>
              <w:rPr>
                <w:rFonts w:eastAsia="Times New Roman" w:cs="Times New Roman"/>
                <w:sz w:val="20"/>
                <w:szCs w:val="20"/>
                <w:lang w:val="mk-MK"/>
              </w:rPr>
            </w:pPr>
          </w:p>
          <w:p w:rsidR="00C45916" w:rsidRPr="009913D7" w:rsidRDefault="00C45916" w:rsidP="00C45916">
            <w:pPr>
              <w:rPr>
                <w:rFonts w:eastAsia="Times New Roman" w:cs="Times New Roman"/>
                <w:sz w:val="20"/>
                <w:szCs w:val="20"/>
              </w:rPr>
            </w:pPr>
          </w:p>
          <w:p w:rsidR="00C45916" w:rsidRPr="009913D7" w:rsidRDefault="00C45916" w:rsidP="00C45916">
            <w:pPr>
              <w:jc w:val="both"/>
              <w:rPr>
                <w:rFonts w:eastAsia="Times New Roman" w:cs="Times New Roman"/>
                <w:sz w:val="20"/>
                <w:szCs w:val="20"/>
                <w:lang w:val="mk-MK"/>
              </w:rPr>
            </w:pPr>
          </w:p>
        </w:tc>
      </w:tr>
      <w:tr w:rsidR="00C45916" w:rsidTr="00A21C16">
        <w:tc>
          <w:tcPr>
            <w:tcW w:w="10710" w:type="dxa"/>
            <w:gridSpan w:val="7"/>
            <w:shd w:val="clear" w:color="auto" w:fill="BFBFBF" w:themeFill="background1" w:themeFillShade="BF"/>
          </w:tcPr>
          <w:p w:rsidR="00C45916" w:rsidRPr="00381F72" w:rsidRDefault="00C45916" w:rsidP="00852AE9">
            <w:pPr>
              <w:jc w:val="both"/>
              <w:rPr>
                <w:color w:val="878786"/>
                <w:spacing w:val="-6"/>
                <w:w w:val="124"/>
                <w:sz w:val="18"/>
                <w:szCs w:val="18"/>
                <w:lang w:val="mk-MK"/>
              </w:rPr>
            </w:pPr>
          </w:p>
        </w:tc>
      </w:tr>
      <w:tr w:rsidR="00C45916" w:rsidTr="004A0125">
        <w:trPr>
          <w:trHeight w:val="435"/>
        </w:trPr>
        <w:tc>
          <w:tcPr>
            <w:tcW w:w="3960" w:type="dxa"/>
            <w:gridSpan w:val="3"/>
            <w:vMerge w:val="restart"/>
          </w:tcPr>
          <w:p w:rsidR="00C45916" w:rsidRPr="00381F72" w:rsidRDefault="00C45916" w:rsidP="00852AE9">
            <w:pPr>
              <w:jc w:val="both"/>
              <w:rPr>
                <w:color w:val="878786"/>
                <w:spacing w:val="-6"/>
                <w:w w:val="124"/>
                <w:sz w:val="18"/>
                <w:szCs w:val="18"/>
                <w:lang w:val="mk-MK"/>
              </w:rPr>
            </w:pPr>
          </w:p>
          <w:p w:rsidR="00C45916" w:rsidRPr="00381F72" w:rsidRDefault="00C45916" w:rsidP="00852AE9">
            <w:pPr>
              <w:jc w:val="both"/>
              <w:rPr>
                <w:color w:val="878786"/>
                <w:spacing w:val="-6"/>
                <w:w w:val="124"/>
                <w:sz w:val="18"/>
                <w:szCs w:val="18"/>
                <w:lang w:val="mk-MK"/>
              </w:rPr>
            </w:pPr>
            <w:r w:rsidRPr="00381F72">
              <w:rPr>
                <w:color w:val="878786"/>
                <w:spacing w:val="-6"/>
                <w:w w:val="124"/>
                <w:sz w:val="18"/>
                <w:szCs w:val="18"/>
                <w:lang w:val="mk-MK"/>
              </w:rPr>
              <w:t>Ниво на проект</w:t>
            </w:r>
          </w:p>
          <w:p w:rsidR="00C45916" w:rsidRPr="00381F72" w:rsidRDefault="00C45916" w:rsidP="00852AE9">
            <w:pPr>
              <w:jc w:val="both"/>
              <w:rPr>
                <w:color w:val="878786"/>
                <w:spacing w:val="-6"/>
                <w:w w:val="124"/>
                <w:sz w:val="18"/>
                <w:szCs w:val="18"/>
                <w:lang w:val="mk-MK"/>
              </w:rPr>
            </w:pPr>
          </w:p>
        </w:tc>
        <w:tc>
          <w:tcPr>
            <w:tcW w:w="1627" w:type="dxa"/>
          </w:tcPr>
          <w:p w:rsidR="00C45916" w:rsidRPr="00381F72" w:rsidRDefault="00C45916" w:rsidP="00852AE9">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C45916" w:rsidRPr="00381F72" w:rsidRDefault="00C45916" w:rsidP="00852AE9">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C45916" w:rsidRPr="00381F72" w:rsidRDefault="00C45916" w:rsidP="00852AE9">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C45916" w:rsidRPr="00381F72" w:rsidRDefault="00C45916" w:rsidP="00852AE9">
            <w:pPr>
              <w:jc w:val="both"/>
              <w:rPr>
                <w:color w:val="878786"/>
                <w:spacing w:val="-6"/>
                <w:w w:val="124"/>
                <w:sz w:val="18"/>
                <w:szCs w:val="18"/>
                <w:lang w:val="mk-MK"/>
              </w:rPr>
            </w:pPr>
            <w:r>
              <w:rPr>
                <w:color w:val="878786"/>
                <w:spacing w:val="-6"/>
                <w:w w:val="124"/>
                <w:sz w:val="18"/>
                <w:szCs w:val="18"/>
                <w:lang w:val="mk-MK"/>
              </w:rPr>
              <w:t>завршено</w:t>
            </w:r>
          </w:p>
        </w:tc>
      </w:tr>
      <w:tr w:rsidR="00C45916" w:rsidTr="00C45916">
        <w:trPr>
          <w:trHeight w:val="367"/>
        </w:trPr>
        <w:tc>
          <w:tcPr>
            <w:tcW w:w="3960" w:type="dxa"/>
            <w:gridSpan w:val="3"/>
            <w:vMerge/>
          </w:tcPr>
          <w:p w:rsidR="00C45916" w:rsidRPr="00381F72" w:rsidRDefault="00C45916" w:rsidP="00852AE9">
            <w:pPr>
              <w:jc w:val="both"/>
              <w:rPr>
                <w:color w:val="878786"/>
                <w:spacing w:val="-6"/>
                <w:w w:val="124"/>
                <w:sz w:val="18"/>
                <w:szCs w:val="18"/>
                <w:lang w:val="mk-MK"/>
              </w:rPr>
            </w:pPr>
          </w:p>
        </w:tc>
        <w:tc>
          <w:tcPr>
            <w:tcW w:w="1627" w:type="dxa"/>
          </w:tcPr>
          <w:p w:rsidR="00C45916" w:rsidRPr="00381F72" w:rsidRDefault="00C45916" w:rsidP="00852AE9">
            <w:pPr>
              <w:jc w:val="both"/>
              <w:rPr>
                <w:color w:val="878786"/>
                <w:spacing w:val="-6"/>
                <w:w w:val="124"/>
                <w:sz w:val="18"/>
                <w:szCs w:val="18"/>
                <w:lang w:val="mk-MK"/>
              </w:rPr>
            </w:pPr>
          </w:p>
        </w:tc>
        <w:tc>
          <w:tcPr>
            <w:tcW w:w="1724" w:type="dxa"/>
          </w:tcPr>
          <w:p w:rsidR="00C45916" w:rsidRPr="00381F72" w:rsidRDefault="00C45916" w:rsidP="00852AE9">
            <w:pPr>
              <w:jc w:val="both"/>
              <w:rPr>
                <w:color w:val="878786"/>
                <w:spacing w:val="-6"/>
                <w:w w:val="124"/>
                <w:sz w:val="18"/>
                <w:szCs w:val="18"/>
                <w:lang w:val="mk-MK"/>
              </w:rPr>
            </w:pPr>
          </w:p>
        </w:tc>
        <w:tc>
          <w:tcPr>
            <w:tcW w:w="1564" w:type="dxa"/>
          </w:tcPr>
          <w:p w:rsidR="00C45916" w:rsidRPr="00381F72" w:rsidRDefault="00C45916" w:rsidP="00852AE9">
            <w:pPr>
              <w:jc w:val="both"/>
              <w:rPr>
                <w:color w:val="878786"/>
                <w:spacing w:val="-6"/>
                <w:w w:val="124"/>
                <w:sz w:val="18"/>
                <w:szCs w:val="18"/>
                <w:lang w:val="mk-MK"/>
              </w:rPr>
            </w:pPr>
          </w:p>
        </w:tc>
        <w:tc>
          <w:tcPr>
            <w:tcW w:w="1835" w:type="dxa"/>
            <w:shd w:val="clear" w:color="auto" w:fill="548DD4" w:themeFill="text2" w:themeFillTint="99"/>
          </w:tcPr>
          <w:p w:rsidR="00C45916" w:rsidRPr="00381F72" w:rsidRDefault="00C45916" w:rsidP="00852AE9">
            <w:pPr>
              <w:jc w:val="both"/>
              <w:rPr>
                <w:color w:val="878786"/>
                <w:spacing w:val="-6"/>
                <w:w w:val="124"/>
                <w:sz w:val="18"/>
                <w:szCs w:val="18"/>
                <w:lang w:val="mk-MK"/>
              </w:rPr>
            </w:pPr>
          </w:p>
        </w:tc>
      </w:tr>
      <w:tr w:rsidR="004421B1" w:rsidTr="004A0125">
        <w:tc>
          <w:tcPr>
            <w:tcW w:w="3960" w:type="dxa"/>
            <w:gridSpan w:val="3"/>
          </w:tcPr>
          <w:p w:rsidR="004421B1" w:rsidRPr="00381F72" w:rsidRDefault="004421B1" w:rsidP="00381F72">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4421B1" w:rsidRPr="00381F72" w:rsidRDefault="004421B1" w:rsidP="00381F72">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4421B1" w:rsidRPr="006975A1" w:rsidRDefault="004421B1" w:rsidP="005909F7">
            <w:pPr>
              <w:rPr>
                <w:rFonts w:eastAsia="Times New Roman" w:cs="Times New Roman"/>
                <w:b/>
                <w:sz w:val="20"/>
                <w:szCs w:val="20"/>
                <w:lang w:val="mk-MK"/>
              </w:rPr>
            </w:pPr>
            <w:r w:rsidRPr="009913D7">
              <w:rPr>
                <w:rFonts w:eastAsia="Times New Roman" w:cs="Times New Roman"/>
                <w:b/>
                <w:sz w:val="20"/>
                <w:szCs w:val="20"/>
                <w:lang w:val="mk-MK"/>
              </w:rPr>
              <w:t>Мерка  1.</w:t>
            </w:r>
            <w:r w:rsidRPr="009913D7">
              <w:rPr>
                <w:rFonts w:eastAsia="Times New Roman" w:cs="Times New Roman"/>
                <w:b/>
                <w:sz w:val="20"/>
                <w:szCs w:val="20"/>
                <w:lang w:val="mk-MK"/>
              </w:rPr>
              <w:tab/>
              <w:t xml:space="preserve">Усовршување на порталот ЕНЕР и оптимизација на процесот на консултација со јавноста </w:t>
            </w:r>
          </w:p>
          <w:p w:rsidR="004421B1" w:rsidRPr="009913D7" w:rsidRDefault="004421B1" w:rsidP="005909F7">
            <w:pPr>
              <w:rPr>
                <w:rFonts w:eastAsia="Times New Roman" w:cs="Times New Roman"/>
                <w:sz w:val="20"/>
                <w:szCs w:val="20"/>
                <w:lang w:val="mk-MK"/>
              </w:rPr>
            </w:pPr>
            <w:r w:rsidRPr="009913D7">
              <w:rPr>
                <w:rFonts w:eastAsia="Times New Roman" w:cs="Times New Roman"/>
                <w:sz w:val="20"/>
                <w:szCs w:val="20"/>
                <w:lang w:val="mk-MK"/>
              </w:rPr>
              <w:t xml:space="preserve">Врз основа на анализата на ЕНЕР и Извештај со наоди и препораки за понатамошно подобрување на ЕНЕР на 25.12.2014 се пушти во употреба новиот ЕНЕР, кој покрај новиот дизајн нуди нови современи и практични модули како : </w:t>
            </w:r>
          </w:p>
          <w:p w:rsidR="004421B1" w:rsidRPr="009913D7" w:rsidRDefault="004421B1" w:rsidP="005909F7">
            <w:pPr>
              <w:rPr>
                <w:rFonts w:eastAsia="Times New Roman" w:cs="Times New Roman"/>
                <w:sz w:val="20"/>
                <w:szCs w:val="20"/>
                <w:lang w:val="mk-MK"/>
              </w:rPr>
            </w:pPr>
            <w:r w:rsidRPr="009913D7">
              <w:rPr>
                <w:rFonts w:eastAsia="Times New Roman" w:cs="Times New Roman"/>
                <w:sz w:val="20"/>
                <w:szCs w:val="20"/>
                <w:lang w:val="mk-MK"/>
              </w:rPr>
              <w:t>- едноставна регистрација (намален е бројот на полиња за внес на податоци од 10 на 6 )</w:t>
            </w:r>
          </w:p>
          <w:p w:rsidR="004421B1" w:rsidRPr="009913D7" w:rsidRDefault="004421B1" w:rsidP="005909F7">
            <w:pPr>
              <w:rPr>
                <w:rFonts w:eastAsia="Times New Roman" w:cs="Times New Roman"/>
                <w:sz w:val="20"/>
                <w:szCs w:val="20"/>
                <w:lang w:val="mk-MK"/>
              </w:rPr>
            </w:pPr>
            <w:r w:rsidRPr="009913D7">
              <w:rPr>
                <w:rFonts w:eastAsia="Times New Roman" w:cs="Times New Roman"/>
                <w:sz w:val="20"/>
                <w:szCs w:val="20"/>
                <w:lang w:val="mk-MK"/>
              </w:rPr>
              <w:t>- фузирани се 4-те типа на корисници од јавниот сектор во еден тип на корисник кој го носи називот јавен корисник</w:t>
            </w:r>
          </w:p>
          <w:p w:rsidR="004421B1" w:rsidRPr="009913D7" w:rsidRDefault="004421B1" w:rsidP="005909F7">
            <w:pPr>
              <w:rPr>
                <w:rFonts w:eastAsia="Times New Roman" w:cs="Times New Roman"/>
                <w:sz w:val="20"/>
                <w:szCs w:val="20"/>
                <w:lang w:val="mk-MK"/>
              </w:rPr>
            </w:pPr>
            <w:r w:rsidRPr="009913D7">
              <w:rPr>
                <w:rFonts w:eastAsia="Times New Roman" w:cs="Times New Roman"/>
                <w:sz w:val="20"/>
                <w:szCs w:val="20"/>
                <w:lang w:val="mk-MK"/>
              </w:rPr>
              <w:t xml:space="preserve">- нова систематизација на прописите согласно категоризација која се користи од Службениот весник на Република Македонија, која овозможува полесно пребарување на содржините; </w:t>
            </w:r>
          </w:p>
          <w:p w:rsidR="004421B1" w:rsidRPr="009913D7" w:rsidRDefault="004421B1" w:rsidP="005909F7">
            <w:pPr>
              <w:rPr>
                <w:rFonts w:eastAsia="Times New Roman" w:cs="Times New Roman"/>
                <w:sz w:val="20"/>
                <w:szCs w:val="20"/>
                <w:lang w:val="mk-MK"/>
              </w:rPr>
            </w:pPr>
            <w:r w:rsidRPr="009913D7">
              <w:rPr>
                <w:rFonts w:eastAsia="Times New Roman" w:cs="Times New Roman"/>
                <w:sz w:val="20"/>
                <w:szCs w:val="20"/>
                <w:lang w:val="mk-MK"/>
              </w:rPr>
              <w:t>-системско конфигуриран период на автоматска објава на коментар, со што се  овозможи поголема ажурност на навремено објавување на коментари пристигнати од засегнати страни;</w:t>
            </w:r>
          </w:p>
          <w:p w:rsidR="004421B1" w:rsidRPr="009913D7" w:rsidRDefault="004421B1" w:rsidP="005909F7">
            <w:pPr>
              <w:rPr>
                <w:rFonts w:eastAsia="Times New Roman" w:cs="Times New Roman"/>
                <w:sz w:val="20"/>
                <w:szCs w:val="20"/>
                <w:lang w:val="mk-MK"/>
              </w:rPr>
            </w:pPr>
            <w:r w:rsidRPr="009913D7">
              <w:rPr>
                <w:rFonts w:eastAsia="Times New Roman" w:cs="Times New Roman"/>
                <w:sz w:val="20"/>
                <w:szCs w:val="20"/>
                <w:lang w:val="mk-MK"/>
              </w:rPr>
              <w:t xml:space="preserve">- поставувен е бројчаник, односно јасно прикажување на денот и часот на завршување на процесот на консултација, со што се овозможи поголема сигурност кај јавните корисници во кој временски период ќе може да ги испратат своите коментари ; </w:t>
            </w:r>
          </w:p>
          <w:p w:rsidR="004421B1" w:rsidRPr="009913D7" w:rsidRDefault="004421B1" w:rsidP="005909F7">
            <w:pPr>
              <w:rPr>
                <w:rFonts w:eastAsia="Times New Roman" w:cs="Times New Roman"/>
                <w:sz w:val="20"/>
                <w:szCs w:val="20"/>
                <w:lang w:val="mk-MK"/>
              </w:rPr>
            </w:pPr>
            <w:r w:rsidRPr="009913D7">
              <w:rPr>
                <w:rFonts w:eastAsia="Times New Roman" w:cs="Times New Roman"/>
                <w:sz w:val="20"/>
                <w:szCs w:val="20"/>
                <w:lang w:val="mk-MK"/>
              </w:rPr>
              <w:t xml:space="preserve">-воведен е нов линк (новости – автоматско објавување на известувањето за почеток на процес на подготовка на закон, најави за јавни расправи за нацрт закони и планови за ПВР). </w:t>
            </w:r>
          </w:p>
          <w:p w:rsidR="004421B1" w:rsidRPr="009913D7" w:rsidRDefault="004421B1" w:rsidP="005909F7">
            <w:pPr>
              <w:rPr>
                <w:rFonts w:eastAsia="Times New Roman" w:cs="Times New Roman"/>
                <w:sz w:val="20"/>
                <w:szCs w:val="20"/>
                <w:lang w:val="mk-MK"/>
              </w:rPr>
            </w:pPr>
            <w:r w:rsidRPr="009913D7">
              <w:rPr>
                <w:rFonts w:eastAsia="Times New Roman" w:cs="Times New Roman"/>
                <w:sz w:val="20"/>
                <w:szCs w:val="20"/>
                <w:lang w:val="mk-MK"/>
              </w:rPr>
              <w:t>Во рамките на овој проектот се следи ЕНЕР со што се оценува вклучувањето на јавноста во раната фаза на подготовка на закони.</w:t>
            </w:r>
          </w:p>
          <w:p w:rsidR="004421B1" w:rsidRPr="009913D7" w:rsidRDefault="004421B1" w:rsidP="005909F7">
            <w:pPr>
              <w:rPr>
                <w:rFonts w:eastAsia="Times New Roman" w:cs="Times New Roman"/>
                <w:sz w:val="20"/>
                <w:szCs w:val="20"/>
                <w:lang w:val="mk-MK"/>
              </w:rPr>
            </w:pPr>
            <w:r w:rsidRPr="009913D7">
              <w:rPr>
                <w:rFonts w:eastAsia="Times New Roman" w:cs="Times New Roman"/>
                <w:sz w:val="20"/>
                <w:szCs w:val="20"/>
                <w:lang w:val="mk-MK"/>
              </w:rPr>
              <w:t>Исто така почнувајќи од јуни 2014 година е овозможено на ЕНЕР во делот ,,соработка“ да се прикажуваат податоци кои произлегуваат од Проектот „Огледало на Владата“</w:t>
            </w:r>
          </w:p>
          <w:p w:rsidR="004421B1" w:rsidRPr="009913D7" w:rsidRDefault="004421B1" w:rsidP="005909F7">
            <w:pPr>
              <w:rPr>
                <w:rFonts w:eastAsia="Times New Roman" w:cs="Times New Roman"/>
                <w:sz w:val="20"/>
                <w:szCs w:val="20"/>
                <w:lang w:val="mk-MK"/>
              </w:rPr>
            </w:pPr>
            <w:r w:rsidRPr="009913D7">
              <w:rPr>
                <w:rFonts w:eastAsia="Times New Roman" w:cs="Times New Roman"/>
                <w:sz w:val="20"/>
                <w:szCs w:val="20"/>
                <w:lang w:val="mk-MK"/>
              </w:rPr>
              <w:t xml:space="preserve">Една од најголемите придобивки од новиот ЕНЕР  е неговата интеграција со мултиплатформскиот систем за колаборација за е-влада, со што се оневозможи доставување на предлог-закони за разгледување во владина </w:t>
            </w:r>
            <w:r w:rsidRPr="009913D7">
              <w:rPr>
                <w:rFonts w:eastAsia="Times New Roman" w:cs="Times New Roman"/>
                <w:sz w:val="20"/>
                <w:szCs w:val="20"/>
                <w:lang w:val="mk-MK"/>
              </w:rPr>
              <w:lastRenderedPageBreak/>
              <w:t>постапка, доколку претходно текстот на предлог-законот не е објавен на ЕНЕР.</w:t>
            </w:r>
          </w:p>
          <w:p w:rsidR="004421B1" w:rsidRPr="009913D7" w:rsidRDefault="004421B1" w:rsidP="005909F7">
            <w:pPr>
              <w:rPr>
                <w:rFonts w:eastAsia="Times New Roman" w:cs="Times New Roman"/>
                <w:sz w:val="20"/>
                <w:szCs w:val="20"/>
                <w:lang w:val="mk-MK"/>
              </w:rPr>
            </w:pPr>
            <w:r w:rsidRPr="009913D7">
              <w:rPr>
                <w:rFonts w:eastAsia="Times New Roman" w:cs="Times New Roman"/>
                <w:sz w:val="20"/>
                <w:szCs w:val="20"/>
                <w:lang w:val="mk-MK"/>
              </w:rPr>
              <w:t>Во однос на посетеноста на ЕНЕР, од неговото воспоставување во 2009 година до неговата надградба во јуни 2012 година, вкупниот број на посети изнесува 25.122. Во периодот што следува заклучно до јуни 2015 година, евидентиран е пораст за 241.281 посети односно за 90,5%.</w:t>
            </w:r>
            <w:r w:rsidRPr="009913D7">
              <w:rPr>
                <w:rFonts w:eastAsia="Times New Roman" w:cs="Times New Roman"/>
                <w:sz w:val="20"/>
                <w:szCs w:val="20"/>
                <w:lang w:val="mk-MK"/>
              </w:rPr>
              <w:tab/>
            </w:r>
          </w:p>
          <w:p w:rsidR="004421B1" w:rsidRPr="009913D7" w:rsidRDefault="004421B1" w:rsidP="005909F7">
            <w:pPr>
              <w:rPr>
                <w:rFonts w:eastAsia="Times New Roman" w:cs="Times New Roman"/>
                <w:sz w:val="20"/>
                <w:szCs w:val="20"/>
                <w:lang w:val="mk-MK"/>
              </w:rPr>
            </w:pPr>
            <w:r w:rsidRPr="009913D7">
              <w:rPr>
                <w:rFonts w:eastAsia="Times New Roman" w:cs="Times New Roman"/>
                <w:sz w:val="20"/>
                <w:szCs w:val="20"/>
                <w:lang w:val="mk-MK"/>
              </w:rPr>
              <w:t xml:space="preserve">Континуирано се спроведуваат активности за промоција на ЕНЕР и одржување на обуки за негово користење (публикуван памфлет за ЕНЕР, гостување на телевизиски емисии, одржани 3 обуки на кои се обучени 60 државни службеници) </w:t>
            </w:r>
          </w:p>
          <w:p w:rsidR="004421B1" w:rsidRPr="009913D7" w:rsidRDefault="004421B1" w:rsidP="005909F7">
            <w:pPr>
              <w:jc w:val="both"/>
              <w:rPr>
                <w:rFonts w:eastAsia="Times New Roman" w:cs="Times New Roman"/>
                <w:sz w:val="20"/>
                <w:szCs w:val="20"/>
                <w:lang w:val="mk-MK"/>
              </w:rPr>
            </w:pPr>
          </w:p>
          <w:p w:rsidR="004421B1" w:rsidRPr="009913D7" w:rsidRDefault="004421B1" w:rsidP="005909F7">
            <w:pPr>
              <w:rPr>
                <w:rFonts w:eastAsia="Times New Roman" w:cs="Times New Roman"/>
                <w:sz w:val="20"/>
                <w:szCs w:val="20"/>
                <w:lang w:val="mk-MK"/>
              </w:rPr>
            </w:pPr>
          </w:p>
        </w:tc>
      </w:tr>
      <w:tr w:rsidR="004421B1" w:rsidTr="004A0125">
        <w:tc>
          <w:tcPr>
            <w:tcW w:w="3960" w:type="dxa"/>
            <w:gridSpan w:val="3"/>
          </w:tcPr>
          <w:p w:rsidR="004421B1" w:rsidRPr="00381F72" w:rsidRDefault="004421B1" w:rsidP="00852AE9">
            <w:pPr>
              <w:jc w:val="both"/>
              <w:rPr>
                <w:color w:val="878786"/>
                <w:spacing w:val="-6"/>
                <w:w w:val="124"/>
                <w:sz w:val="18"/>
                <w:szCs w:val="18"/>
                <w:lang w:val="mk-MK"/>
              </w:rPr>
            </w:pPr>
            <w:r w:rsidRPr="00381F72">
              <w:rPr>
                <w:color w:val="878786"/>
                <w:spacing w:val="-6"/>
                <w:w w:val="124"/>
                <w:sz w:val="18"/>
                <w:szCs w:val="18"/>
                <w:lang w:val="mk-MK"/>
              </w:rPr>
              <w:lastRenderedPageBreak/>
              <w:t>Краен датум</w:t>
            </w:r>
          </w:p>
        </w:tc>
        <w:tc>
          <w:tcPr>
            <w:tcW w:w="6750" w:type="dxa"/>
            <w:gridSpan w:val="4"/>
          </w:tcPr>
          <w:p w:rsidR="004421B1" w:rsidRPr="009913D7" w:rsidRDefault="004421B1" w:rsidP="005909F7">
            <w:pPr>
              <w:jc w:val="center"/>
              <w:rPr>
                <w:rFonts w:eastAsia="Times New Roman" w:cs="Times New Roman"/>
                <w:sz w:val="20"/>
                <w:szCs w:val="20"/>
                <w:lang w:val="mk-MK"/>
              </w:rPr>
            </w:pPr>
            <w:r w:rsidRPr="009913D7">
              <w:rPr>
                <w:rFonts w:eastAsia="Times New Roman" w:cs="Times New Roman"/>
                <w:sz w:val="20"/>
                <w:szCs w:val="20"/>
                <w:lang w:val="mk-MK"/>
              </w:rPr>
              <w:t>Септември 2015</w:t>
            </w:r>
          </w:p>
          <w:p w:rsidR="004421B1" w:rsidRPr="009913D7" w:rsidRDefault="004421B1" w:rsidP="005909F7">
            <w:pPr>
              <w:rPr>
                <w:rFonts w:eastAsia="Times New Roman" w:cs="Times New Roman"/>
                <w:sz w:val="20"/>
                <w:szCs w:val="20"/>
              </w:rPr>
            </w:pPr>
          </w:p>
        </w:tc>
      </w:tr>
      <w:tr w:rsidR="004421B1" w:rsidTr="004A0125">
        <w:tc>
          <w:tcPr>
            <w:tcW w:w="3960" w:type="dxa"/>
            <w:gridSpan w:val="3"/>
          </w:tcPr>
          <w:p w:rsidR="004421B1" w:rsidRPr="00381F72" w:rsidRDefault="004421B1" w:rsidP="00852AE9">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4421B1" w:rsidRPr="009913D7" w:rsidRDefault="004421B1" w:rsidP="005909F7">
            <w:pPr>
              <w:jc w:val="both"/>
              <w:rPr>
                <w:rFonts w:eastAsia="Times New Roman" w:cs="Times New Roman"/>
                <w:sz w:val="20"/>
                <w:szCs w:val="20"/>
                <w:lang w:val="mk-MK"/>
              </w:rPr>
            </w:pPr>
            <w:r w:rsidRPr="009913D7">
              <w:rPr>
                <w:rFonts w:eastAsia="Times New Roman" w:cs="Times New Roman"/>
                <w:sz w:val="20"/>
                <w:szCs w:val="20"/>
                <w:lang w:val="mk-MK"/>
              </w:rPr>
              <w:t>Континуирано следење и унапредување на квалитетот на  содржините, достапноста и искористеноста на ова електронско решение , преку следење на препораките на проектот ,, Огледало на владата“ и во тесна соработка со корисниците на ЕНЕР (владини и јавни) унапредување.</w:t>
            </w:r>
          </w:p>
          <w:p w:rsidR="004421B1" w:rsidRPr="009913D7" w:rsidRDefault="004421B1" w:rsidP="005909F7">
            <w:pPr>
              <w:jc w:val="both"/>
              <w:rPr>
                <w:rFonts w:eastAsia="Times New Roman" w:cs="Arial"/>
                <w:sz w:val="20"/>
                <w:szCs w:val="20"/>
                <w:lang w:val="mk-MK"/>
              </w:rPr>
            </w:pPr>
            <w:r w:rsidRPr="009913D7">
              <w:rPr>
                <w:rFonts w:eastAsia="Times New Roman" w:cs="Arial"/>
                <w:sz w:val="20"/>
                <w:szCs w:val="20"/>
                <w:lang w:val="mk-MK"/>
              </w:rPr>
              <w:t>Во тек е подготовка на интерен План и динамика за спроведување на промотивна кампања за ЕНЕР насочена кон неколку целни групи (приватен сектор, невладин сектор, граѓани, академска заедница, комори и здруженија. Оваа акивност ќе биде поврзана и искористена за  спроведување мерка 7  ,,Поголема јавна свест и користење на партиципативното креирање на политики преку интернет порталот е-демократија од страна на институциите, фирмите, коморите, граѓанското општество  и граѓаните“.</w:t>
            </w:r>
          </w:p>
          <w:p w:rsidR="004421B1" w:rsidRPr="009913D7" w:rsidRDefault="004421B1" w:rsidP="004421B1">
            <w:pPr>
              <w:contextualSpacing/>
              <w:jc w:val="both"/>
              <w:rPr>
                <w:rFonts w:eastAsia="Times New Roman" w:cs="Times New Roman"/>
                <w:sz w:val="20"/>
                <w:szCs w:val="20"/>
                <w:lang w:val="mk-MK"/>
              </w:rPr>
            </w:pPr>
          </w:p>
        </w:tc>
      </w:tr>
      <w:tr w:rsidR="004421B1" w:rsidTr="00A21C16">
        <w:tc>
          <w:tcPr>
            <w:tcW w:w="10710" w:type="dxa"/>
            <w:gridSpan w:val="7"/>
          </w:tcPr>
          <w:p w:rsidR="004421B1" w:rsidRDefault="004421B1" w:rsidP="00852AE9">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r w:rsidR="004421B1" w:rsidRPr="00381F72" w:rsidTr="00C45916">
        <w:trPr>
          <w:trHeight w:val="435"/>
        </w:trPr>
        <w:tc>
          <w:tcPr>
            <w:tcW w:w="3960" w:type="dxa"/>
            <w:gridSpan w:val="3"/>
            <w:vMerge w:val="restart"/>
          </w:tcPr>
          <w:p w:rsidR="004421B1" w:rsidRPr="00381F72" w:rsidRDefault="004421B1" w:rsidP="00C45916">
            <w:pPr>
              <w:jc w:val="both"/>
              <w:rPr>
                <w:color w:val="878786"/>
                <w:spacing w:val="-6"/>
                <w:w w:val="124"/>
                <w:sz w:val="18"/>
                <w:szCs w:val="18"/>
                <w:lang w:val="mk-MK"/>
              </w:rPr>
            </w:pPr>
          </w:p>
          <w:p w:rsidR="004421B1" w:rsidRPr="00381F72" w:rsidRDefault="004421B1" w:rsidP="00C45916">
            <w:pPr>
              <w:jc w:val="both"/>
              <w:rPr>
                <w:color w:val="878786"/>
                <w:spacing w:val="-6"/>
                <w:w w:val="124"/>
                <w:sz w:val="18"/>
                <w:szCs w:val="18"/>
                <w:lang w:val="mk-MK"/>
              </w:rPr>
            </w:pPr>
            <w:r w:rsidRPr="00381F72">
              <w:rPr>
                <w:color w:val="878786"/>
                <w:spacing w:val="-6"/>
                <w:w w:val="124"/>
                <w:sz w:val="18"/>
                <w:szCs w:val="18"/>
                <w:lang w:val="mk-MK"/>
              </w:rPr>
              <w:t>Ниво на проект</w:t>
            </w:r>
          </w:p>
          <w:p w:rsidR="004421B1" w:rsidRPr="00381F72" w:rsidRDefault="004421B1" w:rsidP="00C45916">
            <w:pPr>
              <w:jc w:val="both"/>
              <w:rPr>
                <w:color w:val="878786"/>
                <w:spacing w:val="-6"/>
                <w:w w:val="124"/>
                <w:sz w:val="18"/>
                <w:szCs w:val="18"/>
                <w:lang w:val="mk-MK"/>
              </w:rPr>
            </w:pPr>
          </w:p>
        </w:tc>
        <w:tc>
          <w:tcPr>
            <w:tcW w:w="1627" w:type="dxa"/>
          </w:tcPr>
          <w:p w:rsidR="004421B1" w:rsidRPr="00381F72" w:rsidRDefault="004421B1" w:rsidP="00C45916">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4421B1" w:rsidRPr="00381F72" w:rsidRDefault="004421B1" w:rsidP="00C45916">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4421B1" w:rsidRPr="00381F72" w:rsidRDefault="004421B1" w:rsidP="00C45916">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4421B1" w:rsidRPr="00381F72" w:rsidRDefault="004421B1" w:rsidP="00C45916">
            <w:pPr>
              <w:jc w:val="both"/>
              <w:rPr>
                <w:color w:val="878786"/>
                <w:spacing w:val="-6"/>
                <w:w w:val="124"/>
                <w:sz w:val="18"/>
                <w:szCs w:val="18"/>
                <w:lang w:val="mk-MK"/>
              </w:rPr>
            </w:pPr>
            <w:r>
              <w:rPr>
                <w:color w:val="878786"/>
                <w:spacing w:val="-6"/>
                <w:w w:val="124"/>
                <w:sz w:val="18"/>
                <w:szCs w:val="18"/>
                <w:lang w:val="mk-MK"/>
              </w:rPr>
              <w:t>завршено</w:t>
            </w:r>
          </w:p>
        </w:tc>
      </w:tr>
      <w:tr w:rsidR="004421B1" w:rsidRPr="00381F72" w:rsidTr="00C45916">
        <w:trPr>
          <w:trHeight w:val="367"/>
        </w:trPr>
        <w:tc>
          <w:tcPr>
            <w:tcW w:w="3960" w:type="dxa"/>
            <w:gridSpan w:val="3"/>
            <w:vMerge/>
          </w:tcPr>
          <w:p w:rsidR="004421B1" w:rsidRPr="00381F72" w:rsidRDefault="004421B1" w:rsidP="00C45916">
            <w:pPr>
              <w:jc w:val="both"/>
              <w:rPr>
                <w:color w:val="878786"/>
                <w:spacing w:val="-6"/>
                <w:w w:val="124"/>
                <w:sz w:val="18"/>
                <w:szCs w:val="18"/>
                <w:lang w:val="mk-MK"/>
              </w:rPr>
            </w:pPr>
          </w:p>
        </w:tc>
        <w:tc>
          <w:tcPr>
            <w:tcW w:w="1627" w:type="dxa"/>
          </w:tcPr>
          <w:p w:rsidR="004421B1" w:rsidRPr="00381F72" w:rsidRDefault="004421B1" w:rsidP="00C45916">
            <w:pPr>
              <w:jc w:val="both"/>
              <w:rPr>
                <w:color w:val="878786"/>
                <w:spacing w:val="-6"/>
                <w:w w:val="124"/>
                <w:sz w:val="18"/>
                <w:szCs w:val="18"/>
                <w:lang w:val="mk-MK"/>
              </w:rPr>
            </w:pPr>
          </w:p>
        </w:tc>
        <w:tc>
          <w:tcPr>
            <w:tcW w:w="1724" w:type="dxa"/>
          </w:tcPr>
          <w:p w:rsidR="004421B1" w:rsidRPr="00381F72" w:rsidRDefault="004421B1" w:rsidP="00C45916">
            <w:pPr>
              <w:jc w:val="both"/>
              <w:rPr>
                <w:color w:val="878786"/>
                <w:spacing w:val="-6"/>
                <w:w w:val="124"/>
                <w:sz w:val="18"/>
                <w:szCs w:val="18"/>
                <w:lang w:val="mk-MK"/>
              </w:rPr>
            </w:pPr>
          </w:p>
        </w:tc>
        <w:tc>
          <w:tcPr>
            <w:tcW w:w="1564" w:type="dxa"/>
          </w:tcPr>
          <w:p w:rsidR="004421B1" w:rsidRPr="00381F72" w:rsidRDefault="004421B1" w:rsidP="00C45916">
            <w:pPr>
              <w:jc w:val="both"/>
              <w:rPr>
                <w:color w:val="878786"/>
                <w:spacing w:val="-6"/>
                <w:w w:val="124"/>
                <w:sz w:val="18"/>
                <w:szCs w:val="18"/>
                <w:lang w:val="mk-MK"/>
              </w:rPr>
            </w:pPr>
          </w:p>
        </w:tc>
        <w:tc>
          <w:tcPr>
            <w:tcW w:w="1835" w:type="dxa"/>
            <w:shd w:val="clear" w:color="auto" w:fill="548DD4" w:themeFill="text2" w:themeFillTint="99"/>
          </w:tcPr>
          <w:p w:rsidR="004421B1" w:rsidRPr="00381F72" w:rsidRDefault="004421B1" w:rsidP="00C45916">
            <w:pPr>
              <w:jc w:val="both"/>
              <w:rPr>
                <w:color w:val="878786"/>
                <w:spacing w:val="-6"/>
                <w:w w:val="124"/>
                <w:sz w:val="18"/>
                <w:szCs w:val="18"/>
                <w:lang w:val="mk-MK"/>
              </w:rPr>
            </w:pPr>
          </w:p>
        </w:tc>
      </w:tr>
      <w:tr w:rsidR="001F338C" w:rsidTr="00C45916">
        <w:tc>
          <w:tcPr>
            <w:tcW w:w="3960" w:type="dxa"/>
            <w:gridSpan w:val="3"/>
          </w:tcPr>
          <w:p w:rsidR="001F338C" w:rsidRPr="00381F72" w:rsidRDefault="001F338C" w:rsidP="001F338C">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1F338C" w:rsidRPr="00381F72" w:rsidRDefault="001F338C" w:rsidP="001F338C">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1F338C" w:rsidRPr="009913D7" w:rsidRDefault="001F338C" w:rsidP="001F338C">
            <w:pPr>
              <w:rPr>
                <w:b/>
                <w:sz w:val="20"/>
                <w:szCs w:val="20"/>
                <w:lang w:val="mk-MK"/>
              </w:rPr>
            </w:pPr>
            <w:r w:rsidRPr="009913D7">
              <w:rPr>
                <w:b/>
                <w:sz w:val="20"/>
                <w:szCs w:val="20"/>
                <w:lang w:val="mk-MK"/>
              </w:rPr>
              <w:t xml:space="preserve">Мерка  2.   Зајакнување на правилата за работа и користење на ЕНЕР </w:t>
            </w:r>
          </w:p>
          <w:p w:rsidR="001F338C" w:rsidRPr="009913D7" w:rsidRDefault="001F338C" w:rsidP="001F338C">
            <w:pPr>
              <w:jc w:val="both"/>
              <w:rPr>
                <w:sz w:val="20"/>
                <w:szCs w:val="20"/>
                <w:lang w:val="mk-MK"/>
              </w:rPr>
            </w:pPr>
            <w:r w:rsidRPr="009913D7">
              <w:rPr>
                <w:sz w:val="20"/>
                <w:szCs w:val="20"/>
                <w:lang w:val="mk-MK"/>
              </w:rPr>
              <w:t xml:space="preserve">Воспоставени се Правила и услови кои се однесуваат на користењето на Единствениот национален електронски регистар на прописи на Република Македонија (ЕНЕР) од страна на веќе регистриран корисник или лице кое сака да се регистрира.По воведувањето на новиот ЕНЕР и неговата интеграција со мултиплатформскиот систем за колаборација за е-влада во јануари 2015 година од страна на ВРМ е утврдена постапката, фазите и чекорите за постапување на  ЕНЕР од страна на владините корисници.  </w:t>
            </w:r>
          </w:p>
          <w:p w:rsidR="001F338C" w:rsidRPr="009913D7" w:rsidRDefault="001F338C" w:rsidP="001F338C">
            <w:pPr>
              <w:rPr>
                <w:sz w:val="20"/>
                <w:szCs w:val="20"/>
                <w:lang w:val="mk-MK"/>
              </w:rPr>
            </w:pPr>
          </w:p>
        </w:tc>
      </w:tr>
      <w:tr w:rsidR="001F338C" w:rsidTr="00C45916">
        <w:tc>
          <w:tcPr>
            <w:tcW w:w="3960" w:type="dxa"/>
            <w:gridSpan w:val="3"/>
          </w:tcPr>
          <w:p w:rsidR="001F338C" w:rsidRPr="00381F72" w:rsidRDefault="001F338C" w:rsidP="001F338C">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6750" w:type="dxa"/>
            <w:gridSpan w:val="4"/>
          </w:tcPr>
          <w:p w:rsidR="001F338C" w:rsidRPr="009913D7" w:rsidRDefault="001F338C" w:rsidP="001F338C">
            <w:pPr>
              <w:jc w:val="center"/>
              <w:rPr>
                <w:sz w:val="20"/>
                <w:szCs w:val="20"/>
                <w:lang w:val="mk-MK"/>
              </w:rPr>
            </w:pPr>
            <w:r w:rsidRPr="009913D7">
              <w:rPr>
                <w:sz w:val="20"/>
                <w:szCs w:val="20"/>
                <w:lang w:val="mk-MK"/>
              </w:rPr>
              <w:t>септември 2015</w:t>
            </w:r>
          </w:p>
          <w:p w:rsidR="001F338C" w:rsidRPr="009913D7" w:rsidRDefault="001F338C" w:rsidP="001F338C">
            <w:pPr>
              <w:rPr>
                <w:sz w:val="20"/>
                <w:szCs w:val="20"/>
              </w:rPr>
            </w:pPr>
          </w:p>
        </w:tc>
      </w:tr>
      <w:tr w:rsidR="001F338C" w:rsidTr="00C45916">
        <w:tc>
          <w:tcPr>
            <w:tcW w:w="3960" w:type="dxa"/>
            <w:gridSpan w:val="3"/>
          </w:tcPr>
          <w:p w:rsidR="001F338C" w:rsidRPr="00381F72" w:rsidRDefault="001F338C" w:rsidP="001F338C">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1F338C" w:rsidRDefault="001F338C" w:rsidP="001F338C">
            <w:pPr>
              <w:jc w:val="both"/>
              <w:rPr>
                <w:b/>
                <w:lang w:val="mk-MK"/>
              </w:rPr>
            </w:pPr>
            <w:r>
              <w:rPr>
                <w:b/>
                <w:lang w:val="mk-MK"/>
              </w:rPr>
              <w:t>/</w:t>
            </w:r>
          </w:p>
        </w:tc>
      </w:tr>
      <w:tr w:rsidR="001F338C" w:rsidTr="00C45916">
        <w:tc>
          <w:tcPr>
            <w:tcW w:w="10710" w:type="dxa"/>
            <w:gridSpan w:val="7"/>
          </w:tcPr>
          <w:p w:rsidR="001F338C" w:rsidRDefault="001F338C" w:rsidP="001F338C">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r w:rsidR="001F338C" w:rsidRPr="00381F72" w:rsidTr="00C45916">
        <w:trPr>
          <w:trHeight w:val="435"/>
        </w:trPr>
        <w:tc>
          <w:tcPr>
            <w:tcW w:w="3960" w:type="dxa"/>
            <w:gridSpan w:val="3"/>
            <w:vMerge w:val="restart"/>
          </w:tcPr>
          <w:p w:rsidR="001F338C" w:rsidRPr="00381F72" w:rsidRDefault="001F338C" w:rsidP="001F338C">
            <w:pPr>
              <w:jc w:val="both"/>
              <w:rPr>
                <w:color w:val="878786"/>
                <w:spacing w:val="-6"/>
                <w:w w:val="124"/>
                <w:sz w:val="18"/>
                <w:szCs w:val="18"/>
                <w:lang w:val="mk-MK"/>
              </w:rPr>
            </w:pPr>
          </w:p>
          <w:p w:rsidR="001F338C" w:rsidRPr="00381F72" w:rsidRDefault="001F338C" w:rsidP="001F338C">
            <w:pPr>
              <w:jc w:val="both"/>
              <w:rPr>
                <w:color w:val="878786"/>
                <w:spacing w:val="-6"/>
                <w:w w:val="124"/>
                <w:sz w:val="18"/>
                <w:szCs w:val="18"/>
                <w:lang w:val="mk-MK"/>
              </w:rPr>
            </w:pPr>
            <w:r w:rsidRPr="00381F72">
              <w:rPr>
                <w:color w:val="878786"/>
                <w:spacing w:val="-6"/>
                <w:w w:val="124"/>
                <w:sz w:val="18"/>
                <w:szCs w:val="18"/>
                <w:lang w:val="mk-MK"/>
              </w:rPr>
              <w:t>Ниво на проект</w:t>
            </w:r>
          </w:p>
          <w:p w:rsidR="001F338C" w:rsidRPr="00381F72" w:rsidRDefault="001F338C" w:rsidP="001F338C">
            <w:pPr>
              <w:jc w:val="both"/>
              <w:rPr>
                <w:color w:val="878786"/>
                <w:spacing w:val="-6"/>
                <w:w w:val="124"/>
                <w:sz w:val="18"/>
                <w:szCs w:val="18"/>
                <w:lang w:val="mk-MK"/>
              </w:rPr>
            </w:pPr>
          </w:p>
        </w:tc>
        <w:tc>
          <w:tcPr>
            <w:tcW w:w="1627" w:type="dxa"/>
          </w:tcPr>
          <w:p w:rsidR="001F338C" w:rsidRPr="00381F72" w:rsidRDefault="001F338C" w:rsidP="001F338C">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1F338C" w:rsidRPr="00381F72" w:rsidRDefault="001F338C" w:rsidP="001F338C">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1F338C" w:rsidRPr="00381F72" w:rsidRDefault="001F338C" w:rsidP="001F338C">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1F338C" w:rsidRPr="00381F72" w:rsidRDefault="001F338C" w:rsidP="001F338C">
            <w:pPr>
              <w:jc w:val="both"/>
              <w:rPr>
                <w:color w:val="878786"/>
                <w:spacing w:val="-6"/>
                <w:w w:val="124"/>
                <w:sz w:val="18"/>
                <w:szCs w:val="18"/>
                <w:lang w:val="mk-MK"/>
              </w:rPr>
            </w:pPr>
            <w:r>
              <w:rPr>
                <w:color w:val="878786"/>
                <w:spacing w:val="-6"/>
                <w:w w:val="124"/>
                <w:sz w:val="18"/>
                <w:szCs w:val="18"/>
                <w:lang w:val="mk-MK"/>
              </w:rPr>
              <w:t>завршено</w:t>
            </w:r>
          </w:p>
        </w:tc>
      </w:tr>
      <w:tr w:rsidR="001F338C" w:rsidRPr="00381F72" w:rsidTr="001F338C">
        <w:trPr>
          <w:trHeight w:val="367"/>
        </w:trPr>
        <w:tc>
          <w:tcPr>
            <w:tcW w:w="3960" w:type="dxa"/>
            <w:gridSpan w:val="3"/>
            <w:vMerge/>
          </w:tcPr>
          <w:p w:rsidR="001F338C" w:rsidRPr="00381F72" w:rsidRDefault="001F338C" w:rsidP="001F338C">
            <w:pPr>
              <w:jc w:val="both"/>
              <w:rPr>
                <w:color w:val="878786"/>
                <w:spacing w:val="-6"/>
                <w:w w:val="124"/>
                <w:sz w:val="18"/>
                <w:szCs w:val="18"/>
                <w:lang w:val="mk-MK"/>
              </w:rPr>
            </w:pPr>
          </w:p>
        </w:tc>
        <w:tc>
          <w:tcPr>
            <w:tcW w:w="1627" w:type="dxa"/>
          </w:tcPr>
          <w:p w:rsidR="001F338C" w:rsidRPr="00381F72" w:rsidRDefault="001F338C" w:rsidP="001F338C">
            <w:pPr>
              <w:jc w:val="both"/>
              <w:rPr>
                <w:color w:val="878786"/>
                <w:spacing w:val="-6"/>
                <w:w w:val="124"/>
                <w:sz w:val="18"/>
                <w:szCs w:val="18"/>
                <w:lang w:val="mk-MK"/>
              </w:rPr>
            </w:pPr>
          </w:p>
        </w:tc>
        <w:tc>
          <w:tcPr>
            <w:tcW w:w="1724" w:type="dxa"/>
          </w:tcPr>
          <w:p w:rsidR="001F338C" w:rsidRPr="00381F72" w:rsidRDefault="001F338C" w:rsidP="001F338C">
            <w:pPr>
              <w:jc w:val="both"/>
              <w:rPr>
                <w:color w:val="878786"/>
                <w:spacing w:val="-6"/>
                <w:w w:val="124"/>
                <w:sz w:val="18"/>
                <w:szCs w:val="18"/>
                <w:lang w:val="mk-MK"/>
              </w:rPr>
            </w:pPr>
          </w:p>
        </w:tc>
        <w:tc>
          <w:tcPr>
            <w:tcW w:w="1564" w:type="dxa"/>
            <w:shd w:val="clear" w:color="auto" w:fill="548DD4" w:themeFill="text2" w:themeFillTint="99"/>
          </w:tcPr>
          <w:p w:rsidR="001F338C" w:rsidRPr="00381F72" w:rsidRDefault="001F338C" w:rsidP="001F338C">
            <w:pPr>
              <w:jc w:val="both"/>
              <w:rPr>
                <w:color w:val="878786"/>
                <w:spacing w:val="-6"/>
                <w:w w:val="124"/>
                <w:sz w:val="18"/>
                <w:szCs w:val="18"/>
                <w:lang w:val="mk-MK"/>
              </w:rPr>
            </w:pPr>
          </w:p>
        </w:tc>
        <w:tc>
          <w:tcPr>
            <w:tcW w:w="1835" w:type="dxa"/>
          </w:tcPr>
          <w:p w:rsidR="001F338C" w:rsidRPr="00381F72" w:rsidRDefault="001F338C" w:rsidP="001F338C">
            <w:pPr>
              <w:jc w:val="both"/>
              <w:rPr>
                <w:color w:val="878786"/>
                <w:spacing w:val="-6"/>
                <w:w w:val="124"/>
                <w:sz w:val="18"/>
                <w:szCs w:val="18"/>
                <w:lang w:val="mk-MK"/>
              </w:rPr>
            </w:pPr>
          </w:p>
        </w:tc>
      </w:tr>
      <w:tr w:rsidR="001F338C" w:rsidTr="00C45916">
        <w:tc>
          <w:tcPr>
            <w:tcW w:w="3960" w:type="dxa"/>
            <w:gridSpan w:val="3"/>
          </w:tcPr>
          <w:p w:rsidR="001F338C" w:rsidRPr="00381F72" w:rsidRDefault="001F338C" w:rsidP="001F338C">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1F338C" w:rsidRPr="00381F72" w:rsidRDefault="001F338C" w:rsidP="001F338C">
            <w:pPr>
              <w:jc w:val="both"/>
              <w:rPr>
                <w:color w:val="878786"/>
                <w:spacing w:val="-6"/>
                <w:w w:val="124"/>
                <w:sz w:val="18"/>
                <w:szCs w:val="18"/>
                <w:lang w:val="mk-MK"/>
              </w:rPr>
            </w:pPr>
            <w:r w:rsidRPr="00381F72">
              <w:rPr>
                <w:color w:val="878786"/>
                <w:spacing w:val="-6"/>
                <w:w w:val="124"/>
                <w:sz w:val="18"/>
                <w:szCs w:val="18"/>
                <w:lang w:val="mk-MK"/>
              </w:rPr>
              <w:t xml:space="preserve">Се вклучуваат специфични активности во рамките на периодот на известување </w:t>
            </w:r>
            <w:r w:rsidRPr="00381F72">
              <w:rPr>
                <w:color w:val="878786"/>
                <w:spacing w:val="-6"/>
                <w:w w:val="124"/>
                <w:sz w:val="18"/>
                <w:szCs w:val="18"/>
                <w:lang w:val="mk-MK"/>
              </w:rPr>
              <w:lastRenderedPageBreak/>
              <w:t>(прва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1F338C" w:rsidRPr="009913D7" w:rsidRDefault="001F338C" w:rsidP="001F338C">
            <w:pPr>
              <w:shd w:val="clear" w:color="auto" w:fill="FFFFFF"/>
              <w:jc w:val="both"/>
              <w:rPr>
                <w:b/>
                <w:sz w:val="20"/>
                <w:szCs w:val="20"/>
              </w:rPr>
            </w:pPr>
            <w:r w:rsidRPr="009913D7">
              <w:rPr>
                <w:b/>
                <w:sz w:val="20"/>
                <w:szCs w:val="20"/>
                <w:lang w:val="mk-MK"/>
              </w:rPr>
              <w:lastRenderedPageBreak/>
              <w:t>Мерка  3. ,,Објавување на резултати за користење на ЕНЕР-„Огледало на Владата“</w:t>
            </w:r>
          </w:p>
          <w:p w:rsidR="001F338C" w:rsidRPr="009913D7" w:rsidRDefault="001F338C" w:rsidP="001F338C">
            <w:pPr>
              <w:shd w:val="clear" w:color="auto" w:fill="FFFFFF"/>
              <w:jc w:val="both"/>
              <w:rPr>
                <w:b/>
                <w:sz w:val="20"/>
                <w:szCs w:val="20"/>
                <w:lang w:val="mk-MK"/>
              </w:rPr>
            </w:pPr>
            <w:r w:rsidRPr="009913D7">
              <w:rPr>
                <w:sz w:val="20"/>
                <w:szCs w:val="20"/>
                <w:lang w:val="mk-MK"/>
              </w:rPr>
              <w:t xml:space="preserve">Во рамките на проектот „Огледало на Владата“, МЦМС ја следи практиката </w:t>
            </w:r>
            <w:r w:rsidRPr="009913D7">
              <w:rPr>
                <w:sz w:val="20"/>
                <w:szCs w:val="20"/>
                <w:lang w:val="mk-MK"/>
              </w:rPr>
              <w:lastRenderedPageBreak/>
              <w:t>на објавување на предлог-закони на ЕНЕР и објавува редовни неделни прегледи и месечни и квартални извештаи. Главната цел на проектот е Зголемена информираност и знаења на граѓанските организации и граѓаните за барање повеќе отчетност кај институциите како и придонесување кон нивен повисок интегритет.</w:t>
            </w:r>
          </w:p>
          <w:p w:rsidR="001F338C" w:rsidRPr="009913D7" w:rsidRDefault="001F338C" w:rsidP="001F338C">
            <w:pPr>
              <w:jc w:val="both"/>
              <w:rPr>
                <w:sz w:val="20"/>
                <w:szCs w:val="20"/>
                <w:lang w:val="mk-MK"/>
              </w:rPr>
            </w:pPr>
            <w:r w:rsidRPr="009913D7">
              <w:rPr>
                <w:sz w:val="20"/>
                <w:szCs w:val="20"/>
                <w:lang w:val="mk-MK"/>
              </w:rPr>
              <w:t>Неделните прегледи се објавуваат на почетокот од секоја недела и содржат информации за предлог законите објавени на ЕНЕР во претходната недела. Месечните прегледи се објавуваат на почетокот на месецот со податоци за претходниот месец и ги содржат информациите за почитувањето и за отстапките од минимално пропишаниот рок за консултации со јавноста за претходниот месец. Кварталните извештаи се објавуваат најдоцна еден месец после секој квартален период и имаат за цел подетална анализира на практиките на објавување на предлог закони на ЕНЕР. Во периодот помеѓу 1.7.2014 и 30.6.2015 година, беа подготвени и објавени 47 неделни извештаи, 12 месечни и 3 квартални извештаи.</w:t>
            </w:r>
          </w:p>
          <w:p w:rsidR="001F338C" w:rsidRPr="009913D7" w:rsidRDefault="001F338C" w:rsidP="001F338C">
            <w:pPr>
              <w:shd w:val="clear" w:color="auto" w:fill="FFFFFF"/>
              <w:jc w:val="both"/>
              <w:rPr>
                <w:sz w:val="20"/>
                <w:szCs w:val="20"/>
              </w:rPr>
            </w:pPr>
            <w:r w:rsidRPr="009913D7">
              <w:rPr>
                <w:sz w:val="20"/>
                <w:szCs w:val="20"/>
                <w:lang w:val="mk-MK"/>
              </w:rPr>
              <w:t>Пример за влијание на граѓанскиот сектор е и самиот проект „Огледало на Владата“. Имено, заклучоците и препораките од извештаите на „Огледало на Владата“ се земени во предвид при редизајнирањето на веб страницата на ЕНЕР, при што неговата функционалност е подобрена. На пример, една од препораките е дадени во извештајот Огледало на  Владата 2014 г. гласи: ,,</w:t>
            </w:r>
            <w:r w:rsidRPr="009913D7">
              <w:rPr>
                <w:i/>
                <w:sz w:val="20"/>
                <w:szCs w:val="20"/>
                <w:lang w:val="mk-MK"/>
              </w:rPr>
              <w:t>Министерствата треба поажурно да го користат ЕНЕР. Министерствата треба редовно да ги ажурираат статусите на предлог-законите, со цел јавноста во секој момент да знае дали објавените прописи се реално отворени за консултации или, пак, периодот за консултации е затворен и прописот е влезен во собраниска постапка."</w:t>
            </w:r>
            <w:r w:rsidRPr="009913D7">
              <w:rPr>
                <w:sz w:val="20"/>
                <w:szCs w:val="20"/>
                <w:lang w:val="mk-MK"/>
              </w:rPr>
              <w:t xml:space="preserve"> Со измени на ЕНЕР ова препорака е прифатена, па сега на ЕНЕР може да се види точниот преостанат период за консултации, а кога и ќе се завршат консултациите, стои јасна порака дека "Времето за коментари е истечено".</w:t>
            </w:r>
          </w:p>
          <w:p w:rsidR="001F338C" w:rsidRPr="009913D7" w:rsidRDefault="001F338C" w:rsidP="001F338C">
            <w:pPr>
              <w:jc w:val="both"/>
              <w:rPr>
                <w:sz w:val="20"/>
                <w:szCs w:val="20"/>
                <w:lang w:val="mk-MK"/>
              </w:rPr>
            </w:pPr>
            <w:r w:rsidRPr="009913D7">
              <w:rPr>
                <w:sz w:val="20"/>
                <w:szCs w:val="20"/>
                <w:lang w:val="mk-MK"/>
              </w:rPr>
              <w:t>Извештаите се достапни на следни адреси:</w:t>
            </w:r>
          </w:p>
          <w:p w:rsidR="001F338C" w:rsidRPr="009913D7" w:rsidRDefault="00FA42AE" w:rsidP="001F338C">
            <w:pPr>
              <w:jc w:val="both"/>
              <w:rPr>
                <w:sz w:val="20"/>
                <w:szCs w:val="20"/>
                <w:lang w:val="mk-MK"/>
              </w:rPr>
            </w:pPr>
            <w:hyperlink r:id="rId10" w:history="1">
              <w:r w:rsidR="001F338C" w:rsidRPr="009913D7">
                <w:rPr>
                  <w:rStyle w:val="Hyperlink"/>
                  <w:sz w:val="20"/>
                  <w:szCs w:val="20"/>
                  <w:lang w:val="mk-MK"/>
                </w:rPr>
                <w:t>http://www.ogledalonavladata.mk/index.php/vesti/sledenje-na-ener/nedelen-pregled.html</w:t>
              </w:r>
            </w:hyperlink>
          </w:p>
          <w:p w:rsidR="001F338C" w:rsidRPr="009913D7" w:rsidRDefault="00FA42AE" w:rsidP="001F338C">
            <w:pPr>
              <w:jc w:val="both"/>
              <w:rPr>
                <w:sz w:val="20"/>
                <w:szCs w:val="20"/>
                <w:lang w:val="mk-MK"/>
              </w:rPr>
            </w:pPr>
            <w:hyperlink r:id="rId11" w:history="1">
              <w:r w:rsidR="001F338C" w:rsidRPr="009913D7">
                <w:rPr>
                  <w:rStyle w:val="Hyperlink"/>
                  <w:sz w:val="20"/>
                  <w:szCs w:val="20"/>
                  <w:lang w:val="mk-MK"/>
                </w:rPr>
                <w:t>http://www.ogledalonavladata.mk/index.php/vesti/sledenje-na-ener/mesechen-pregled.html</w:t>
              </w:r>
            </w:hyperlink>
          </w:p>
          <w:p w:rsidR="001F338C" w:rsidRDefault="00FA42AE" w:rsidP="001F338C">
            <w:pPr>
              <w:jc w:val="both"/>
              <w:rPr>
                <w:b/>
                <w:lang w:val="mk-MK"/>
              </w:rPr>
            </w:pPr>
            <w:hyperlink r:id="rId12" w:history="1">
              <w:r w:rsidR="001F338C" w:rsidRPr="009913D7">
                <w:rPr>
                  <w:rStyle w:val="Hyperlink"/>
                  <w:sz w:val="20"/>
                  <w:szCs w:val="20"/>
                  <w:lang w:val="mk-MK"/>
                </w:rPr>
                <w:t>http://www.ogledalonavladata.mk/index.php/vesti/sledenje-na-ener/kvartalen-izvestaj.html</w:t>
              </w:r>
            </w:hyperlink>
          </w:p>
        </w:tc>
      </w:tr>
      <w:tr w:rsidR="001F338C" w:rsidTr="00C45916">
        <w:tc>
          <w:tcPr>
            <w:tcW w:w="3960" w:type="dxa"/>
            <w:gridSpan w:val="3"/>
          </w:tcPr>
          <w:p w:rsidR="001F338C" w:rsidRPr="00381F72" w:rsidRDefault="001F338C" w:rsidP="001F338C">
            <w:pPr>
              <w:jc w:val="both"/>
              <w:rPr>
                <w:color w:val="878786"/>
                <w:spacing w:val="-6"/>
                <w:w w:val="124"/>
                <w:sz w:val="18"/>
                <w:szCs w:val="18"/>
                <w:lang w:val="mk-MK"/>
              </w:rPr>
            </w:pPr>
            <w:r w:rsidRPr="00381F72">
              <w:rPr>
                <w:color w:val="878786"/>
                <w:spacing w:val="-6"/>
                <w:w w:val="124"/>
                <w:sz w:val="18"/>
                <w:szCs w:val="18"/>
                <w:lang w:val="mk-MK"/>
              </w:rPr>
              <w:lastRenderedPageBreak/>
              <w:t>Краен датум</w:t>
            </w:r>
          </w:p>
        </w:tc>
        <w:tc>
          <w:tcPr>
            <w:tcW w:w="6750" w:type="dxa"/>
            <w:gridSpan w:val="4"/>
          </w:tcPr>
          <w:p w:rsidR="001F338C" w:rsidRPr="009913D7" w:rsidRDefault="001F338C" w:rsidP="001F338C">
            <w:pPr>
              <w:rPr>
                <w:sz w:val="20"/>
                <w:szCs w:val="20"/>
              </w:rPr>
            </w:pPr>
            <w:r w:rsidRPr="009913D7">
              <w:rPr>
                <w:sz w:val="20"/>
                <w:szCs w:val="20"/>
                <w:lang w:val="mk-MK"/>
              </w:rPr>
              <w:t>30.4.2016 со можност за продолжување</w:t>
            </w:r>
          </w:p>
          <w:p w:rsidR="001F338C" w:rsidRPr="009913D7" w:rsidRDefault="001F338C" w:rsidP="001F338C">
            <w:pPr>
              <w:rPr>
                <w:sz w:val="20"/>
                <w:szCs w:val="20"/>
                <w:lang w:val="mk-MK"/>
              </w:rPr>
            </w:pPr>
          </w:p>
        </w:tc>
      </w:tr>
      <w:tr w:rsidR="001F338C" w:rsidTr="00C45916">
        <w:tc>
          <w:tcPr>
            <w:tcW w:w="3960" w:type="dxa"/>
            <w:gridSpan w:val="3"/>
          </w:tcPr>
          <w:p w:rsidR="001F338C" w:rsidRPr="00381F72" w:rsidRDefault="001F338C" w:rsidP="001F338C">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1F338C" w:rsidRPr="009913D7" w:rsidRDefault="001F338C" w:rsidP="001F338C">
            <w:pPr>
              <w:rPr>
                <w:sz w:val="20"/>
                <w:szCs w:val="20"/>
              </w:rPr>
            </w:pPr>
            <w:r w:rsidRPr="009913D7">
              <w:rPr>
                <w:sz w:val="20"/>
                <w:szCs w:val="20"/>
              </w:rPr>
              <w:t>Продолжување со активност</w:t>
            </w:r>
          </w:p>
          <w:p w:rsidR="001F338C" w:rsidRPr="009913D7" w:rsidRDefault="001F338C" w:rsidP="001F338C">
            <w:pPr>
              <w:jc w:val="both"/>
              <w:rPr>
                <w:sz w:val="20"/>
                <w:szCs w:val="20"/>
                <w:lang w:val="mk-MK"/>
              </w:rPr>
            </w:pPr>
          </w:p>
        </w:tc>
      </w:tr>
      <w:tr w:rsidR="001F338C" w:rsidTr="00C45916">
        <w:tc>
          <w:tcPr>
            <w:tcW w:w="10710" w:type="dxa"/>
            <w:gridSpan w:val="7"/>
          </w:tcPr>
          <w:p w:rsidR="001F338C" w:rsidRDefault="001F338C" w:rsidP="001F338C">
            <w:pPr>
              <w:jc w:val="both"/>
              <w:rPr>
                <w:color w:val="878786"/>
                <w:spacing w:val="-6"/>
                <w:w w:val="124"/>
                <w:sz w:val="18"/>
                <w:szCs w:val="18"/>
                <w:lang w:val="mk-MK"/>
              </w:rPr>
            </w:pPr>
            <w:r w:rsidRPr="00026994">
              <w:rPr>
                <w:color w:val="878786"/>
                <w:spacing w:val="-6"/>
                <w:w w:val="124"/>
                <w:sz w:val="18"/>
                <w:szCs w:val="18"/>
                <w:lang w:val="mk-MK"/>
              </w:rPr>
              <w:t xml:space="preserve">Дополнителни информации </w:t>
            </w:r>
          </w:p>
          <w:p w:rsidR="001F338C" w:rsidRPr="00AA3EBF" w:rsidRDefault="001F338C" w:rsidP="001F338C">
            <w:pPr>
              <w:ind w:right="102"/>
              <w:rPr>
                <w:sz w:val="20"/>
                <w:szCs w:val="20"/>
              </w:rPr>
            </w:pPr>
            <w:r w:rsidRPr="00AA3EBF">
              <w:rPr>
                <w:sz w:val="20"/>
                <w:szCs w:val="20"/>
              </w:rPr>
              <w:t>Во периодот кој следи, заради изборите планирани за април 2016 г. може да дојде до застој во процесот на донесување на закони што може да доведе до тоа дел од активностите на проектот да не може да се спроведат целосно.</w:t>
            </w:r>
          </w:p>
          <w:p w:rsidR="001F338C" w:rsidRDefault="001F338C" w:rsidP="001F338C">
            <w:pPr>
              <w:jc w:val="both"/>
              <w:rPr>
                <w:b/>
                <w:lang w:val="mk-MK"/>
              </w:rPr>
            </w:pPr>
          </w:p>
        </w:tc>
      </w:tr>
      <w:tr w:rsidR="001F338C" w:rsidRPr="00381F72" w:rsidTr="00C45916">
        <w:trPr>
          <w:trHeight w:val="435"/>
        </w:trPr>
        <w:tc>
          <w:tcPr>
            <w:tcW w:w="3960" w:type="dxa"/>
            <w:gridSpan w:val="3"/>
            <w:vMerge w:val="restart"/>
          </w:tcPr>
          <w:p w:rsidR="001F338C" w:rsidRPr="00381F72" w:rsidRDefault="001F338C" w:rsidP="001F338C">
            <w:pPr>
              <w:jc w:val="both"/>
              <w:rPr>
                <w:color w:val="878786"/>
                <w:spacing w:val="-6"/>
                <w:w w:val="124"/>
                <w:sz w:val="18"/>
                <w:szCs w:val="18"/>
                <w:lang w:val="mk-MK"/>
              </w:rPr>
            </w:pPr>
          </w:p>
          <w:p w:rsidR="001F338C" w:rsidRPr="00381F72" w:rsidRDefault="001F338C" w:rsidP="001F338C">
            <w:pPr>
              <w:jc w:val="both"/>
              <w:rPr>
                <w:color w:val="878786"/>
                <w:spacing w:val="-6"/>
                <w:w w:val="124"/>
                <w:sz w:val="18"/>
                <w:szCs w:val="18"/>
                <w:lang w:val="mk-MK"/>
              </w:rPr>
            </w:pPr>
            <w:r w:rsidRPr="00381F72">
              <w:rPr>
                <w:color w:val="878786"/>
                <w:spacing w:val="-6"/>
                <w:w w:val="124"/>
                <w:sz w:val="18"/>
                <w:szCs w:val="18"/>
                <w:lang w:val="mk-MK"/>
              </w:rPr>
              <w:t>Ниво на проект</w:t>
            </w:r>
          </w:p>
          <w:p w:rsidR="001F338C" w:rsidRPr="00381F72" w:rsidRDefault="001F338C" w:rsidP="001F338C">
            <w:pPr>
              <w:jc w:val="both"/>
              <w:rPr>
                <w:color w:val="878786"/>
                <w:spacing w:val="-6"/>
                <w:w w:val="124"/>
                <w:sz w:val="18"/>
                <w:szCs w:val="18"/>
                <w:lang w:val="mk-MK"/>
              </w:rPr>
            </w:pPr>
          </w:p>
        </w:tc>
        <w:tc>
          <w:tcPr>
            <w:tcW w:w="1627" w:type="dxa"/>
          </w:tcPr>
          <w:p w:rsidR="001F338C" w:rsidRPr="00381F72" w:rsidRDefault="001F338C" w:rsidP="001F338C">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1F338C" w:rsidRPr="00381F72" w:rsidRDefault="001F338C" w:rsidP="001F338C">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1F338C" w:rsidRPr="00381F72" w:rsidRDefault="001F338C" w:rsidP="001F338C">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1F338C" w:rsidRPr="00381F72" w:rsidRDefault="001F338C" w:rsidP="001F338C">
            <w:pPr>
              <w:jc w:val="both"/>
              <w:rPr>
                <w:color w:val="878786"/>
                <w:spacing w:val="-6"/>
                <w:w w:val="124"/>
                <w:sz w:val="18"/>
                <w:szCs w:val="18"/>
                <w:lang w:val="mk-MK"/>
              </w:rPr>
            </w:pPr>
            <w:r>
              <w:rPr>
                <w:color w:val="878786"/>
                <w:spacing w:val="-6"/>
                <w:w w:val="124"/>
                <w:sz w:val="18"/>
                <w:szCs w:val="18"/>
                <w:lang w:val="mk-MK"/>
              </w:rPr>
              <w:t>завршено</w:t>
            </w:r>
          </w:p>
        </w:tc>
      </w:tr>
      <w:tr w:rsidR="001F338C" w:rsidRPr="00381F72" w:rsidTr="001F338C">
        <w:trPr>
          <w:trHeight w:val="367"/>
        </w:trPr>
        <w:tc>
          <w:tcPr>
            <w:tcW w:w="3960" w:type="dxa"/>
            <w:gridSpan w:val="3"/>
            <w:vMerge/>
          </w:tcPr>
          <w:p w:rsidR="001F338C" w:rsidRPr="00381F72" w:rsidRDefault="001F338C" w:rsidP="001F338C">
            <w:pPr>
              <w:jc w:val="both"/>
              <w:rPr>
                <w:color w:val="878786"/>
                <w:spacing w:val="-6"/>
                <w:w w:val="124"/>
                <w:sz w:val="18"/>
                <w:szCs w:val="18"/>
                <w:lang w:val="mk-MK"/>
              </w:rPr>
            </w:pPr>
          </w:p>
        </w:tc>
        <w:tc>
          <w:tcPr>
            <w:tcW w:w="1627" w:type="dxa"/>
          </w:tcPr>
          <w:p w:rsidR="001F338C" w:rsidRPr="00381F72" w:rsidRDefault="001F338C" w:rsidP="001F338C">
            <w:pPr>
              <w:jc w:val="both"/>
              <w:rPr>
                <w:color w:val="878786"/>
                <w:spacing w:val="-6"/>
                <w:w w:val="124"/>
                <w:sz w:val="18"/>
                <w:szCs w:val="18"/>
                <w:lang w:val="mk-MK"/>
              </w:rPr>
            </w:pPr>
          </w:p>
        </w:tc>
        <w:tc>
          <w:tcPr>
            <w:tcW w:w="1724" w:type="dxa"/>
          </w:tcPr>
          <w:p w:rsidR="001F338C" w:rsidRPr="00381F72" w:rsidRDefault="001F338C" w:rsidP="001F338C">
            <w:pPr>
              <w:jc w:val="both"/>
              <w:rPr>
                <w:color w:val="878786"/>
                <w:spacing w:val="-6"/>
                <w:w w:val="124"/>
                <w:sz w:val="18"/>
                <w:szCs w:val="18"/>
                <w:lang w:val="mk-MK"/>
              </w:rPr>
            </w:pPr>
          </w:p>
        </w:tc>
        <w:tc>
          <w:tcPr>
            <w:tcW w:w="1564" w:type="dxa"/>
            <w:shd w:val="clear" w:color="auto" w:fill="548DD4" w:themeFill="text2" w:themeFillTint="99"/>
          </w:tcPr>
          <w:p w:rsidR="001F338C" w:rsidRPr="00381F72" w:rsidRDefault="001F338C" w:rsidP="001F338C">
            <w:pPr>
              <w:jc w:val="both"/>
              <w:rPr>
                <w:color w:val="878786"/>
                <w:spacing w:val="-6"/>
                <w:w w:val="124"/>
                <w:sz w:val="18"/>
                <w:szCs w:val="18"/>
                <w:lang w:val="mk-MK"/>
              </w:rPr>
            </w:pPr>
          </w:p>
        </w:tc>
        <w:tc>
          <w:tcPr>
            <w:tcW w:w="1835" w:type="dxa"/>
          </w:tcPr>
          <w:p w:rsidR="001F338C" w:rsidRPr="00381F72" w:rsidRDefault="001F338C" w:rsidP="001F338C">
            <w:pPr>
              <w:jc w:val="both"/>
              <w:rPr>
                <w:color w:val="878786"/>
                <w:spacing w:val="-6"/>
                <w:w w:val="124"/>
                <w:sz w:val="18"/>
                <w:szCs w:val="18"/>
                <w:lang w:val="mk-MK"/>
              </w:rPr>
            </w:pPr>
          </w:p>
        </w:tc>
      </w:tr>
      <w:tr w:rsidR="001F338C" w:rsidTr="00C45916">
        <w:tc>
          <w:tcPr>
            <w:tcW w:w="3960" w:type="dxa"/>
            <w:gridSpan w:val="3"/>
          </w:tcPr>
          <w:p w:rsidR="001F338C" w:rsidRPr="00381F72" w:rsidRDefault="001F338C" w:rsidP="001F338C">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1F338C" w:rsidRPr="00381F72" w:rsidRDefault="001F338C" w:rsidP="001F338C">
            <w:pPr>
              <w:jc w:val="both"/>
              <w:rPr>
                <w:color w:val="878786"/>
                <w:spacing w:val="-6"/>
                <w:w w:val="124"/>
                <w:sz w:val="18"/>
                <w:szCs w:val="18"/>
                <w:lang w:val="mk-MK"/>
              </w:rPr>
            </w:pPr>
            <w:r w:rsidRPr="00381F72">
              <w:rPr>
                <w:color w:val="878786"/>
                <w:spacing w:val="-6"/>
                <w:w w:val="124"/>
                <w:sz w:val="18"/>
                <w:szCs w:val="18"/>
                <w:lang w:val="mk-MK"/>
              </w:rPr>
              <w:t xml:space="preserve">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w:t>
            </w:r>
            <w:r w:rsidRPr="00381F72">
              <w:rPr>
                <w:color w:val="878786"/>
                <w:spacing w:val="-6"/>
                <w:w w:val="124"/>
                <w:sz w:val="18"/>
                <w:szCs w:val="18"/>
                <w:lang w:val="mk-MK"/>
              </w:rPr>
              <w:lastRenderedPageBreak/>
              <w:t>граѓаните ја применуваат заложбата или дека заложбата има ефект.</w:t>
            </w:r>
          </w:p>
        </w:tc>
        <w:tc>
          <w:tcPr>
            <w:tcW w:w="6750" w:type="dxa"/>
            <w:gridSpan w:val="4"/>
          </w:tcPr>
          <w:p w:rsidR="001F338C" w:rsidRPr="009913D7" w:rsidRDefault="001F338C" w:rsidP="001F338C">
            <w:pPr>
              <w:shd w:val="clear" w:color="auto" w:fill="FFFFFF"/>
              <w:jc w:val="both"/>
              <w:rPr>
                <w:b/>
                <w:sz w:val="20"/>
                <w:szCs w:val="20"/>
              </w:rPr>
            </w:pPr>
            <w:r w:rsidRPr="009913D7">
              <w:rPr>
                <w:b/>
                <w:sz w:val="20"/>
                <w:szCs w:val="20"/>
                <w:lang w:val="mk-MK"/>
              </w:rPr>
              <w:lastRenderedPageBreak/>
              <w:t>Мерка 4. Следење на отвореност на Владини институции во процесите на креирање политики и подготовка на закони „ Огледало на Владата: учество на јавноста во процесите на подготовка на закони “</w:t>
            </w:r>
          </w:p>
          <w:p w:rsidR="001F338C" w:rsidRPr="009913D7" w:rsidRDefault="001F338C" w:rsidP="001F338C">
            <w:pPr>
              <w:rPr>
                <w:color w:val="000000"/>
                <w:sz w:val="20"/>
                <w:szCs w:val="20"/>
                <w:lang w:val="mk-MK"/>
              </w:rPr>
            </w:pPr>
            <w:r w:rsidRPr="009913D7">
              <w:rPr>
                <w:sz w:val="20"/>
                <w:szCs w:val="20"/>
                <w:lang w:val="mk-MK"/>
              </w:rPr>
              <w:t xml:space="preserve">Во 2014 година е објавен сеопфатен годишен извештај ,,Огледало на Владата: Учество на јавноста во процесите на подготовка на закони”. </w:t>
            </w:r>
            <w:r w:rsidRPr="009913D7">
              <w:rPr>
                <w:sz w:val="20"/>
                <w:szCs w:val="20"/>
                <w:lang w:val="mk-MK"/>
              </w:rPr>
              <w:lastRenderedPageBreak/>
              <w:t xml:space="preserve">Анализата се состои од два дела. Во првиот дел се претставени и анализирани резултатите добиени со прашалниците испратени до органите на државна управа (ОДУ). Преку нив е оценета отвореноста на ОДУ во комуникацијата со јавноста и отвореноста на процесите на подготовка на 27 акти на 12 министерства. </w:t>
            </w:r>
            <w:r w:rsidRPr="009913D7">
              <w:rPr>
                <w:color w:val="000000"/>
                <w:sz w:val="20"/>
                <w:szCs w:val="20"/>
                <w:lang w:val="mk-MK"/>
              </w:rPr>
              <w:t>Извештај е презентиран на промотивен настан на 18 ноември 2014 во х. Холидеј Ин, во Скопје. На настанот беа присутни претставници од повеќе министерства и државни институции, како и претставници од граѓански организации.</w:t>
            </w:r>
          </w:p>
          <w:p w:rsidR="001F338C" w:rsidRPr="009913D7" w:rsidRDefault="001F338C" w:rsidP="001F338C">
            <w:pPr>
              <w:shd w:val="clear" w:color="auto" w:fill="FFFFFF"/>
              <w:rPr>
                <w:sz w:val="20"/>
                <w:szCs w:val="20"/>
              </w:rPr>
            </w:pPr>
            <w:r w:rsidRPr="009913D7">
              <w:rPr>
                <w:color w:val="000000"/>
                <w:sz w:val="20"/>
                <w:szCs w:val="20"/>
                <w:lang w:val="mk-MK"/>
              </w:rPr>
              <w:t xml:space="preserve">Извештајот е достапен </w:t>
            </w:r>
            <w:r w:rsidRPr="009913D7">
              <w:rPr>
                <w:sz w:val="20"/>
                <w:szCs w:val="20"/>
              </w:rPr>
              <w:t xml:space="preserve">на </w:t>
            </w:r>
            <w:hyperlink r:id="rId13" w:history="1">
              <w:r w:rsidRPr="009913D7">
                <w:rPr>
                  <w:rStyle w:val="Hyperlink"/>
                  <w:sz w:val="20"/>
                  <w:szCs w:val="20"/>
                  <w:lang w:val="mk-MK"/>
                </w:rPr>
                <w:t>http://www.ogledalonavladata.mk/images/docs/publikacii/analiza-ogledalo-na-vladata-2014.pdf</w:t>
              </w:r>
            </w:hyperlink>
            <w:r w:rsidRPr="009913D7">
              <w:rPr>
                <w:color w:val="000000"/>
                <w:sz w:val="20"/>
                <w:szCs w:val="20"/>
                <w:lang w:val="mk-MK"/>
              </w:rPr>
              <w:t>.</w:t>
            </w:r>
          </w:p>
        </w:tc>
      </w:tr>
      <w:tr w:rsidR="001F338C" w:rsidTr="00C45916">
        <w:tc>
          <w:tcPr>
            <w:tcW w:w="3960" w:type="dxa"/>
            <w:gridSpan w:val="3"/>
          </w:tcPr>
          <w:p w:rsidR="001F338C" w:rsidRPr="00381F72" w:rsidRDefault="001F338C" w:rsidP="001F338C">
            <w:pPr>
              <w:jc w:val="both"/>
              <w:rPr>
                <w:color w:val="878786"/>
                <w:spacing w:val="-6"/>
                <w:w w:val="124"/>
                <w:sz w:val="18"/>
                <w:szCs w:val="18"/>
                <w:lang w:val="mk-MK"/>
              </w:rPr>
            </w:pPr>
            <w:r w:rsidRPr="00381F72">
              <w:rPr>
                <w:color w:val="878786"/>
                <w:spacing w:val="-6"/>
                <w:w w:val="124"/>
                <w:sz w:val="18"/>
                <w:szCs w:val="18"/>
                <w:lang w:val="mk-MK"/>
              </w:rPr>
              <w:lastRenderedPageBreak/>
              <w:t>Краен датум</w:t>
            </w:r>
          </w:p>
        </w:tc>
        <w:tc>
          <w:tcPr>
            <w:tcW w:w="6750" w:type="dxa"/>
            <w:gridSpan w:val="4"/>
          </w:tcPr>
          <w:p w:rsidR="001F338C" w:rsidRPr="009913D7" w:rsidRDefault="001F338C" w:rsidP="001F338C">
            <w:pPr>
              <w:rPr>
                <w:sz w:val="20"/>
                <w:szCs w:val="20"/>
              </w:rPr>
            </w:pPr>
            <w:r w:rsidRPr="009913D7">
              <w:rPr>
                <w:sz w:val="20"/>
                <w:szCs w:val="20"/>
                <w:lang w:val="mk-MK"/>
              </w:rPr>
              <w:t>30.4.2016 со можност за продолжување</w:t>
            </w:r>
          </w:p>
        </w:tc>
      </w:tr>
      <w:tr w:rsidR="001F338C" w:rsidTr="00C45916">
        <w:tc>
          <w:tcPr>
            <w:tcW w:w="3960" w:type="dxa"/>
            <w:gridSpan w:val="3"/>
          </w:tcPr>
          <w:p w:rsidR="001F338C" w:rsidRPr="00381F72" w:rsidRDefault="001F338C" w:rsidP="001F338C">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1F338C" w:rsidRPr="009913D7" w:rsidRDefault="001F338C" w:rsidP="001F338C">
            <w:pPr>
              <w:rPr>
                <w:color w:val="000000"/>
                <w:sz w:val="20"/>
                <w:szCs w:val="20"/>
                <w:lang w:val="mk-MK"/>
              </w:rPr>
            </w:pPr>
            <w:r w:rsidRPr="009913D7">
              <w:rPr>
                <w:color w:val="000000"/>
                <w:sz w:val="20"/>
                <w:szCs w:val="20"/>
                <w:lang w:val="mk-MK"/>
              </w:rPr>
              <w:t xml:space="preserve">Годишен извештај е предвиден и за 2015 година и ќе биде објавен на почеток на 2016 година. </w:t>
            </w:r>
          </w:p>
          <w:p w:rsidR="001F338C" w:rsidRDefault="001F338C" w:rsidP="001F338C">
            <w:pPr>
              <w:jc w:val="both"/>
              <w:rPr>
                <w:b/>
                <w:lang w:val="mk-MK"/>
              </w:rPr>
            </w:pPr>
          </w:p>
        </w:tc>
      </w:tr>
      <w:tr w:rsidR="001F338C" w:rsidTr="00C45916">
        <w:tc>
          <w:tcPr>
            <w:tcW w:w="10710" w:type="dxa"/>
            <w:gridSpan w:val="7"/>
          </w:tcPr>
          <w:p w:rsidR="001F338C" w:rsidRDefault="001F338C" w:rsidP="001F338C">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r w:rsidR="001F338C" w:rsidRPr="00381F72" w:rsidTr="00C45916">
        <w:trPr>
          <w:trHeight w:val="435"/>
        </w:trPr>
        <w:tc>
          <w:tcPr>
            <w:tcW w:w="3960" w:type="dxa"/>
            <w:gridSpan w:val="3"/>
            <w:vMerge w:val="restart"/>
          </w:tcPr>
          <w:p w:rsidR="001F338C" w:rsidRPr="00381F72" w:rsidRDefault="001F338C" w:rsidP="001F338C">
            <w:pPr>
              <w:jc w:val="both"/>
              <w:rPr>
                <w:color w:val="878786"/>
                <w:spacing w:val="-6"/>
                <w:w w:val="124"/>
                <w:sz w:val="18"/>
                <w:szCs w:val="18"/>
                <w:lang w:val="mk-MK"/>
              </w:rPr>
            </w:pPr>
          </w:p>
          <w:p w:rsidR="001F338C" w:rsidRPr="00381F72" w:rsidRDefault="001F338C" w:rsidP="001F338C">
            <w:pPr>
              <w:jc w:val="both"/>
              <w:rPr>
                <w:color w:val="878786"/>
                <w:spacing w:val="-6"/>
                <w:w w:val="124"/>
                <w:sz w:val="18"/>
                <w:szCs w:val="18"/>
                <w:lang w:val="mk-MK"/>
              </w:rPr>
            </w:pPr>
            <w:r w:rsidRPr="00381F72">
              <w:rPr>
                <w:color w:val="878786"/>
                <w:spacing w:val="-6"/>
                <w:w w:val="124"/>
                <w:sz w:val="18"/>
                <w:szCs w:val="18"/>
                <w:lang w:val="mk-MK"/>
              </w:rPr>
              <w:t>Ниво на проект</w:t>
            </w:r>
          </w:p>
          <w:p w:rsidR="001F338C" w:rsidRPr="00381F72" w:rsidRDefault="001F338C" w:rsidP="001F338C">
            <w:pPr>
              <w:jc w:val="both"/>
              <w:rPr>
                <w:color w:val="878786"/>
                <w:spacing w:val="-6"/>
                <w:w w:val="124"/>
                <w:sz w:val="18"/>
                <w:szCs w:val="18"/>
                <w:lang w:val="mk-MK"/>
              </w:rPr>
            </w:pPr>
          </w:p>
        </w:tc>
        <w:tc>
          <w:tcPr>
            <w:tcW w:w="1627" w:type="dxa"/>
          </w:tcPr>
          <w:p w:rsidR="001F338C" w:rsidRPr="00381F72" w:rsidRDefault="001F338C" w:rsidP="001F338C">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1F338C" w:rsidRPr="00381F72" w:rsidRDefault="001F338C" w:rsidP="001F338C">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1F338C" w:rsidRPr="00381F72" w:rsidRDefault="001F338C" w:rsidP="001F338C">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1F338C" w:rsidRPr="00381F72" w:rsidRDefault="001F338C" w:rsidP="001F338C">
            <w:pPr>
              <w:jc w:val="both"/>
              <w:rPr>
                <w:color w:val="878786"/>
                <w:spacing w:val="-6"/>
                <w:w w:val="124"/>
                <w:sz w:val="18"/>
                <w:szCs w:val="18"/>
                <w:lang w:val="mk-MK"/>
              </w:rPr>
            </w:pPr>
            <w:r>
              <w:rPr>
                <w:color w:val="878786"/>
                <w:spacing w:val="-6"/>
                <w:w w:val="124"/>
                <w:sz w:val="18"/>
                <w:szCs w:val="18"/>
                <w:lang w:val="mk-MK"/>
              </w:rPr>
              <w:t>завршено</w:t>
            </w:r>
          </w:p>
        </w:tc>
      </w:tr>
      <w:tr w:rsidR="001F338C" w:rsidRPr="00381F72" w:rsidTr="0086333C">
        <w:trPr>
          <w:trHeight w:val="367"/>
        </w:trPr>
        <w:tc>
          <w:tcPr>
            <w:tcW w:w="3960" w:type="dxa"/>
            <w:gridSpan w:val="3"/>
            <w:vMerge/>
          </w:tcPr>
          <w:p w:rsidR="001F338C" w:rsidRPr="00381F72" w:rsidRDefault="001F338C" w:rsidP="001F338C">
            <w:pPr>
              <w:jc w:val="both"/>
              <w:rPr>
                <w:color w:val="878786"/>
                <w:spacing w:val="-6"/>
                <w:w w:val="124"/>
                <w:sz w:val="18"/>
                <w:szCs w:val="18"/>
                <w:lang w:val="mk-MK"/>
              </w:rPr>
            </w:pPr>
          </w:p>
        </w:tc>
        <w:tc>
          <w:tcPr>
            <w:tcW w:w="1627" w:type="dxa"/>
          </w:tcPr>
          <w:p w:rsidR="001F338C" w:rsidRPr="00381F72" w:rsidRDefault="001F338C" w:rsidP="001F338C">
            <w:pPr>
              <w:jc w:val="both"/>
              <w:rPr>
                <w:color w:val="878786"/>
                <w:spacing w:val="-6"/>
                <w:w w:val="124"/>
                <w:sz w:val="18"/>
                <w:szCs w:val="18"/>
                <w:lang w:val="mk-MK"/>
              </w:rPr>
            </w:pPr>
          </w:p>
        </w:tc>
        <w:tc>
          <w:tcPr>
            <w:tcW w:w="1724" w:type="dxa"/>
            <w:shd w:val="clear" w:color="auto" w:fill="548DD4" w:themeFill="text2" w:themeFillTint="99"/>
          </w:tcPr>
          <w:p w:rsidR="001F338C" w:rsidRPr="00381F72" w:rsidRDefault="001F338C" w:rsidP="001F338C">
            <w:pPr>
              <w:jc w:val="both"/>
              <w:rPr>
                <w:color w:val="878786"/>
                <w:spacing w:val="-6"/>
                <w:w w:val="124"/>
                <w:sz w:val="18"/>
                <w:szCs w:val="18"/>
                <w:lang w:val="mk-MK"/>
              </w:rPr>
            </w:pPr>
          </w:p>
        </w:tc>
        <w:tc>
          <w:tcPr>
            <w:tcW w:w="1564" w:type="dxa"/>
          </w:tcPr>
          <w:p w:rsidR="001F338C" w:rsidRPr="00381F72" w:rsidRDefault="001F338C" w:rsidP="001F338C">
            <w:pPr>
              <w:jc w:val="both"/>
              <w:rPr>
                <w:color w:val="878786"/>
                <w:spacing w:val="-6"/>
                <w:w w:val="124"/>
                <w:sz w:val="18"/>
                <w:szCs w:val="18"/>
                <w:lang w:val="mk-MK"/>
              </w:rPr>
            </w:pPr>
          </w:p>
        </w:tc>
        <w:tc>
          <w:tcPr>
            <w:tcW w:w="1835" w:type="dxa"/>
          </w:tcPr>
          <w:p w:rsidR="001F338C" w:rsidRPr="00381F72" w:rsidRDefault="001F338C" w:rsidP="001F338C">
            <w:pPr>
              <w:jc w:val="both"/>
              <w:rPr>
                <w:color w:val="878786"/>
                <w:spacing w:val="-6"/>
                <w:w w:val="124"/>
                <w:sz w:val="18"/>
                <w:szCs w:val="18"/>
                <w:lang w:val="mk-MK"/>
              </w:rPr>
            </w:pPr>
          </w:p>
        </w:tc>
      </w:tr>
      <w:tr w:rsidR="0086333C" w:rsidTr="00C45916">
        <w:tc>
          <w:tcPr>
            <w:tcW w:w="3960" w:type="dxa"/>
            <w:gridSpan w:val="3"/>
          </w:tcPr>
          <w:p w:rsidR="0086333C" w:rsidRPr="00381F72" w:rsidRDefault="0086333C" w:rsidP="0086333C">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86333C" w:rsidRPr="00381F72" w:rsidRDefault="0086333C" w:rsidP="0086333C">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86333C" w:rsidRPr="009913D7" w:rsidRDefault="0086333C" w:rsidP="0086333C">
            <w:pPr>
              <w:jc w:val="both"/>
              <w:rPr>
                <w:b/>
                <w:sz w:val="20"/>
                <w:szCs w:val="20"/>
                <w:lang w:val="mk-MK"/>
              </w:rPr>
            </w:pPr>
            <w:r w:rsidRPr="009913D7">
              <w:rPr>
                <w:b/>
                <w:sz w:val="20"/>
                <w:szCs w:val="20"/>
              </w:rPr>
              <w:t xml:space="preserve">Мерка  </w:t>
            </w:r>
            <w:r w:rsidRPr="009913D7">
              <w:rPr>
                <w:b/>
                <w:sz w:val="20"/>
                <w:szCs w:val="20"/>
                <w:lang w:val="mk-MK"/>
              </w:rPr>
              <w:t>5.,, Градење на капацитетите на граѓанските организации за мониторинг на спроведувањето на политиките“</w:t>
            </w:r>
          </w:p>
          <w:p w:rsidR="0086333C" w:rsidRPr="009913D7" w:rsidRDefault="0086333C" w:rsidP="0086333C">
            <w:pPr>
              <w:jc w:val="both"/>
              <w:rPr>
                <w:sz w:val="20"/>
                <w:szCs w:val="20"/>
              </w:rPr>
            </w:pPr>
            <w:r w:rsidRPr="009913D7">
              <w:rPr>
                <w:sz w:val="20"/>
                <w:szCs w:val="20"/>
                <w:lang w:val="mk-MK"/>
              </w:rPr>
              <w:t>П</w:t>
            </w:r>
            <w:r w:rsidRPr="009913D7">
              <w:rPr>
                <w:sz w:val="20"/>
                <w:szCs w:val="20"/>
              </w:rPr>
              <w:t xml:space="preserve">реку проектот ЛОТОС, </w:t>
            </w:r>
            <w:r w:rsidRPr="009913D7">
              <w:rPr>
                <w:sz w:val="20"/>
                <w:szCs w:val="20"/>
                <w:lang w:val="mk-MK"/>
              </w:rPr>
              <w:t xml:space="preserve">Центар за истражување и креирање политики има </w:t>
            </w:r>
            <w:r w:rsidRPr="009913D7">
              <w:rPr>
                <w:sz w:val="20"/>
                <w:szCs w:val="20"/>
              </w:rPr>
              <w:t xml:space="preserve"> спровед</w:t>
            </w:r>
            <w:r w:rsidRPr="009913D7">
              <w:rPr>
                <w:sz w:val="20"/>
                <w:szCs w:val="20"/>
                <w:lang w:val="mk-MK"/>
              </w:rPr>
              <w:t xml:space="preserve">ено </w:t>
            </w:r>
            <w:r w:rsidRPr="009913D7">
              <w:rPr>
                <w:sz w:val="20"/>
                <w:szCs w:val="20"/>
              </w:rPr>
              <w:t>обука за седум истражувачи од различни граѓански организации кои делуваат на локално ниво, во поглед на користење на методологија за систематско следење на механизмите за транспарентност и отчетност на локално ниво. Истражувачите ја користеа оваа методологија за следење на спроведувањето на политиките за добро владеење во 43 општини во Македонија. Извештајот за резултатите од овој едногодишен мониторинг е објав</w:t>
            </w:r>
            <w:r w:rsidRPr="009913D7">
              <w:rPr>
                <w:sz w:val="20"/>
                <w:szCs w:val="20"/>
                <w:lang w:val="mk-MK"/>
              </w:rPr>
              <w:t>ен</w:t>
            </w:r>
            <w:r w:rsidRPr="009913D7">
              <w:rPr>
                <w:sz w:val="20"/>
                <w:szCs w:val="20"/>
              </w:rPr>
              <w:t xml:space="preserve"> во мај 2015 и се </w:t>
            </w:r>
            <w:r w:rsidRPr="009913D7">
              <w:rPr>
                <w:sz w:val="20"/>
                <w:szCs w:val="20"/>
                <w:lang w:val="mk-MK"/>
              </w:rPr>
              <w:t xml:space="preserve">беше </w:t>
            </w:r>
            <w:r w:rsidRPr="009913D7">
              <w:rPr>
                <w:sz w:val="20"/>
                <w:szCs w:val="20"/>
              </w:rPr>
              <w:t>презентира</w:t>
            </w:r>
            <w:r w:rsidRPr="009913D7">
              <w:rPr>
                <w:sz w:val="20"/>
                <w:szCs w:val="20"/>
                <w:lang w:val="mk-MK"/>
              </w:rPr>
              <w:t>н</w:t>
            </w:r>
            <w:r w:rsidRPr="009913D7">
              <w:rPr>
                <w:sz w:val="20"/>
                <w:szCs w:val="20"/>
              </w:rPr>
              <w:t xml:space="preserve"> пред претставници на општините и невладините организации.</w:t>
            </w:r>
          </w:p>
        </w:tc>
      </w:tr>
      <w:tr w:rsidR="0086333C" w:rsidTr="00C45916">
        <w:tc>
          <w:tcPr>
            <w:tcW w:w="3960" w:type="dxa"/>
            <w:gridSpan w:val="3"/>
          </w:tcPr>
          <w:p w:rsidR="0086333C" w:rsidRPr="00381F72" w:rsidRDefault="0086333C" w:rsidP="0086333C">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6750" w:type="dxa"/>
            <w:gridSpan w:val="4"/>
          </w:tcPr>
          <w:p w:rsidR="0086333C" w:rsidRPr="009913D7" w:rsidRDefault="0086333C" w:rsidP="0086333C">
            <w:pPr>
              <w:rPr>
                <w:sz w:val="20"/>
                <w:szCs w:val="20"/>
              </w:rPr>
            </w:pPr>
            <w:r w:rsidRPr="009913D7">
              <w:rPr>
                <w:sz w:val="20"/>
                <w:szCs w:val="20"/>
              </w:rPr>
              <w:t>Декември</w:t>
            </w:r>
            <w:r w:rsidRPr="009913D7">
              <w:rPr>
                <w:sz w:val="20"/>
                <w:szCs w:val="20"/>
                <w:lang w:val="mk-MK"/>
              </w:rPr>
              <w:t xml:space="preserve">, </w:t>
            </w:r>
            <w:r w:rsidRPr="009913D7">
              <w:rPr>
                <w:sz w:val="20"/>
                <w:szCs w:val="20"/>
              </w:rPr>
              <w:t>2016</w:t>
            </w:r>
          </w:p>
        </w:tc>
      </w:tr>
      <w:tr w:rsidR="0086333C" w:rsidTr="00C45916">
        <w:tc>
          <w:tcPr>
            <w:tcW w:w="3960" w:type="dxa"/>
            <w:gridSpan w:val="3"/>
          </w:tcPr>
          <w:p w:rsidR="0086333C" w:rsidRPr="00381F72" w:rsidRDefault="0086333C" w:rsidP="0086333C">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86333C" w:rsidRDefault="00193A84" w:rsidP="0086333C">
            <w:pPr>
              <w:jc w:val="both"/>
              <w:rPr>
                <w:b/>
                <w:lang w:val="mk-MK"/>
              </w:rPr>
            </w:pPr>
            <w:r w:rsidRPr="00193A84">
              <w:rPr>
                <w:sz w:val="20"/>
                <w:szCs w:val="20"/>
              </w:rPr>
              <w:t>Тековно превземање на планираните активности</w:t>
            </w:r>
          </w:p>
        </w:tc>
      </w:tr>
      <w:tr w:rsidR="0086333C" w:rsidTr="00C45916">
        <w:tc>
          <w:tcPr>
            <w:tcW w:w="10710" w:type="dxa"/>
            <w:gridSpan w:val="7"/>
          </w:tcPr>
          <w:p w:rsidR="0086333C" w:rsidRDefault="0086333C" w:rsidP="0086333C">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r w:rsidR="0086333C" w:rsidRPr="00381F72" w:rsidTr="00C45916">
        <w:trPr>
          <w:trHeight w:val="435"/>
        </w:trPr>
        <w:tc>
          <w:tcPr>
            <w:tcW w:w="3960" w:type="dxa"/>
            <w:gridSpan w:val="3"/>
            <w:vMerge w:val="restart"/>
          </w:tcPr>
          <w:p w:rsidR="0086333C" w:rsidRPr="00381F72" w:rsidRDefault="0086333C" w:rsidP="0086333C">
            <w:pPr>
              <w:jc w:val="both"/>
              <w:rPr>
                <w:color w:val="878786"/>
                <w:spacing w:val="-6"/>
                <w:w w:val="124"/>
                <w:sz w:val="18"/>
                <w:szCs w:val="18"/>
                <w:lang w:val="mk-MK"/>
              </w:rPr>
            </w:pPr>
          </w:p>
          <w:p w:rsidR="0086333C" w:rsidRPr="00381F72" w:rsidRDefault="0086333C" w:rsidP="0086333C">
            <w:pPr>
              <w:jc w:val="both"/>
              <w:rPr>
                <w:color w:val="878786"/>
                <w:spacing w:val="-6"/>
                <w:w w:val="124"/>
                <w:sz w:val="18"/>
                <w:szCs w:val="18"/>
                <w:lang w:val="mk-MK"/>
              </w:rPr>
            </w:pPr>
            <w:r w:rsidRPr="00381F72">
              <w:rPr>
                <w:color w:val="878786"/>
                <w:spacing w:val="-6"/>
                <w:w w:val="124"/>
                <w:sz w:val="18"/>
                <w:szCs w:val="18"/>
                <w:lang w:val="mk-MK"/>
              </w:rPr>
              <w:t>Ниво на проект</w:t>
            </w:r>
          </w:p>
          <w:p w:rsidR="0086333C" w:rsidRPr="00381F72" w:rsidRDefault="0086333C" w:rsidP="0086333C">
            <w:pPr>
              <w:jc w:val="both"/>
              <w:rPr>
                <w:color w:val="878786"/>
                <w:spacing w:val="-6"/>
                <w:w w:val="124"/>
                <w:sz w:val="18"/>
                <w:szCs w:val="18"/>
                <w:lang w:val="mk-MK"/>
              </w:rPr>
            </w:pPr>
          </w:p>
        </w:tc>
        <w:tc>
          <w:tcPr>
            <w:tcW w:w="1627" w:type="dxa"/>
          </w:tcPr>
          <w:p w:rsidR="0086333C" w:rsidRPr="00381F72" w:rsidRDefault="0086333C" w:rsidP="0086333C">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86333C" w:rsidRPr="00381F72" w:rsidRDefault="0086333C" w:rsidP="0086333C">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86333C" w:rsidRPr="00381F72" w:rsidRDefault="0086333C" w:rsidP="0086333C">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86333C" w:rsidRPr="00381F72" w:rsidRDefault="0086333C" w:rsidP="0086333C">
            <w:pPr>
              <w:jc w:val="both"/>
              <w:rPr>
                <w:color w:val="878786"/>
                <w:spacing w:val="-6"/>
                <w:w w:val="124"/>
                <w:sz w:val="18"/>
                <w:szCs w:val="18"/>
                <w:lang w:val="mk-MK"/>
              </w:rPr>
            </w:pPr>
            <w:r>
              <w:rPr>
                <w:color w:val="878786"/>
                <w:spacing w:val="-6"/>
                <w:w w:val="124"/>
                <w:sz w:val="18"/>
                <w:szCs w:val="18"/>
                <w:lang w:val="mk-MK"/>
              </w:rPr>
              <w:t>завршено</w:t>
            </w:r>
          </w:p>
        </w:tc>
      </w:tr>
      <w:tr w:rsidR="0086333C" w:rsidRPr="00381F72" w:rsidTr="0086333C">
        <w:trPr>
          <w:trHeight w:val="367"/>
        </w:trPr>
        <w:tc>
          <w:tcPr>
            <w:tcW w:w="3960" w:type="dxa"/>
            <w:gridSpan w:val="3"/>
            <w:vMerge/>
          </w:tcPr>
          <w:p w:rsidR="0086333C" w:rsidRPr="00381F72" w:rsidRDefault="0086333C" w:rsidP="0086333C">
            <w:pPr>
              <w:jc w:val="both"/>
              <w:rPr>
                <w:color w:val="878786"/>
                <w:spacing w:val="-6"/>
                <w:w w:val="124"/>
                <w:sz w:val="18"/>
                <w:szCs w:val="18"/>
                <w:lang w:val="mk-MK"/>
              </w:rPr>
            </w:pPr>
          </w:p>
        </w:tc>
        <w:tc>
          <w:tcPr>
            <w:tcW w:w="1627" w:type="dxa"/>
          </w:tcPr>
          <w:p w:rsidR="0086333C" w:rsidRPr="00381F72" w:rsidRDefault="0086333C" w:rsidP="0086333C">
            <w:pPr>
              <w:jc w:val="both"/>
              <w:rPr>
                <w:color w:val="878786"/>
                <w:spacing w:val="-6"/>
                <w:w w:val="124"/>
                <w:sz w:val="18"/>
                <w:szCs w:val="18"/>
                <w:lang w:val="mk-MK"/>
              </w:rPr>
            </w:pPr>
          </w:p>
        </w:tc>
        <w:tc>
          <w:tcPr>
            <w:tcW w:w="1724" w:type="dxa"/>
            <w:shd w:val="clear" w:color="auto" w:fill="548DD4" w:themeFill="text2" w:themeFillTint="99"/>
          </w:tcPr>
          <w:p w:rsidR="0086333C" w:rsidRPr="00381F72" w:rsidRDefault="0086333C" w:rsidP="0086333C">
            <w:pPr>
              <w:jc w:val="both"/>
              <w:rPr>
                <w:color w:val="878786"/>
                <w:spacing w:val="-6"/>
                <w:w w:val="124"/>
                <w:sz w:val="18"/>
                <w:szCs w:val="18"/>
                <w:lang w:val="mk-MK"/>
              </w:rPr>
            </w:pPr>
          </w:p>
        </w:tc>
        <w:tc>
          <w:tcPr>
            <w:tcW w:w="1564" w:type="dxa"/>
          </w:tcPr>
          <w:p w:rsidR="0086333C" w:rsidRPr="00381F72" w:rsidRDefault="0086333C" w:rsidP="0086333C">
            <w:pPr>
              <w:jc w:val="both"/>
              <w:rPr>
                <w:color w:val="878786"/>
                <w:spacing w:val="-6"/>
                <w:w w:val="124"/>
                <w:sz w:val="18"/>
                <w:szCs w:val="18"/>
                <w:lang w:val="mk-MK"/>
              </w:rPr>
            </w:pPr>
          </w:p>
        </w:tc>
        <w:tc>
          <w:tcPr>
            <w:tcW w:w="1835" w:type="dxa"/>
          </w:tcPr>
          <w:p w:rsidR="0086333C" w:rsidRPr="00381F72" w:rsidRDefault="0086333C" w:rsidP="0086333C">
            <w:pPr>
              <w:jc w:val="both"/>
              <w:rPr>
                <w:color w:val="878786"/>
                <w:spacing w:val="-6"/>
                <w:w w:val="124"/>
                <w:sz w:val="18"/>
                <w:szCs w:val="18"/>
                <w:lang w:val="mk-MK"/>
              </w:rPr>
            </w:pPr>
          </w:p>
        </w:tc>
      </w:tr>
      <w:tr w:rsidR="0086333C" w:rsidTr="00C45916">
        <w:tc>
          <w:tcPr>
            <w:tcW w:w="3960" w:type="dxa"/>
            <w:gridSpan w:val="3"/>
          </w:tcPr>
          <w:p w:rsidR="0086333C" w:rsidRPr="00381F72" w:rsidRDefault="0086333C" w:rsidP="0086333C">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86333C" w:rsidRPr="00381F72" w:rsidRDefault="0086333C" w:rsidP="0086333C">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86333C" w:rsidRPr="009913D7" w:rsidRDefault="0086333C" w:rsidP="00E96342">
            <w:pPr>
              <w:jc w:val="both"/>
              <w:rPr>
                <w:b/>
                <w:sz w:val="20"/>
                <w:szCs w:val="20"/>
                <w:lang w:val="mk-MK"/>
              </w:rPr>
            </w:pPr>
            <w:r w:rsidRPr="009913D7">
              <w:rPr>
                <w:b/>
                <w:sz w:val="20"/>
                <w:szCs w:val="20"/>
                <w:lang w:val="mk-MK"/>
              </w:rPr>
              <w:t>Мерка 6. Подигнување на свеста за придобивките од отворено владино партнерство: зајакнување на јавно приватниот дијалог за креирањето на мерките за ОВП и градење на капацитети за поголемо учество на граѓанските организации во спроведување на мерките од ОВП“</w:t>
            </w:r>
          </w:p>
          <w:p w:rsidR="0086333C" w:rsidRPr="009913D7" w:rsidRDefault="0086333C" w:rsidP="00E96342">
            <w:pPr>
              <w:jc w:val="both"/>
              <w:rPr>
                <w:b/>
                <w:sz w:val="20"/>
                <w:szCs w:val="20"/>
                <w:lang w:val="mk-MK"/>
              </w:rPr>
            </w:pPr>
            <w:r w:rsidRPr="009913D7">
              <w:rPr>
                <w:sz w:val="20"/>
                <w:szCs w:val="20"/>
                <w:lang w:val="mk-MK"/>
              </w:rPr>
              <w:t>Се превземаат активности за превод на Водичот за ОВП, вебинари за претставници од невладиниот сектор и распределба на мали грантови за НВО од страна на Центарот за истражување и креирање политики и  други активности кои директно ќе придонесат кон отворено владино партнерство.</w:t>
            </w:r>
          </w:p>
        </w:tc>
      </w:tr>
      <w:tr w:rsidR="0086333C" w:rsidTr="00C45916">
        <w:tc>
          <w:tcPr>
            <w:tcW w:w="3960" w:type="dxa"/>
            <w:gridSpan w:val="3"/>
          </w:tcPr>
          <w:p w:rsidR="0086333C" w:rsidRPr="00381F72" w:rsidRDefault="0086333C" w:rsidP="0086333C">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6750" w:type="dxa"/>
            <w:gridSpan w:val="4"/>
          </w:tcPr>
          <w:p w:rsidR="0086333C" w:rsidRPr="009913D7" w:rsidRDefault="0086333C" w:rsidP="0086333C">
            <w:pPr>
              <w:rPr>
                <w:sz w:val="20"/>
                <w:szCs w:val="20"/>
              </w:rPr>
            </w:pPr>
            <w:r w:rsidRPr="009913D7">
              <w:rPr>
                <w:sz w:val="20"/>
                <w:szCs w:val="20"/>
              </w:rPr>
              <w:t>Декември</w:t>
            </w:r>
            <w:r w:rsidRPr="009913D7">
              <w:rPr>
                <w:sz w:val="20"/>
                <w:szCs w:val="20"/>
                <w:lang w:val="mk-MK"/>
              </w:rPr>
              <w:t xml:space="preserve">, </w:t>
            </w:r>
            <w:r w:rsidRPr="009913D7">
              <w:rPr>
                <w:sz w:val="20"/>
                <w:szCs w:val="20"/>
              </w:rPr>
              <w:t>2016</w:t>
            </w:r>
          </w:p>
        </w:tc>
      </w:tr>
      <w:tr w:rsidR="0086333C" w:rsidTr="00C45916">
        <w:tc>
          <w:tcPr>
            <w:tcW w:w="3960" w:type="dxa"/>
            <w:gridSpan w:val="3"/>
          </w:tcPr>
          <w:p w:rsidR="0086333C" w:rsidRPr="00381F72" w:rsidRDefault="0086333C" w:rsidP="0086333C">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86333C" w:rsidRPr="009913D7" w:rsidRDefault="0086333C" w:rsidP="0086333C">
            <w:pPr>
              <w:rPr>
                <w:sz w:val="20"/>
                <w:szCs w:val="20"/>
                <w:lang w:val="mk-MK"/>
              </w:rPr>
            </w:pPr>
            <w:r w:rsidRPr="009913D7">
              <w:rPr>
                <w:sz w:val="20"/>
                <w:szCs w:val="20"/>
                <w:lang w:val="mk-MK"/>
              </w:rPr>
              <w:t>И</w:t>
            </w:r>
            <w:r w:rsidRPr="009913D7">
              <w:rPr>
                <w:sz w:val="20"/>
                <w:szCs w:val="20"/>
              </w:rPr>
              <w:t>нтензивн</w:t>
            </w:r>
            <w:r w:rsidRPr="009913D7">
              <w:rPr>
                <w:sz w:val="20"/>
                <w:szCs w:val="20"/>
                <w:lang w:val="mk-MK"/>
              </w:rPr>
              <w:t xml:space="preserve">и активности </w:t>
            </w:r>
            <w:r w:rsidRPr="009913D7">
              <w:rPr>
                <w:sz w:val="20"/>
                <w:szCs w:val="20"/>
              </w:rPr>
              <w:t xml:space="preserve">пред и за време на консултациите </w:t>
            </w:r>
            <w:r w:rsidRPr="009913D7">
              <w:rPr>
                <w:sz w:val="20"/>
                <w:szCs w:val="20"/>
                <w:lang w:val="mk-MK"/>
              </w:rPr>
              <w:t xml:space="preserve">кои се планирани  за подготовка на следниот </w:t>
            </w:r>
            <w:r w:rsidRPr="009913D7">
              <w:rPr>
                <w:sz w:val="20"/>
                <w:szCs w:val="20"/>
              </w:rPr>
              <w:t xml:space="preserve"> Акциски план за ОВП (201</w:t>
            </w:r>
            <w:r w:rsidRPr="009913D7">
              <w:rPr>
                <w:sz w:val="20"/>
                <w:szCs w:val="20"/>
                <w:lang w:val="mk-MK"/>
              </w:rPr>
              <w:t>6</w:t>
            </w:r>
            <w:r w:rsidRPr="009913D7">
              <w:rPr>
                <w:sz w:val="20"/>
                <w:szCs w:val="20"/>
              </w:rPr>
              <w:t>-201</w:t>
            </w:r>
            <w:r w:rsidRPr="009913D7">
              <w:rPr>
                <w:sz w:val="20"/>
                <w:szCs w:val="20"/>
                <w:lang w:val="mk-MK"/>
              </w:rPr>
              <w:t>8</w:t>
            </w:r>
            <w:r w:rsidRPr="009913D7">
              <w:rPr>
                <w:sz w:val="20"/>
                <w:szCs w:val="20"/>
              </w:rPr>
              <w:t>) со цел  да ја подигн</w:t>
            </w:r>
            <w:r w:rsidRPr="009913D7">
              <w:rPr>
                <w:sz w:val="20"/>
                <w:szCs w:val="20"/>
                <w:lang w:val="mk-MK"/>
              </w:rPr>
              <w:t>е</w:t>
            </w:r>
            <w:r w:rsidRPr="009913D7">
              <w:rPr>
                <w:sz w:val="20"/>
                <w:szCs w:val="20"/>
              </w:rPr>
              <w:t xml:space="preserve"> јавната свест за иницијативата за ОВП и во исто време да вклучат што повеќе чинители во креирањето и спроведувањето на овој </w:t>
            </w:r>
            <w:r w:rsidRPr="009913D7">
              <w:rPr>
                <w:sz w:val="20"/>
                <w:szCs w:val="20"/>
              </w:rPr>
              <w:lastRenderedPageBreak/>
              <w:t>план</w:t>
            </w:r>
            <w:r w:rsidRPr="009913D7">
              <w:rPr>
                <w:sz w:val="20"/>
                <w:szCs w:val="20"/>
                <w:lang w:val="mk-MK"/>
              </w:rPr>
              <w:t>.</w:t>
            </w:r>
          </w:p>
        </w:tc>
      </w:tr>
      <w:tr w:rsidR="0086333C" w:rsidTr="00C45916">
        <w:tc>
          <w:tcPr>
            <w:tcW w:w="10710" w:type="dxa"/>
            <w:gridSpan w:val="7"/>
          </w:tcPr>
          <w:p w:rsidR="0086333C" w:rsidRDefault="0086333C" w:rsidP="0086333C">
            <w:pPr>
              <w:jc w:val="both"/>
              <w:rPr>
                <w:b/>
                <w:lang w:val="mk-MK"/>
              </w:rPr>
            </w:pPr>
            <w:r w:rsidRPr="00026994">
              <w:rPr>
                <w:color w:val="878786"/>
                <w:spacing w:val="-6"/>
                <w:w w:val="124"/>
                <w:sz w:val="18"/>
                <w:szCs w:val="18"/>
                <w:lang w:val="mk-MK"/>
              </w:rPr>
              <w:lastRenderedPageBreak/>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r w:rsidR="0086333C" w:rsidRPr="00381F72" w:rsidTr="00C45916">
        <w:trPr>
          <w:trHeight w:val="435"/>
        </w:trPr>
        <w:tc>
          <w:tcPr>
            <w:tcW w:w="3960" w:type="dxa"/>
            <w:gridSpan w:val="3"/>
            <w:vMerge w:val="restart"/>
          </w:tcPr>
          <w:p w:rsidR="0086333C" w:rsidRPr="00381F72" w:rsidRDefault="0086333C" w:rsidP="0086333C">
            <w:pPr>
              <w:jc w:val="both"/>
              <w:rPr>
                <w:color w:val="878786"/>
                <w:spacing w:val="-6"/>
                <w:w w:val="124"/>
                <w:sz w:val="18"/>
                <w:szCs w:val="18"/>
                <w:lang w:val="mk-MK"/>
              </w:rPr>
            </w:pPr>
          </w:p>
          <w:p w:rsidR="0086333C" w:rsidRPr="00381F72" w:rsidRDefault="0086333C" w:rsidP="0086333C">
            <w:pPr>
              <w:jc w:val="both"/>
              <w:rPr>
                <w:color w:val="878786"/>
                <w:spacing w:val="-6"/>
                <w:w w:val="124"/>
                <w:sz w:val="18"/>
                <w:szCs w:val="18"/>
                <w:lang w:val="mk-MK"/>
              </w:rPr>
            </w:pPr>
            <w:r w:rsidRPr="00381F72">
              <w:rPr>
                <w:color w:val="878786"/>
                <w:spacing w:val="-6"/>
                <w:w w:val="124"/>
                <w:sz w:val="18"/>
                <w:szCs w:val="18"/>
                <w:lang w:val="mk-MK"/>
              </w:rPr>
              <w:t>Ниво на проект</w:t>
            </w:r>
          </w:p>
          <w:p w:rsidR="0086333C" w:rsidRPr="00381F72" w:rsidRDefault="0086333C" w:rsidP="0086333C">
            <w:pPr>
              <w:jc w:val="both"/>
              <w:rPr>
                <w:color w:val="878786"/>
                <w:spacing w:val="-6"/>
                <w:w w:val="124"/>
                <w:sz w:val="18"/>
                <w:szCs w:val="18"/>
                <w:lang w:val="mk-MK"/>
              </w:rPr>
            </w:pPr>
          </w:p>
        </w:tc>
        <w:tc>
          <w:tcPr>
            <w:tcW w:w="1627" w:type="dxa"/>
          </w:tcPr>
          <w:p w:rsidR="0086333C" w:rsidRPr="00381F72" w:rsidRDefault="0086333C" w:rsidP="0086333C">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86333C" w:rsidRPr="00381F72" w:rsidRDefault="0086333C" w:rsidP="0086333C">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86333C" w:rsidRPr="00381F72" w:rsidRDefault="0086333C" w:rsidP="0086333C">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86333C" w:rsidRPr="00381F72" w:rsidRDefault="0086333C" w:rsidP="0086333C">
            <w:pPr>
              <w:jc w:val="both"/>
              <w:rPr>
                <w:color w:val="878786"/>
                <w:spacing w:val="-6"/>
                <w:w w:val="124"/>
                <w:sz w:val="18"/>
                <w:szCs w:val="18"/>
                <w:lang w:val="mk-MK"/>
              </w:rPr>
            </w:pPr>
            <w:r>
              <w:rPr>
                <w:color w:val="878786"/>
                <w:spacing w:val="-6"/>
                <w:w w:val="124"/>
                <w:sz w:val="18"/>
                <w:szCs w:val="18"/>
                <w:lang w:val="mk-MK"/>
              </w:rPr>
              <w:t>завршено</w:t>
            </w:r>
          </w:p>
        </w:tc>
      </w:tr>
      <w:tr w:rsidR="0086333C" w:rsidRPr="00381F72" w:rsidTr="00E96342">
        <w:trPr>
          <w:trHeight w:val="367"/>
        </w:trPr>
        <w:tc>
          <w:tcPr>
            <w:tcW w:w="3960" w:type="dxa"/>
            <w:gridSpan w:val="3"/>
            <w:vMerge/>
          </w:tcPr>
          <w:p w:rsidR="0086333C" w:rsidRPr="00381F72" w:rsidRDefault="0086333C" w:rsidP="0086333C">
            <w:pPr>
              <w:jc w:val="both"/>
              <w:rPr>
                <w:color w:val="878786"/>
                <w:spacing w:val="-6"/>
                <w:w w:val="124"/>
                <w:sz w:val="18"/>
                <w:szCs w:val="18"/>
                <w:lang w:val="mk-MK"/>
              </w:rPr>
            </w:pPr>
          </w:p>
        </w:tc>
        <w:tc>
          <w:tcPr>
            <w:tcW w:w="1627" w:type="dxa"/>
          </w:tcPr>
          <w:p w:rsidR="0086333C" w:rsidRPr="00381F72" w:rsidRDefault="0086333C" w:rsidP="0086333C">
            <w:pPr>
              <w:jc w:val="both"/>
              <w:rPr>
                <w:color w:val="878786"/>
                <w:spacing w:val="-6"/>
                <w:w w:val="124"/>
                <w:sz w:val="18"/>
                <w:szCs w:val="18"/>
                <w:lang w:val="mk-MK"/>
              </w:rPr>
            </w:pPr>
          </w:p>
        </w:tc>
        <w:tc>
          <w:tcPr>
            <w:tcW w:w="1724" w:type="dxa"/>
          </w:tcPr>
          <w:p w:rsidR="0086333C" w:rsidRPr="00381F72" w:rsidRDefault="0086333C" w:rsidP="0086333C">
            <w:pPr>
              <w:jc w:val="both"/>
              <w:rPr>
                <w:color w:val="878786"/>
                <w:spacing w:val="-6"/>
                <w:w w:val="124"/>
                <w:sz w:val="18"/>
                <w:szCs w:val="18"/>
                <w:lang w:val="mk-MK"/>
              </w:rPr>
            </w:pPr>
          </w:p>
        </w:tc>
        <w:tc>
          <w:tcPr>
            <w:tcW w:w="1564" w:type="dxa"/>
            <w:shd w:val="clear" w:color="auto" w:fill="548DD4" w:themeFill="text2" w:themeFillTint="99"/>
          </w:tcPr>
          <w:p w:rsidR="0086333C" w:rsidRPr="00381F72" w:rsidRDefault="0086333C" w:rsidP="0086333C">
            <w:pPr>
              <w:jc w:val="both"/>
              <w:rPr>
                <w:color w:val="878786"/>
                <w:spacing w:val="-6"/>
                <w:w w:val="124"/>
                <w:sz w:val="18"/>
                <w:szCs w:val="18"/>
                <w:lang w:val="mk-MK"/>
              </w:rPr>
            </w:pPr>
          </w:p>
        </w:tc>
        <w:tc>
          <w:tcPr>
            <w:tcW w:w="1835" w:type="dxa"/>
          </w:tcPr>
          <w:p w:rsidR="0086333C" w:rsidRPr="00381F72" w:rsidRDefault="0086333C" w:rsidP="0086333C">
            <w:pPr>
              <w:jc w:val="both"/>
              <w:rPr>
                <w:color w:val="878786"/>
                <w:spacing w:val="-6"/>
                <w:w w:val="124"/>
                <w:sz w:val="18"/>
                <w:szCs w:val="18"/>
                <w:lang w:val="mk-MK"/>
              </w:rPr>
            </w:pPr>
          </w:p>
        </w:tc>
      </w:tr>
      <w:tr w:rsidR="0086333C" w:rsidTr="00C45916">
        <w:tc>
          <w:tcPr>
            <w:tcW w:w="3960" w:type="dxa"/>
            <w:gridSpan w:val="3"/>
          </w:tcPr>
          <w:p w:rsidR="0086333C" w:rsidRPr="00381F72" w:rsidRDefault="0086333C" w:rsidP="0086333C">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86333C" w:rsidRPr="00381F72" w:rsidRDefault="0086333C" w:rsidP="0086333C">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E96342" w:rsidRPr="009913D7" w:rsidRDefault="00E96342" w:rsidP="00E96342">
            <w:pPr>
              <w:rPr>
                <w:b/>
                <w:sz w:val="20"/>
                <w:szCs w:val="20"/>
              </w:rPr>
            </w:pPr>
            <w:r w:rsidRPr="009913D7">
              <w:rPr>
                <w:b/>
                <w:sz w:val="20"/>
                <w:szCs w:val="20"/>
              </w:rPr>
              <w:t xml:space="preserve">Мерка  7.   Поголема јавна свест и користење на партиципативното креирање на политики преку интернет порталот е-демократија од страна на институциите, фирмите, коморите, граѓанското општество и граѓаните  </w:t>
            </w:r>
          </w:p>
          <w:p w:rsidR="00E96342" w:rsidRPr="009913D7" w:rsidRDefault="00E96342" w:rsidP="00E96342">
            <w:pPr>
              <w:rPr>
                <w:sz w:val="20"/>
                <w:szCs w:val="20"/>
              </w:rPr>
            </w:pPr>
            <w:r w:rsidRPr="009913D7">
              <w:rPr>
                <w:sz w:val="20"/>
                <w:szCs w:val="20"/>
              </w:rPr>
              <w:t>Портал за е-демократија е (http://e-demokratija.mk) им овозможува граѓаните на Република Македонија на едноставен и лесно достапен начин, да го дадат своето мислење за предлог документите на Владата(политики, стратегии, акциски планови итн), односно активно да се вклучат во процесот на донесување на одлуките, како и да доставуваат предлози за подобрување на одредени постапки.</w:t>
            </w:r>
          </w:p>
          <w:p w:rsidR="00E96342" w:rsidRPr="009913D7" w:rsidRDefault="00E96342" w:rsidP="00E96342">
            <w:pPr>
              <w:rPr>
                <w:sz w:val="20"/>
                <w:szCs w:val="20"/>
                <w:lang w:val="mk-MK"/>
              </w:rPr>
            </w:pPr>
            <w:r w:rsidRPr="009913D7">
              <w:rPr>
                <w:sz w:val="20"/>
                <w:szCs w:val="20"/>
              </w:rPr>
              <w:t xml:space="preserve">На порталот публикувани се вкупно 237 документи, а во делот форум овозможена е дебата на 157 теми. Во однос на посетеноста на порталот е-демократија, од неговото воспоставување во февруари 2012 година до јуни 2015 година, бројот на посети на порталот изнесува 5020 поединечни посети. </w:t>
            </w:r>
          </w:p>
          <w:p w:rsidR="00E96342" w:rsidRPr="009913D7" w:rsidRDefault="00E96342" w:rsidP="00E96342">
            <w:pPr>
              <w:rPr>
                <w:sz w:val="20"/>
                <w:szCs w:val="20"/>
                <w:lang w:val="mk-MK"/>
              </w:rPr>
            </w:pPr>
            <w:r w:rsidRPr="009913D7">
              <w:rPr>
                <w:sz w:val="20"/>
                <w:szCs w:val="20"/>
              </w:rPr>
              <w:t>Во моментов е подготвен дизајн за памфлет кој има за цел промоција на можностите кои ги нуди ова портално решение и поттикнување на заинтересираните страни за негова поголема искористеност. Исто така афирмирањето на порталот е-демократија се реализира заедно со активностите за промоција на  ЕНЕР кои во континуитет се спроведуваат</w:t>
            </w:r>
            <w:r w:rsidRPr="009913D7">
              <w:rPr>
                <w:sz w:val="20"/>
                <w:szCs w:val="20"/>
                <w:lang w:val="mk-MK"/>
              </w:rPr>
              <w:t>.</w:t>
            </w:r>
          </w:p>
          <w:p w:rsidR="0086333C" w:rsidRDefault="00E96342" w:rsidP="00E96342">
            <w:pPr>
              <w:jc w:val="both"/>
              <w:rPr>
                <w:b/>
                <w:lang w:val="mk-MK"/>
              </w:rPr>
            </w:pPr>
            <w:r w:rsidRPr="009913D7">
              <w:rPr>
                <w:color w:val="222222"/>
                <w:sz w:val="20"/>
                <w:szCs w:val="20"/>
                <w:shd w:val="clear" w:color="auto" w:fill="FFFFFF"/>
                <w:lang w:val="mk-MK"/>
              </w:rPr>
              <w:t>Во тек е подготовка на интерен План и динамика за спроведување на промотивна кампања за електронските алатки за консултација  (е-демократија и ЕНЕР )насочена кон неколку целни групи (приватен сектор, невладин сектор, граѓани, академска заедница, комори и здруженија.</w:t>
            </w:r>
          </w:p>
        </w:tc>
      </w:tr>
      <w:tr w:rsidR="00E96342" w:rsidTr="00C45916">
        <w:tc>
          <w:tcPr>
            <w:tcW w:w="3960" w:type="dxa"/>
            <w:gridSpan w:val="3"/>
          </w:tcPr>
          <w:p w:rsidR="00E96342" w:rsidRPr="00381F72" w:rsidRDefault="00E96342" w:rsidP="00E96342">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6750" w:type="dxa"/>
            <w:gridSpan w:val="4"/>
          </w:tcPr>
          <w:p w:rsidR="00E96342" w:rsidRPr="009913D7" w:rsidRDefault="00E96342" w:rsidP="00E96342">
            <w:pPr>
              <w:jc w:val="center"/>
              <w:rPr>
                <w:color w:val="222222"/>
                <w:sz w:val="20"/>
                <w:szCs w:val="20"/>
                <w:shd w:val="clear" w:color="auto" w:fill="FFFFFF"/>
                <w:lang w:val="mk-MK"/>
              </w:rPr>
            </w:pPr>
            <w:r w:rsidRPr="009913D7">
              <w:rPr>
                <w:color w:val="222222"/>
                <w:sz w:val="20"/>
                <w:szCs w:val="20"/>
                <w:shd w:val="clear" w:color="auto" w:fill="FFFFFF"/>
                <w:lang w:val="mk-MK"/>
              </w:rPr>
              <w:t>јуни 2016</w:t>
            </w:r>
          </w:p>
          <w:p w:rsidR="00E96342" w:rsidRPr="009913D7" w:rsidRDefault="00E96342" w:rsidP="00E96342">
            <w:pPr>
              <w:rPr>
                <w:sz w:val="20"/>
                <w:szCs w:val="20"/>
              </w:rPr>
            </w:pPr>
          </w:p>
        </w:tc>
      </w:tr>
      <w:tr w:rsidR="00E96342" w:rsidTr="00C45916">
        <w:tc>
          <w:tcPr>
            <w:tcW w:w="3960" w:type="dxa"/>
            <w:gridSpan w:val="3"/>
          </w:tcPr>
          <w:p w:rsidR="00E96342" w:rsidRPr="00381F72" w:rsidRDefault="00E96342" w:rsidP="00E96342">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E96342" w:rsidRPr="009913D7" w:rsidRDefault="00E96342" w:rsidP="00E96342">
            <w:pPr>
              <w:jc w:val="both"/>
              <w:rPr>
                <w:color w:val="222222"/>
                <w:sz w:val="20"/>
                <w:szCs w:val="20"/>
                <w:shd w:val="clear" w:color="auto" w:fill="FFFFFF"/>
                <w:lang w:val="mk-MK"/>
              </w:rPr>
            </w:pPr>
            <w:r w:rsidRPr="009913D7">
              <w:rPr>
                <w:color w:val="222222"/>
                <w:sz w:val="20"/>
                <w:szCs w:val="20"/>
                <w:shd w:val="clear" w:color="auto" w:fill="FFFFFF"/>
                <w:lang w:val="mk-MK"/>
              </w:rPr>
              <w:t>Печатење и дистрибуција на памфлет за порталот е-демокртија.</w:t>
            </w:r>
          </w:p>
          <w:p w:rsidR="00E96342" w:rsidRPr="009913D7" w:rsidRDefault="00E96342" w:rsidP="00E96342">
            <w:pPr>
              <w:rPr>
                <w:sz w:val="20"/>
                <w:szCs w:val="20"/>
              </w:rPr>
            </w:pPr>
          </w:p>
        </w:tc>
      </w:tr>
      <w:tr w:rsidR="00E96342" w:rsidTr="00C45916">
        <w:tc>
          <w:tcPr>
            <w:tcW w:w="10710" w:type="dxa"/>
            <w:gridSpan w:val="7"/>
          </w:tcPr>
          <w:p w:rsidR="00E96342" w:rsidRDefault="00E96342" w:rsidP="00E96342">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r w:rsidR="00E96342" w:rsidRPr="00381F72" w:rsidTr="00C45916">
        <w:trPr>
          <w:trHeight w:val="435"/>
        </w:trPr>
        <w:tc>
          <w:tcPr>
            <w:tcW w:w="3960" w:type="dxa"/>
            <w:gridSpan w:val="3"/>
            <w:vMerge w:val="restart"/>
          </w:tcPr>
          <w:p w:rsidR="00E96342" w:rsidRPr="00381F72" w:rsidRDefault="00E96342" w:rsidP="00E96342">
            <w:pPr>
              <w:jc w:val="both"/>
              <w:rPr>
                <w:color w:val="878786"/>
                <w:spacing w:val="-6"/>
                <w:w w:val="124"/>
                <w:sz w:val="18"/>
                <w:szCs w:val="18"/>
                <w:lang w:val="mk-MK"/>
              </w:rPr>
            </w:pPr>
          </w:p>
          <w:p w:rsidR="00E96342" w:rsidRPr="00381F72" w:rsidRDefault="00E96342" w:rsidP="00E96342">
            <w:pPr>
              <w:jc w:val="both"/>
              <w:rPr>
                <w:color w:val="878786"/>
                <w:spacing w:val="-6"/>
                <w:w w:val="124"/>
                <w:sz w:val="18"/>
                <w:szCs w:val="18"/>
                <w:lang w:val="mk-MK"/>
              </w:rPr>
            </w:pPr>
            <w:r w:rsidRPr="00381F72">
              <w:rPr>
                <w:color w:val="878786"/>
                <w:spacing w:val="-6"/>
                <w:w w:val="124"/>
                <w:sz w:val="18"/>
                <w:szCs w:val="18"/>
                <w:lang w:val="mk-MK"/>
              </w:rPr>
              <w:t>Ниво на проект</w:t>
            </w:r>
          </w:p>
          <w:p w:rsidR="00E96342" w:rsidRPr="00381F72" w:rsidRDefault="00E96342" w:rsidP="00E96342">
            <w:pPr>
              <w:jc w:val="both"/>
              <w:rPr>
                <w:color w:val="878786"/>
                <w:spacing w:val="-6"/>
                <w:w w:val="124"/>
                <w:sz w:val="18"/>
                <w:szCs w:val="18"/>
                <w:lang w:val="mk-MK"/>
              </w:rPr>
            </w:pPr>
          </w:p>
        </w:tc>
        <w:tc>
          <w:tcPr>
            <w:tcW w:w="1627" w:type="dxa"/>
          </w:tcPr>
          <w:p w:rsidR="00E96342" w:rsidRPr="00381F72" w:rsidRDefault="00E96342" w:rsidP="00E96342">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E96342" w:rsidRPr="00381F72" w:rsidRDefault="00E96342" w:rsidP="00E96342">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E96342" w:rsidRPr="00381F72" w:rsidRDefault="00E96342" w:rsidP="00E96342">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E96342" w:rsidRPr="00381F72" w:rsidRDefault="00E96342" w:rsidP="00E96342">
            <w:pPr>
              <w:jc w:val="both"/>
              <w:rPr>
                <w:color w:val="878786"/>
                <w:spacing w:val="-6"/>
                <w:w w:val="124"/>
                <w:sz w:val="18"/>
                <w:szCs w:val="18"/>
                <w:lang w:val="mk-MK"/>
              </w:rPr>
            </w:pPr>
            <w:r>
              <w:rPr>
                <w:color w:val="878786"/>
                <w:spacing w:val="-6"/>
                <w:w w:val="124"/>
                <w:sz w:val="18"/>
                <w:szCs w:val="18"/>
                <w:lang w:val="mk-MK"/>
              </w:rPr>
              <w:t>завршено</w:t>
            </w:r>
          </w:p>
        </w:tc>
      </w:tr>
      <w:tr w:rsidR="00E96342" w:rsidRPr="00381F72" w:rsidTr="00E96342">
        <w:trPr>
          <w:trHeight w:val="367"/>
        </w:trPr>
        <w:tc>
          <w:tcPr>
            <w:tcW w:w="3960" w:type="dxa"/>
            <w:gridSpan w:val="3"/>
            <w:vMerge/>
          </w:tcPr>
          <w:p w:rsidR="00E96342" w:rsidRPr="00381F72" w:rsidRDefault="00E96342" w:rsidP="00E96342">
            <w:pPr>
              <w:jc w:val="both"/>
              <w:rPr>
                <w:color w:val="878786"/>
                <w:spacing w:val="-6"/>
                <w:w w:val="124"/>
                <w:sz w:val="18"/>
                <w:szCs w:val="18"/>
                <w:lang w:val="mk-MK"/>
              </w:rPr>
            </w:pPr>
          </w:p>
        </w:tc>
        <w:tc>
          <w:tcPr>
            <w:tcW w:w="1627" w:type="dxa"/>
          </w:tcPr>
          <w:p w:rsidR="00E96342" w:rsidRPr="00381F72" w:rsidRDefault="00E96342" w:rsidP="00E96342">
            <w:pPr>
              <w:jc w:val="both"/>
              <w:rPr>
                <w:color w:val="878786"/>
                <w:spacing w:val="-6"/>
                <w:w w:val="124"/>
                <w:sz w:val="18"/>
                <w:szCs w:val="18"/>
                <w:lang w:val="mk-MK"/>
              </w:rPr>
            </w:pPr>
          </w:p>
        </w:tc>
        <w:tc>
          <w:tcPr>
            <w:tcW w:w="1724" w:type="dxa"/>
            <w:shd w:val="clear" w:color="auto" w:fill="548DD4" w:themeFill="text2" w:themeFillTint="99"/>
          </w:tcPr>
          <w:p w:rsidR="00E96342" w:rsidRPr="00381F72" w:rsidRDefault="00E96342" w:rsidP="00E96342">
            <w:pPr>
              <w:jc w:val="both"/>
              <w:rPr>
                <w:color w:val="878786"/>
                <w:spacing w:val="-6"/>
                <w:w w:val="124"/>
                <w:sz w:val="18"/>
                <w:szCs w:val="18"/>
                <w:lang w:val="mk-MK"/>
              </w:rPr>
            </w:pPr>
          </w:p>
        </w:tc>
        <w:tc>
          <w:tcPr>
            <w:tcW w:w="1564" w:type="dxa"/>
          </w:tcPr>
          <w:p w:rsidR="00E96342" w:rsidRPr="00381F72" w:rsidRDefault="00E96342" w:rsidP="00E96342">
            <w:pPr>
              <w:jc w:val="both"/>
              <w:rPr>
                <w:color w:val="878786"/>
                <w:spacing w:val="-6"/>
                <w:w w:val="124"/>
                <w:sz w:val="18"/>
                <w:szCs w:val="18"/>
                <w:lang w:val="mk-MK"/>
              </w:rPr>
            </w:pPr>
          </w:p>
        </w:tc>
        <w:tc>
          <w:tcPr>
            <w:tcW w:w="1835" w:type="dxa"/>
          </w:tcPr>
          <w:p w:rsidR="00E96342" w:rsidRPr="00381F72" w:rsidRDefault="00E96342" w:rsidP="00E96342">
            <w:pPr>
              <w:jc w:val="both"/>
              <w:rPr>
                <w:color w:val="878786"/>
                <w:spacing w:val="-6"/>
                <w:w w:val="124"/>
                <w:sz w:val="18"/>
                <w:szCs w:val="18"/>
                <w:lang w:val="mk-MK"/>
              </w:rPr>
            </w:pPr>
          </w:p>
        </w:tc>
      </w:tr>
      <w:tr w:rsidR="00E96342" w:rsidTr="00C45916">
        <w:tc>
          <w:tcPr>
            <w:tcW w:w="3960" w:type="dxa"/>
            <w:gridSpan w:val="3"/>
          </w:tcPr>
          <w:p w:rsidR="00E96342" w:rsidRPr="00381F72" w:rsidRDefault="00E96342" w:rsidP="00E96342">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E96342" w:rsidRPr="00381F72" w:rsidRDefault="00E96342" w:rsidP="00E96342">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E96342" w:rsidRPr="009913D7" w:rsidRDefault="00E96342" w:rsidP="00E96342">
            <w:pPr>
              <w:rPr>
                <w:b/>
                <w:sz w:val="20"/>
                <w:szCs w:val="20"/>
                <w:lang w:val="mk-MK"/>
              </w:rPr>
            </w:pPr>
            <w:r w:rsidRPr="009913D7">
              <w:rPr>
                <w:b/>
                <w:sz w:val="20"/>
                <w:szCs w:val="20"/>
                <w:lang w:val="mk-MK"/>
              </w:rPr>
              <w:t>М</w:t>
            </w:r>
            <w:r w:rsidRPr="009913D7">
              <w:rPr>
                <w:b/>
                <w:sz w:val="20"/>
                <w:szCs w:val="20"/>
              </w:rPr>
              <w:t>ерка 8 ,, Формирање на советодавно тело за унапредување на соработката, дијалогот и поттикнување на развојот на граѓанскиот сектор составен од претставници на Владата , органите на државната управа и граѓански организации“</w:t>
            </w:r>
          </w:p>
          <w:p w:rsidR="00E96342" w:rsidRPr="009913D7" w:rsidRDefault="00E96342" w:rsidP="00E96342">
            <w:pPr>
              <w:rPr>
                <w:sz w:val="20"/>
                <w:szCs w:val="20"/>
              </w:rPr>
            </w:pPr>
            <w:r w:rsidRPr="009913D7">
              <w:rPr>
                <w:sz w:val="20"/>
                <w:szCs w:val="20"/>
                <w:lang w:val="mk-MK"/>
              </w:rPr>
              <w:t>В</w:t>
            </w:r>
            <w:r w:rsidRPr="009913D7">
              <w:rPr>
                <w:sz w:val="20"/>
                <w:szCs w:val="20"/>
              </w:rPr>
              <w:t xml:space="preserve">о ноември 2014 година Одделението за соработка со невладини организации </w:t>
            </w:r>
            <w:r w:rsidRPr="009913D7">
              <w:rPr>
                <w:sz w:val="20"/>
                <w:szCs w:val="20"/>
                <w:lang w:val="mk-MK"/>
              </w:rPr>
              <w:t xml:space="preserve">–Генерален секретаријат на ВРМ </w:t>
            </w:r>
            <w:r w:rsidRPr="009913D7">
              <w:rPr>
                <w:sz w:val="20"/>
                <w:szCs w:val="20"/>
              </w:rPr>
              <w:t xml:space="preserve">започна консултации со граѓанскиот сектор по Предлог-одлуката за формирање на Советодавно тело за унапредување на соработката, дијалогот и поттикнување на развојот на граѓанскиот сектор, по електронски пат, преку веб страницата www.nvosorabotka.gov.mk. Во јануари 2015 Генералниот секретаријат, Одделение за соработка со невладини организации организираше консултативни средби со граѓанскиот сектор во Битола, Штип и Скопје. </w:t>
            </w:r>
          </w:p>
          <w:p w:rsidR="00E96342" w:rsidRPr="009913D7" w:rsidRDefault="00E96342" w:rsidP="00E96342">
            <w:pPr>
              <w:rPr>
                <w:b/>
                <w:sz w:val="20"/>
                <w:szCs w:val="20"/>
                <w:lang w:val="mk-MK"/>
              </w:rPr>
            </w:pPr>
          </w:p>
        </w:tc>
      </w:tr>
      <w:tr w:rsidR="00E96342" w:rsidTr="00C45916">
        <w:tc>
          <w:tcPr>
            <w:tcW w:w="3960" w:type="dxa"/>
            <w:gridSpan w:val="3"/>
          </w:tcPr>
          <w:p w:rsidR="00E96342" w:rsidRPr="00381F72" w:rsidRDefault="00E96342" w:rsidP="00E96342">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6750" w:type="dxa"/>
            <w:gridSpan w:val="4"/>
          </w:tcPr>
          <w:p w:rsidR="00E96342" w:rsidRPr="009913D7" w:rsidRDefault="00E96342" w:rsidP="00E96342">
            <w:pPr>
              <w:rPr>
                <w:sz w:val="20"/>
                <w:szCs w:val="20"/>
                <w:lang w:val="mk-MK"/>
              </w:rPr>
            </w:pPr>
            <w:r w:rsidRPr="009913D7">
              <w:rPr>
                <w:sz w:val="20"/>
                <w:szCs w:val="20"/>
                <w:lang w:val="mk-MK"/>
              </w:rPr>
              <w:t>континуирано</w:t>
            </w:r>
          </w:p>
        </w:tc>
      </w:tr>
      <w:tr w:rsidR="00E96342" w:rsidTr="00C45916">
        <w:tc>
          <w:tcPr>
            <w:tcW w:w="3960" w:type="dxa"/>
            <w:gridSpan w:val="3"/>
          </w:tcPr>
          <w:p w:rsidR="00E96342" w:rsidRPr="00381F72" w:rsidRDefault="00E96342" w:rsidP="00E96342">
            <w:pPr>
              <w:jc w:val="both"/>
              <w:rPr>
                <w:color w:val="878786"/>
                <w:spacing w:val="-6"/>
                <w:w w:val="124"/>
                <w:sz w:val="18"/>
                <w:szCs w:val="18"/>
                <w:lang w:val="mk-MK"/>
              </w:rPr>
            </w:pPr>
            <w:r w:rsidRPr="00381F72">
              <w:rPr>
                <w:color w:val="878786"/>
                <w:spacing w:val="-6"/>
                <w:w w:val="124"/>
                <w:sz w:val="18"/>
                <w:szCs w:val="18"/>
                <w:lang w:val="mk-MK"/>
              </w:rPr>
              <w:lastRenderedPageBreak/>
              <w:t>Следни чекори</w:t>
            </w:r>
          </w:p>
        </w:tc>
        <w:tc>
          <w:tcPr>
            <w:tcW w:w="6750" w:type="dxa"/>
            <w:gridSpan w:val="4"/>
          </w:tcPr>
          <w:p w:rsidR="00E96342" w:rsidRPr="009913D7" w:rsidRDefault="00E96342" w:rsidP="00E96342">
            <w:pPr>
              <w:rPr>
                <w:sz w:val="20"/>
                <w:szCs w:val="20"/>
                <w:lang w:val="mk-MK"/>
              </w:rPr>
            </w:pPr>
            <w:r w:rsidRPr="009913D7">
              <w:rPr>
                <w:sz w:val="20"/>
                <w:szCs w:val="20"/>
                <w:lang w:val="mk-MK"/>
              </w:rPr>
              <w:t>Донесување од страна ан ВРМ О</w:t>
            </w:r>
            <w:r w:rsidRPr="009913D7">
              <w:rPr>
                <w:sz w:val="20"/>
                <w:szCs w:val="20"/>
              </w:rPr>
              <w:t>длуката за формирање на Советодавно тело за унапредување на соработката, дијалогот и поттикнување на развојот на граѓанскиот сектор</w:t>
            </w:r>
          </w:p>
        </w:tc>
      </w:tr>
      <w:tr w:rsidR="00E96342" w:rsidTr="00C45916">
        <w:tc>
          <w:tcPr>
            <w:tcW w:w="10710" w:type="dxa"/>
            <w:gridSpan w:val="7"/>
          </w:tcPr>
          <w:p w:rsidR="00E96342" w:rsidRDefault="00E96342" w:rsidP="00E96342">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p>
        </w:tc>
      </w:tr>
      <w:tr w:rsidR="00E96342" w:rsidRPr="00381F72" w:rsidTr="00C45916">
        <w:trPr>
          <w:trHeight w:val="435"/>
        </w:trPr>
        <w:tc>
          <w:tcPr>
            <w:tcW w:w="3960" w:type="dxa"/>
            <w:gridSpan w:val="3"/>
            <w:vMerge w:val="restart"/>
          </w:tcPr>
          <w:p w:rsidR="00E96342" w:rsidRPr="00381F72" w:rsidRDefault="00E96342" w:rsidP="00E96342">
            <w:pPr>
              <w:jc w:val="both"/>
              <w:rPr>
                <w:color w:val="878786"/>
                <w:spacing w:val="-6"/>
                <w:w w:val="124"/>
                <w:sz w:val="18"/>
                <w:szCs w:val="18"/>
                <w:lang w:val="mk-MK"/>
              </w:rPr>
            </w:pPr>
          </w:p>
          <w:p w:rsidR="00E96342" w:rsidRPr="00381F72" w:rsidRDefault="00E96342" w:rsidP="00E96342">
            <w:pPr>
              <w:jc w:val="both"/>
              <w:rPr>
                <w:color w:val="878786"/>
                <w:spacing w:val="-6"/>
                <w:w w:val="124"/>
                <w:sz w:val="18"/>
                <w:szCs w:val="18"/>
                <w:lang w:val="mk-MK"/>
              </w:rPr>
            </w:pPr>
            <w:r w:rsidRPr="00381F72">
              <w:rPr>
                <w:color w:val="878786"/>
                <w:spacing w:val="-6"/>
                <w:w w:val="124"/>
                <w:sz w:val="18"/>
                <w:szCs w:val="18"/>
                <w:lang w:val="mk-MK"/>
              </w:rPr>
              <w:t>Ниво на проект</w:t>
            </w:r>
          </w:p>
          <w:p w:rsidR="00E96342" w:rsidRPr="00381F72" w:rsidRDefault="00E96342" w:rsidP="00E96342">
            <w:pPr>
              <w:jc w:val="both"/>
              <w:rPr>
                <w:color w:val="878786"/>
                <w:spacing w:val="-6"/>
                <w:w w:val="124"/>
                <w:sz w:val="18"/>
                <w:szCs w:val="18"/>
                <w:lang w:val="mk-MK"/>
              </w:rPr>
            </w:pPr>
          </w:p>
        </w:tc>
        <w:tc>
          <w:tcPr>
            <w:tcW w:w="1627" w:type="dxa"/>
          </w:tcPr>
          <w:p w:rsidR="00E96342" w:rsidRPr="00381F72" w:rsidRDefault="00E96342" w:rsidP="00E96342">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E96342" w:rsidRPr="00381F72" w:rsidRDefault="00E96342" w:rsidP="00E96342">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E96342" w:rsidRPr="00381F72" w:rsidRDefault="00E96342" w:rsidP="00E96342">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E96342" w:rsidRPr="00381F72" w:rsidRDefault="00E96342" w:rsidP="00E96342">
            <w:pPr>
              <w:jc w:val="both"/>
              <w:rPr>
                <w:color w:val="878786"/>
                <w:spacing w:val="-6"/>
                <w:w w:val="124"/>
                <w:sz w:val="18"/>
                <w:szCs w:val="18"/>
                <w:lang w:val="mk-MK"/>
              </w:rPr>
            </w:pPr>
            <w:r>
              <w:rPr>
                <w:color w:val="878786"/>
                <w:spacing w:val="-6"/>
                <w:w w:val="124"/>
                <w:sz w:val="18"/>
                <w:szCs w:val="18"/>
                <w:lang w:val="mk-MK"/>
              </w:rPr>
              <w:t>завршено</w:t>
            </w:r>
          </w:p>
        </w:tc>
      </w:tr>
      <w:tr w:rsidR="00E96342" w:rsidRPr="00381F72" w:rsidTr="00193A84">
        <w:trPr>
          <w:trHeight w:val="367"/>
        </w:trPr>
        <w:tc>
          <w:tcPr>
            <w:tcW w:w="3960" w:type="dxa"/>
            <w:gridSpan w:val="3"/>
            <w:vMerge/>
          </w:tcPr>
          <w:p w:rsidR="00E96342" w:rsidRPr="00381F72" w:rsidRDefault="00E96342" w:rsidP="00E96342">
            <w:pPr>
              <w:jc w:val="both"/>
              <w:rPr>
                <w:color w:val="878786"/>
                <w:spacing w:val="-6"/>
                <w:w w:val="124"/>
                <w:sz w:val="18"/>
                <w:szCs w:val="18"/>
                <w:lang w:val="mk-MK"/>
              </w:rPr>
            </w:pPr>
          </w:p>
        </w:tc>
        <w:tc>
          <w:tcPr>
            <w:tcW w:w="1627" w:type="dxa"/>
          </w:tcPr>
          <w:p w:rsidR="00E96342" w:rsidRPr="00381F72" w:rsidRDefault="00E96342" w:rsidP="00E96342">
            <w:pPr>
              <w:jc w:val="both"/>
              <w:rPr>
                <w:color w:val="878786"/>
                <w:spacing w:val="-6"/>
                <w:w w:val="124"/>
                <w:sz w:val="18"/>
                <w:szCs w:val="18"/>
                <w:lang w:val="mk-MK"/>
              </w:rPr>
            </w:pPr>
          </w:p>
        </w:tc>
        <w:tc>
          <w:tcPr>
            <w:tcW w:w="1724" w:type="dxa"/>
          </w:tcPr>
          <w:p w:rsidR="00E96342" w:rsidRPr="00381F72" w:rsidRDefault="00E96342" w:rsidP="00E96342">
            <w:pPr>
              <w:jc w:val="both"/>
              <w:rPr>
                <w:color w:val="878786"/>
                <w:spacing w:val="-6"/>
                <w:w w:val="124"/>
                <w:sz w:val="18"/>
                <w:szCs w:val="18"/>
                <w:lang w:val="mk-MK"/>
              </w:rPr>
            </w:pPr>
          </w:p>
        </w:tc>
        <w:tc>
          <w:tcPr>
            <w:tcW w:w="1564" w:type="dxa"/>
            <w:shd w:val="clear" w:color="auto" w:fill="548DD4" w:themeFill="text2" w:themeFillTint="99"/>
          </w:tcPr>
          <w:p w:rsidR="00E96342" w:rsidRPr="00381F72" w:rsidRDefault="00E96342" w:rsidP="00E96342">
            <w:pPr>
              <w:jc w:val="both"/>
              <w:rPr>
                <w:color w:val="878786"/>
                <w:spacing w:val="-6"/>
                <w:w w:val="124"/>
                <w:sz w:val="18"/>
                <w:szCs w:val="18"/>
                <w:lang w:val="mk-MK"/>
              </w:rPr>
            </w:pPr>
          </w:p>
        </w:tc>
        <w:tc>
          <w:tcPr>
            <w:tcW w:w="1835" w:type="dxa"/>
          </w:tcPr>
          <w:p w:rsidR="00E96342" w:rsidRPr="00381F72" w:rsidRDefault="00E96342" w:rsidP="00E96342">
            <w:pPr>
              <w:jc w:val="both"/>
              <w:rPr>
                <w:color w:val="878786"/>
                <w:spacing w:val="-6"/>
                <w:w w:val="124"/>
                <w:sz w:val="18"/>
                <w:szCs w:val="18"/>
                <w:lang w:val="mk-MK"/>
              </w:rPr>
            </w:pPr>
          </w:p>
        </w:tc>
      </w:tr>
      <w:tr w:rsidR="00193A84" w:rsidTr="00C45916">
        <w:tc>
          <w:tcPr>
            <w:tcW w:w="3960" w:type="dxa"/>
            <w:gridSpan w:val="3"/>
          </w:tcPr>
          <w:p w:rsidR="00193A84" w:rsidRPr="00381F72" w:rsidRDefault="00193A84" w:rsidP="00193A84">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193A84" w:rsidRPr="00381F72" w:rsidRDefault="00193A84" w:rsidP="00193A84">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193A84" w:rsidRPr="009913D7" w:rsidRDefault="00193A84" w:rsidP="00193A84">
            <w:pPr>
              <w:jc w:val="both"/>
              <w:rPr>
                <w:b/>
                <w:sz w:val="20"/>
                <w:szCs w:val="20"/>
                <w:lang w:val="mk-MK"/>
              </w:rPr>
            </w:pPr>
            <w:r w:rsidRPr="009913D7">
              <w:rPr>
                <w:b/>
                <w:sz w:val="20"/>
                <w:szCs w:val="20"/>
                <w:lang w:val="mk-MK"/>
              </w:rPr>
              <w:t>Мерка 9. ,,Унапредена примена на Кодексот за добри практики за учество на граѓанскиот сектор во процесот на креирање на политики“</w:t>
            </w:r>
          </w:p>
          <w:p w:rsidR="00193A84" w:rsidRPr="009913D7" w:rsidRDefault="00193A84" w:rsidP="00193A84">
            <w:pPr>
              <w:jc w:val="both"/>
              <w:rPr>
                <w:sz w:val="20"/>
                <w:szCs w:val="20"/>
                <w:lang w:val="mk-MK"/>
              </w:rPr>
            </w:pPr>
            <w:r w:rsidRPr="009913D7">
              <w:rPr>
                <w:sz w:val="20"/>
                <w:szCs w:val="20"/>
                <w:lang w:val="mk-MK"/>
              </w:rPr>
              <w:t>Еднаш годишно, во август,  Генерален секретаријат на Владата на Република  Македонија објавува повик до граѓанскиот сектор за придонес во подготвувањето на Програмата за работа на Влада на Република Македонија. По објавениот повик, во доставените иницијативи од страна на граѓанскиот сектор, Одделението за соработка со невладини организации ги проследува до ресорните министерства. Иницијативите од граѓанските организации и одговорите од министерствата се објавуваат на веб страницата на Одделението www.nvosorabotka.gov.mk. Од страна на Одделението за соработка со невладини организации, подготвен е Анкетен прашалник, кој на 01.07.2015 година доставен е до сите ресорни министерства, со цел добивање на информации за доследна примена на Кодексот за добри практики за учество на граѓанскиот сектор во процесот на креирање на политики. Врз основа на добиените резултати ќе биде подготвена Информација за доследна примена на Кодексот за добри практики за учество на граѓанскиот сектор во процесот на креирање на политики.</w:t>
            </w:r>
          </w:p>
          <w:p w:rsidR="00193A84" w:rsidRPr="009913D7" w:rsidRDefault="00193A84" w:rsidP="00193A84">
            <w:pPr>
              <w:jc w:val="both"/>
              <w:rPr>
                <w:sz w:val="20"/>
                <w:szCs w:val="20"/>
                <w:lang w:val="mk-MK"/>
              </w:rPr>
            </w:pPr>
            <w:r w:rsidRPr="009913D7">
              <w:rPr>
                <w:sz w:val="20"/>
                <w:szCs w:val="20"/>
                <w:lang w:val="mk-MK"/>
              </w:rPr>
              <w:t>В</w:t>
            </w:r>
            <w:r w:rsidRPr="009913D7">
              <w:rPr>
                <w:sz w:val="20"/>
                <w:szCs w:val="20"/>
              </w:rPr>
              <w:t>о рамки на проектот Застапување за отворена влада</w:t>
            </w:r>
            <w:r w:rsidRPr="009913D7">
              <w:rPr>
                <w:sz w:val="20"/>
                <w:szCs w:val="20"/>
                <w:lang w:val="mk-MK"/>
              </w:rPr>
              <w:t xml:space="preserve">, Центарот за истражување и креирање политики </w:t>
            </w:r>
            <w:r w:rsidRPr="009913D7">
              <w:rPr>
                <w:sz w:val="20"/>
                <w:szCs w:val="20"/>
              </w:rPr>
              <w:t xml:space="preserve">ќе подготви анализа за учеството на засегнатите/заинтересираните страни во процесот на креирање политики во последниот квартал на годината.  </w:t>
            </w:r>
            <w:r w:rsidRPr="009913D7">
              <w:rPr>
                <w:sz w:val="20"/>
                <w:szCs w:val="20"/>
                <w:lang w:val="mk-MK"/>
              </w:rPr>
              <w:t>Во тее во процес на собирање податоци од институции на централно а во меѓувреме спроведува и граѓанска анкета за тоа што институциите нудат а што граѓаните користат во однос на столбовите за транспарентност, отчетност и партиципативност. Ова истражување ќе покаже како владините политики можат да поттикнат поголемо вклучување на граѓаните и граѓанските организации во процесот на донесување одлуки.</w:t>
            </w:r>
          </w:p>
        </w:tc>
      </w:tr>
      <w:tr w:rsidR="00193A84" w:rsidTr="00C45916">
        <w:tc>
          <w:tcPr>
            <w:tcW w:w="3960" w:type="dxa"/>
            <w:gridSpan w:val="3"/>
          </w:tcPr>
          <w:p w:rsidR="00193A84" w:rsidRPr="00381F72" w:rsidRDefault="00193A84" w:rsidP="00193A84">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6750" w:type="dxa"/>
            <w:gridSpan w:val="4"/>
          </w:tcPr>
          <w:p w:rsidR="00193A84" w:rsidRPr="009913D7" w:rsidRDefault="00193A84" w:rsidP="00193A84">
            <w:pPr>
              <w:rPr>
                <w:sz w:val="20"/>
                <w:szCs w:val="20"/>
                <w:lang w:val="mk-MK"/>
              </w:rPr>
            </w:pPr>
            <w:r w:rsidRPr="009913D7">
              <w:rPr>
                <w:sz w:val="20"/>
                <w:szCs w:val="20"/>
                <w:lang w:val="mk-MK"/>
              </w:rPr>
              <w:t>континуирано</w:t>
            </w:r>
          </w:p>
        </w:tc>
      </w:tr>
      <w:tr w:rsidR="00193A84" w:rsidTr="00C45916">
        <w:tc>
          <w:tcPr>
            <w:tcW w:w="3960" w:type="dxa"/>
            <w:gridSpan w:val="3"/>
          </w:tcPr>
          <w:p w:rsidR="00193A84" w:rsidRPr="00381F72" w:rsidRDefault="00193A84" w:rsidP="00193A84">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193A84" w:rsidRPr="009913D7" w:rsidRDefault="00193A84" w:rsidP="00193A84">
            <w:pPr>
              <w:jc w:val="both"/>
              <w:rPr>
                <w:sz w:val="20"/>
                <w:szCs w:val="20"/>
                <w:lang w:val="mk-MK"/>
              </w:rPr>
            </w:pPr>
            <w:r w:rsidRPr="009913D7">
              <w:rPr>
                <w:sz w:val="20"/>
                <w:szCs w:val="20"/>
                <w:lang w:val="mk-MK"/>
              </w:rPr>
              <w:t>Подготовка на Информација за доследна примена на Кодексот за добри практики за учество на граѓанскиот сектор во процесот на креирање на политики и А</w:t>
            </w:r>
            <w:r w:rsidRPr="009913D7">
              <w:rPr>
                <w:sz w:val="20"/>
                <w:szCs w:val="20"/>
              </w:rPr>
              <w:t>нализа за учеството на засегнатите/заинтересираните страни во процесот на креирање политики</w:t>
            </w:r>
          </w:p>
          <w:p w:rsidR="00193A84" w:rsidRPr="009913D7" w:rsidRDefault="00193A84" w:rsidP="00193A84">
            <w:pPr>
              <w:jc w:val="both"/>
              <w:rPr>
                <w:sz w:val="20"/>
                <w:szCs w:val="20"/>
                <w:lang w:val="mk-MK"/>
              </w:rPr>
            </w:pPr>
          </w:p>
          <w:p w:rsidR="00193A84" w:rsidRPr="009913D7" w:rsidRDefault="00193A84" w:rsidP="00193A84">
            <w:pPr>
              <w:rPr>
                <w:sz w:val="20"/>
                <w:szCs w:val="20"/>
                <w:lang w:val="mk-MK"/>
              </w:rPr>
            </w:pPr>
          </w:p>
        </w:tc>
      </w:tr>
      <w:tr w:rsidR="00193A84" w:rsidTr="00C45916">
        <w:tc>
          <w:tcPr>
            <w:tcW w:w="10710" w:type="dxa"/>
            <w:gridSpan w:val="7"/>
          </w:tcPr>
          <w:p w:rsidR="00193A84" w:rsidRDefault="00193A84" w:rsidP="00193A84">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r w:rsidR="00193A84" w:rsidRPr="00381F72" w:rsidTr="00C45916">
        <w:trPr>
          <w:trHeight w:val="435"/>
        </w:trPr>
        <w:tc>
          <w:tcPr>
            <w:tcW w:w="3960" w:type="dxa"/>
            <w:gridSpan w:val="3"/>
            <w:vMerge w:val="restart"/>
          </w:tcPr>
          <w:p w:rsidR="00193A84" w:rsidRPr="00381F72" w:rsidRDefault="00193A84" w:rsidP="00193A84">
            <w:pPr>
              <w:jc w:val="both"/>
              <w:rPr>
                <w:color w:val="878786"/>
                <w:spacing w:val="-6"/>
                <w:w w:val="124"/>
                <w:sz w:val="18"/>
                <w:szCs w:val="18"/>
                <w:lang w:val="mk-MK"/>
              </w:rPr>
            </w:pPr>
          </w:p>
          <w:p w:rsidR="00193A84" w:rsidRPr="00381F72" w:rsidRDefault="00193A84" w:rsidP="00193A84">
            <w:pPr>
              <w:jc w:val="both"/>
              <w:rPr>
                <w:color w:val="878786"/>
                <w:spacing w:val="-6"/>
                <w:w w:val="124"/>
                <w:sz w:val="18"/>
                <w:szCs w:val="18"/>
                <w:lang w:val="mk-MK"/>
              </w:rPr>
            </w:pPr>
            <w:r w:rsidRPr="00381F72">
              <w:rPr>
                <w:color w:val="878786"/>
                <w:spacing w:val="-6"/>
                <w:w w:val="124"/>
                <w:sz w:val="18"/>
                <w:szCs w:val="18"/>
                <w:lang w:val="mk-MK"/>
              </w:rPr>
              <w:t>Ниво на проект</w:t>
            </w:r>
          </w:p>
          <w:p w:rsidR="00193A84" w:rsidRPr="00381F72" w:rsidRDefault="00193A84" w:rsidP="00193A84">
            <w:pPr>
              <w:jc w:val="both"/>
              <w:rPr>
                <w:color w:val="878786"/>
                <w:spacing w:val="-6"/>
                <w:w w:val="124"/>
                <w:sz w:val="18"/>
                <w:szCs w:val="18"/>
                <w:lang w:val="mk-MK"/>
              </w:rPr>
            </w:pPr>
          </w:p>
        </w:tc>
        <w:tc>
          <w:tcPr>
            <w:tcW w:w="1627" w:type="dxa"/>
          </w:tcPr>
          <w:p w:rsidR="00193A84" w:rsidRPr="00381F72" w:rsidRDefault="00193A84" w:rsidP="00193A84">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193A84" w:rsidRPr="00381F72" w:rsidRDefault="00193A84" w:rsidP="00193A84">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193A84" w:rsidRPr="00381F72" w:rsidRDefault="00193A84" w:rsidP="00193A84">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193A84" w:rsidRPr="00381F72" w:rsidRDefault="00193A84" w:rsidP="00193A84">
            <w:pPr>
              <w:jc w:val="both"/>
              <w:rPr>
                <w:color w:val="878786"/>
                <w:spacing w:val="-6"/>
                <w:w w:val="124"/>
                <w:sz w:val="18"/>
                <w:szCs w:val="18"/>
                <w:lang w:val="mk-MK"/>
              </w:rPr>
            </w:pPr>
            <w:r>
              <w:rPr>
                <w:color w:val="878786"/>
                <w:spacing w:val="-6"/>
                <w:w w:val="124"/>
                <w:sz w:val="18"/>
                <w:szCs w:val="18"/>
                <w:lang w:val="mk-MK"/>
              </w:rPr>
              <w:t>завршено</w:t>
            </w:r>
          </w:p>
        </w:tc>
      </w:tr>
      <w:tr w:rsidR="00193A84" w:rsidRPr="00381F72" w:rsidTr="00193A84">
        <w:trPr>
          <w:trHeight w:val="367"/>
        </w:trPr>
        <w:tc>
          <w:tcPr>
            <w:tcW w:w="3960" w:type="dxa"/>
            <w:gridSpan w:val="3"/>
            <w:vMerge/>
          </w:tcPr>
          <w:p w:rsidR="00193A84" w:rsidRPr="00381F72" w:rsidRDefault="00193A84" w:rsidP="00193A84">
            <w:pPr>
              <w:jc w:val="both"/>
              <w:rPr>
                <w:color w:val="878786"/>
                <w:spacing w:val="-6"/>
                <w:w w:val="124"/>
                <w:sz w:val="18"/>
                <w:szCs w:val="18"/>
                <w:lang w:val="mk-MK"/>
              </w:rPr>
            </w:pPr>
          </w:p>
        </w:tc>
        <w:tc>
          <w:tcPr>
            <w:tcW w:w="1627" w:type="dxa"/>
          </w:tcPr>
          <w:p w:rsidR="00193A84" w:rsidRPr="00381F72" w:rsidRDefault="00193A84" w:rsidP="00193A84">
            <w:pPr>
              <w:jc w:val="both"/>
              <w:rPr>
                <w:color w:val="878786"/>
                <w:spacing w:val="-6"/>
                <w:w w:val="124"/>
                <w:sz w:val="18"/>
                <w:szCs w:val="18"/>
                <w:lang w:val="mk-MK"/>
              </w:rPr>
            </w:pPr>
          </w:p>
        </w:tc>
        <w:tc>
          <w:tcPr>
            <w:tcW w:w="1724" w:type="dxa"/>
          </w:tcPr>
          <w:p w:rsidR="00193A84" w:rsidRPr="00381F72" w:rsidRDefault="00193A84" w:rsidP="00193A84">
            <w:pPr>
              <w:jc w:val="both"/>
              <w:rPr>
                <w:color w:val="878786"/>
                <w:spacing w:val="-6"/>
                <w:w w:val="124"/>
                <w:sz w:val="18"/>
                <w:szCs w:val="18"/>
                <w:lang w:val="mk-MK"/>
              </w:rPr>
            </w:pPr>
          </w:p>
        </w:tc>
        <w:tc>
          <w:tcPr>
            <w:tcW w:w="1564" w:type="dxa"/>
            <w:shd w:val="clear" w:color="auto" w:fill="548DD4" w:themeFill="text2" w:themeFillTint="99"/>
          </w:tcPr>
          <w:p w:rsidR="00193A84" w:rsidRPr="00381F72" w:rsidRDefault="00193A84" w:rsidP="00193A84">
            <w:pPr>
              <w:jc w:val="both"/>
              <w:rPr>
                <w:color w:val="878786"/>
                <w:spacing w:val="-6"/>
                <w:w w:val="124"/>
                <w:sz w:val="18"/>
                <w:szCs w:val="18"/>
                <w:lang w:val="mk-MK"/>
              </w:rPr>
            </w:pPr>
          </w:p>
        </w:tc>
        <w:tc>
          <w:tcPr>
            <w:tcW w:w="1835" w:type="dxa"/>
          </w:tcPr>
          <w:p w:rsidR="00193A84" w:rsidRPr="00381F72" w:rsidRDefault="00193A84" w:rsidP="00193A84">
            <w:pPr>
              <w:jc w:val="both"/>
              <w:rPr>
                <w:color w:val="878786"/>
                <w:spacing w:val="-6"/>
                <w:w w:val="124"/>
                <w:sz w:val="18"/>
                <w:szCs w:val="18"/>
                <w:lang w:val="mk-MK"/>
              </w:rPr>
            </w:pPr>
          </w:p>
        </w:tc>
      </w:tr>
      <w:tr w:rsidR="00193A84" w:rsidTr="00C45916">
        <w:tc>
          <w:tcPr>
            <w:tcW w:w="3960" w:type="dxa"/>
            <w:gridSpan w:val="3"/>
          </w:tcPr>
          <w:p w:rsidR="00193A84" w:rsidRPr="00381F72" w:rsidRDefault="00193A84" w:rsidP="00193A84">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193A84" w:rsidRPr="00381F72" w:rsidRDefault="00193A84" w:rsidP="00193A84">
            <w:pPr>
              <w:jc w:val="both"/>
              <w:rPr>
                <w:color w:val="878786"/>
                <w:spacing w:val="-6"/>
                <w:w w:val="124"/>
                <w:sz w:val="18"/>
                <w:szCs w:val="18"/>
                <w:lang w:val="mk-MK"/>
              </w:rPr>
            </w:pPr>
            <w:r w:rsidRPr="00381F72">
              <w:rPr>
                <w:color w:val="878786"/>
                <w:spacing w:val="-6"/>
                <w:w w:val="124"/>
                <w:sz w:val="18"/>
                <w:szCs w:val="18"/>
                <w:lang w:val="mk-MK"/>
              </w:rPr>
              <w:t xml:space="preserve">Се вклучуваат специфични активности во рамките на периодот на известување (прва или втора година од Акциониот план) и, каде што е можно, Ве молиме </w:t>
            </w:r>
            <w:r w:rsidRPr="00381F72">
              <w:rPr>
                <w:color w:val="878786"/>
                <w:spacing w:val="-6"/>
                <w:w w:val="124"/>
                <w:sz w:val="18"/>
                <w:szCs w:val="18"/>
                <w:lang w:val="mk-MK"/>
              </w:rPr>
              <w:lastRenderedPageBreak/>
              <w:t>наведете дали имало докази дека граѓаните ја применуваат заложбата или дека заложбата има ефект.</w:t>
            </w:r>
          </w:p>
        </w:tc>
        <w:tc>
          <w:tcPr>
            <w:tcW w:w="6750" w:type="dxa"/>
            <w:gridSpan w:val="4"/>
          </w:tcPr>
          <w:p w:rsidR="00193A84" w:rsidRPr="009913D7" w:rsidRDefault="00193A84" w:rsidP="00193A84">
            <w:pPr>
              <w:jc w:val="both"/>
              <w:rPr>
                <w:b/>
                <w:sz w:val="20"/>
                <w:szCs w:val="20"/>
                <w:lang w:val="mk-MK"/>
              </w:rPr>
            </w:pPr>
            <w:r w:rsidRPr="009913D7">
              <w:rPr>
                <w:b/>
                <w:sz w:val="20"/>
                <w:szCs w:val="20"/>
                <w:lang w:val="mk-MK"/>
              </w:rPr>
              <w:lastRenderedPageBreak/>
              <w:t>Мерка 10. Имплементација на мерките од Стратегијата за соработка на Владата со граѓанскиот сектор (2012-2017) и навремено ажурирање на веб страницата на Одделението за соработка со невладини организации</w:t>
            </w:r>
          </w:p>
          <w:p w:rsidR="00193A84" w:rsidRPr="009913D7" w:rsidRDefault="00193A84" w:rsidP="00193A84">
            <w:pPr>
              <w:jc w:val="both"/>
              <w:rPr>
                <w:sz w:val="20"/>
                <w:szCs w:val="20"/>
              </w:rPr>
            </w:pPr>
            <w:r w:rsidRPr="009913D7">
              <w:rPr>
                <w:sz w:val="20"/>
                <w:szCs w:val="20"/>
                <w:lang w:val="mk-MK"/>
              </w:rPr>
              <w:t>П</w:t>
            </w:r>
            <w:r w:rsidRPr="009913D7">
              <w:rPr>
                <w:sz w:val="20"/>
                <w:szCs w:val="20"/>
              </w:rPr>
              <w:t xml:space="preserve">одготвен е Извештај за спроведените мерки и активности од Стратегијата </w:t>
            </w:r>
            <w:r w:rsidRPr="009913D7">
              <w:rPr>
                <w:sz w:val="20"/>
                <w:szCs w:val="20"/>
              </w:rPr>
              <w:lastRenderedPageBreak/>
              <w:t>за соработка на Владата со граѓанскиот сектор (2012 – 2017), кој е разгледан од страна на Владата на 10.3.2015 година. Текстот на Извештајот 15 дена беше достапен за коментари од граѓанскиот сектор преку  интернет страната на Одделението за соработка со невладини организации www.nvosorabotka.gov.mk.</w:t>
            </w:r>
          </w:p>
          <w:p w:rsidR="00193A84" w:rsidRPr="009913D7" w:rsidRDefault="00193A84" w:rsidP="00193A84">
            <w:pPr>
              <w:jc w:val="both"/>
              <w:rPr>
                <w:sz w:val="20"/>
                <w:szCs w:val="20"/>
                <w:lang w:val="mk-MK"/>
              </w:rPr>
            </w:pPr>
          </w:p>
        </w:tc>
      </w:tr>
      <w:tr w:rsidR="00193A84" w:rsidTr="00C45916">
        <w:tc>
          <w:tcPr>
            <w:tcW w:w="3960" w:type="dxa"/>
            <w:gridSpan w:val="3"/>
          </w:tcPr>
          <w:p w:rsidR="00193A84" w:rsidRPr="00381F72" w:rsidRDefault="00193A84" w:rsidP="00193A84">
            <w:pPr>
              <w:jc w:val="both"/>
              <w:rPr>
                <w:color w:val="878786"/>
                <w:spacing w:val="-6"/>
                <w:w w:val="124"/>
                <w:sz w:val="18"/>
                <w:szCs w:val="18"/>
                <w:lang w:val="mk-MK"/>
              </w:rPr>
            </w:pPr>
            <w:r w:rsidRPr="00381F72">
              <w:rPr>
                <w:color w:val="878786"/>
                <w:spacing w:val="-6"/>
                <w:w w:val="124"/>
                <w:sz w:val="18"/>
                <w:szCs w:val="18"/>
                <w:lang w:val="mk-MK"/>
              </w:rPr>
              <w:lastRenderedPageBreak/>
              <w:t>Краен датум</w:t>
            </w:r>
          </w:p>
        </w:tc>
        <w:tc>
          <w:tcPr>
            <w:tcW w:w="6750" w:type="dxa"/>
            <w:gridSpan w:val="4"/>
          </w:tcPr>
          <w:p w:rsidR="00193A84" w:rsidRPr="009913D7" w:rsidRDefault="00193A84" w:rsidP="00193A84">
            <w:pPr>
              <w:rPr>
                <w:sz w:val="20"/>
                <w:szCs w:val="20"/>
                <w:lang w:val="mk-MK"/>
              </w:rPr>
            </w:pPr>
            <w:r w:rsidRPr="009913D7">
              <w:rPr>
                <w:sz w:val="20"/>
                <w:szCs w:val="20"/>
                <w:lang w:val="mk-MK"/>
              </w:rPr>
              <w:t>континуирано</w:t>
            </w:r>
          </w:p>
        </w:tc>
      </w:tr>
      <w:tr w:rsidR="00193A84" w:rsidTr="00C45916">
        <w:tc>
          <w:tcPr>
            <w:tcW w:w="3960" w:type="dxa"/>
            <w:gridSpan w:val="3"/>
          </w:tcPr>
          <w:p w:rsidR="00193A84" w:rsidRPr="00381F72" w:rsidRDefault="00193A84" w:rsidP="00193A84">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193A84" w:rsidRPr="009913D7" w:rsidRDefault="00193A84" w:rsidP="00193A84">
            <w:pPr>
              <w:jc w:val="both"/>
              <w:rPr>
                <w:sz w:val="20"/>
                <w:szCs w:val="20"/>
                <w:lang w:val="mk-MK"/>
              </w:rPr>
            </w:pPr>
            <w:r w:rsidRPr="009913D7">
              <w:rPr>
                <w:sz w:val="20"/>
                <w:szCs w:val="20"/>
                <w:lang w:val="mk-MK"/>
              </w:rPr>
              <w:t>Подготовка на Информација за доследна примена на Кодексот за добри практики за учество на граѓанскиот сектор во процесот на креирање на политики и А</w:t>
            </w:r>
            <w:r w:rsidRPr="009913D7">
              <w:rPr>
                <w:sz w:val="20"/>
                <w:szCs w:val="20"/>
              </w:rPr>
              <w:t>нализа за учеството на засегнатите/заинтересираните страни во процесот на креирање политики</w:t>
            </w:r>
          </w:p>
          <w:p w:rsidR="00193A84" w:rsidRPr="009913D7" w:rsidRDefault="00193A84" w:rsidP="00193A84">
            <w:pPr>
              <w:jc w:val="both"/>
              <w:rPr>
                <w:sz w:val="20"/>
                <w:szCs w:val="20"/>
                <w:lang w:val="mk-MK"/>
              </w:rPr>
            </w:pPr>
          </w:p>
          <w:p w:rsidR="00193A84" w:rsidRPr="009913D7" w:rsidRDefault="00193A84" w:rsidP="00193A84">
            <w:pPr>
              <w:rPr>
                <w:sz w:val="20"/>
                <w:szCs w:val="20"/>
                <w:lang w:val="mk-MK"/>
              </w:rPr>
            </w:pPr>
          </w:p>
        </w:tc>
      </w:tr>
      <w:tr w:rsidR="00193A84" w:rsidTr="00C45916">
        <w:tc>
          <w:tcPr>
            <w:tcW w:w="10710" w:type="dxa"/>
            <w:gridSpan w:val="7"/>
          </w:tcPr>
          <w:p w:rsidR="00193A84" w:rsidRDefault="00193A84" w:rsidP="00193A84">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bl>
    <w:p w:rsidR="00636565" w:rsidRDefault="00636565" w:rsidP="00852AE9">
      <w:pPr>
        <w:jc w:val="both"/>
        <w:rPr>
          <w:b/>
          <w:lang w:val="mk-MK"/>
        </w:rPr>
      </w:pPr>
    </w:p>
    <w:tbl>
      <w:tblPr>
        <w:tblStyle w:val="TableGrid"/>
        <w:tblW w:w="0" w:type="auto"/>
        <w:tblLook w:val="04A0"/>
      </w:tblPr>
      <w:tblGrid>
        <w:gridCol w:w="1671"/>
        <w:gridCol w:w="1980"/>
        <w:gridCol w:w="23"/>
        <w:gridCol w:w="1899"/>
        <w:gridCol w:w="1793"/>
        <w:gridCol w:w="1764"/>
        <w:gridCol w:w="1580"/>
      </w:tblGrid>
      <w:tr w:rsidR="002133FA" w:rsidTr="002133FA">
        <w:tc>
          <w:tcPr>
            <w:tcW w:w="10710" w:type="dxa"/>
            <w:gridSpan w:val="7"/>
            <w:shd w:val="clear" w:color="auto" w:fill="262626" w:themeFill="text1" w:themeFillTint="D9"/>
          </w:tcPr>
          <w:p w:rsidR="002133FA" w:rsidRDefault="002133FA" w:rsidP="002133FA">
            <w:pPr>
              <w:jc w:val="center"/>
              <w:rPr>
                <w:b/>
                <w:lang w:val="mk-MK"/>
              </w:rPr>
            </w:pPr>
            <w:r w:rsidRPr="002F1864">
              <w:rPr>
                <w:rFonts w:eastAsia="Times New Roman" w:cs="Times New Roman"/>
                <w:color w:val="EEECE1" w:themeColor="background2"/>
                <w:spacing w:val="-12"/>
                <w:w w:val="123"/>
                <w:sz w:val="20"/>
                <w:szCs w:val="20"/>
                <w:lang w:val="mk-MK"/>
              </w:rPr>
              <w:t>Шаблон за завршување на заложбите</w:t>
            </w:r>
          </w:p>
        </w:tc>
      </w:tr>
      <w:tr w:rsidR="002133FA" w:rsidTr="002133FA">
        <w:tc>
          <w:tcPr>
            <w:tcW w:w="10710" w:type="dxa"/>
            <w:gridSpan w:val="7"/>
          </w:tcPr>
          <w:p w:rsidR="002133FA" w:rsidRPr="002133FA" w:rsidRDefault="002133FA" w:rsidP="002133FA">
            <w:pPr>
              <w:pStyle w:val="ListParagraph"/>
              <w:numPr>
                <w:ilvl w:val="0"/>
                <w:numId w:val="2"/>
              </w:numPr>
              <w:jc w:val="center"/>
              <w:rPr>
                <w:b/>
                <w:color w:val="262626" w:themeColor="text1" w:themeTint="D9"/>
                <w:lang w:val="mk-MK"/>
              </w:rPr>
            </w:pPr>
            <w:r>
              <w:rPr>
                <w:b/>
                <w:color w:val="262626" w:themeColor="text1" w:themeTint="D9"/>
                <w:lang w:val="mk-MK"/>
              </w:rPr>
              <w:t>Отворени податоци</w:t>
            </w:r>
          </w:p>
        </w:tc>
      </w:tr>
      <w:tr w:rsidR="00DD0137" w:rsidTr="00EF52B6">
        <w:tc>
          <w:tcPr>
            <w:tcW w:w="3651" w:type="dxa"/>
            <w:gridSpan w:val="2"/>
          </w:tcPr>
          <w:p w:rsidR="00DD0137" w:rsidRPr="00381F72" w:rsidRDefault="00DD0137" w:rsidP="002133FA">
            <w:pPr>
              <w:jc w:val="both"/>
              <w:rPr>
                <w:color w:val="878786"/>
                <w:spacing w:val="-6"/>
                <w:w w:val="124"/>
                <w:sz w:val="18"/>
                <w:szCs w:val="18"/>
                <w:lang w:val="mk-MK"/>
              </w:rPr>
            </w:pPr>
            <w:r w:rsidRPr="00381F72">
              <w:rPr>
                <w:color w:val="878786"/>
                <w:spacing w:val="-6"/>
                <w:w w:val="124"/>
                <w:sz w:val="18"/>
                <w:szCs w:val="18"/>
                <w:lang w:val="mk-MK"/>
              </w:rPr>
              <w:t>Водечка агенција за спроведување</w:t>
            </w:r>
          </w:p>
        </w:tc>
        <w:tc>
          <w:tcPr>
            <w:tcW w:w="7059" w:type="dxa"/>
            <w:gridSpan w:val="5"/>
          </w:tcPr>
          <w:p w:rsidR="00DD0137" w:rsidRPr="00D004B6" w:rsidRDefault="00DD0137" w:rsidP="005909F7">
            <w:pPr>
              <w:rPr>
                <w:rFonts w:eastAsia="Times New Roman" w:cs="Times New Roman"/>
                <w:sz w:val="20"/>
                <w:szCs w:val="20"/>
                <w:lang w:val="mk-MK"/>
              </w:rPr>
            </w:pPr>
            <w:r>
              <w:rPr>
                <w:rFonts w:eastAsia="Times New Roman" w:cs="Times New Roman"/>
                <w:sz w:val="20"/>
                <w:szCs w:val="20"/>
                <w:lang w:val="mk-MK"/>
              </w:rPr>
              <w:t>Министерство за информатичко општество и администрација</w:t>
            </w:r>
          </w:p>
        </w:tc>
      </w:tr>
      <w:tr w:rsidR="00DD0137" w:rsidTr="00EF52B6">
        <w:tc>
          <w:tcPr>
            <w:tcW w:w="3651" w:type="dxa"/>
            <w:gridSpan w:val="2"/>
          </w:tcPr>
          <w:p w:rsidR="00DD0137" w:rsidRPr="00381F72" w:rsidRDefault="00DD0137" w:rsidP="002133FA">
            <w:pPr>
              <w:jc w:val="both"/>
              <w:rPr>
                <w:color w:val="878786"/>
                <w:spacing w:val="-6"/>
                <w:w w:val="124"/>
                <w:sz w:val="18"/>
                <w:szCs w:val="18"/>
                <w:lang w:val="mk-MK"/>
              </w:rPr>
            </w:pPr>
            <w:r w:rsidRPr="00381F72">
              <w:rPr>
                <w:color w:val="878786"/>
                <w:spacing w:val="-6"/>
                <w:w w:val="124"/>
                <w:sz w:val="18"/>
                <w:szCs w:val="18"/>
                <w:lang w:val="mk-MK"/>
              </w:rPr>
              <w:t>Име на одговорно лице од агенција за спроведување</w:t>
            </w:r>
          </w:p>
        </w:tc>
        <w:tc>
          <w:tcPr>
            <w:tcW w:w="7059" w:type="dxa"/>
            <w:gridSpan w:val="5"/>
          </w:tcPr>
          <w:p w:rsidR="00DD0137" w:rsidRPr="004B1FCD" w:rsidRDefault="00DD0137" w:rsidP="005909F7">
            <w:pPr>
              <w:rPr>
                <w:rFonts w:eastAsia="Times New Roman" w:cs="Times New Roman"/>
                <w:sz w:val="20"/>
                <w:szCs w:val="20"/>
                <w:lang w:val="mk-MK"/>
              </w:rPr>
            </w:pPr>
            <w:r>
              <w:rPr>
                <w:rFonts w:eastAsia="Times New Roman" w:cs="Times New Roman"/>
                <w:sz w:val="20"/>
                <w:szCs w:val="20"/>
                <w:lang w:val="mk-MK"/>
              </w:rPr>
              <w:t>Филип Маневски– координатор</w:t>
            </w:r>
          </w:p>
          <w:p w:rsidR="00DD0137" w:rsidRDefault="00DD0137" w:rsidP="005909F7">
            <w:pPr>
              <w:rPr>
                <w:rFonts w:eastAsia="Times New Roman" w:cs="Times New Roman"/>
                <w:sz w:val="20"/>
                <w:szCs w:val="20"/>
                <w:lang w:val="mk-MK"/>
              </w:rPr>
            </w:pPr>
            <w:r>
              <w:rPr>
                <w:rFonts w:eastAsia="Times New Roman" w:cs="Times New Roman"/>
                <w:sz w:val="20"/>
                <w:szCs w:val="20"/>
                <w:lang w:val="mk-MK"/>
              </w:rPr>
              <w:t>Надица Јосифовски – заменик координатор</w:t>
            </w:r>
          </w:p>
          <w:p w:rsidR="00DD0137" w:rsidRPr="004B1FCD" w:rsidRDefault="00DD0137" w:rsidP="005909F7">
            <w:pPr>
              <w:rPr>
                <w:rFonts w:eastAsia="Times New Roman" w:cs="Times New Roman"/>
                <w:sz w:val="20"/>
                <w:szCs w:val="20"/>
                <w:lang w:val="mk-MK"/>
              </w:rPr>
            </w:pPr>
            <w:r w:rsidRPr="004B1FCD">
              <w:rPr>
                <w:rFonts w:eastAsia="Times New Roman" w:cs="Times New Roman"/>
                <w:sz w:val="20"/>
                <w:szCs w:val="20"/>
              </w:rPr>
              <w:t>Владимир Радосављевиќ</w:t>
            </w:r>
            <w:r>
              <w:rPr>
                <w:rFonts w:eastAsia="Times New Roman" w:cs="Times New Roman"/>
                <w:sz w:val="20"/>
                <w:szCs w:val="20"/>
                <w:lang w:val="mk-MK"/>
              </w:rPr>
              <w:t xml:space="preserve"> – заменик координатор</w:t>
            </w:r>
          </w:p>
        </w:tc>
      </w:tr>
      <w:tr w:rsidR="00DD0137" w:rsidTr="00EF52B6">
        <w:tc>
          <w:tcPr>
            <w:tcW w:w="3651" w:type="dxa"/>
            <w:gridSpan w:val="2"/>
          </w:tcPr>
          <w:p w:rsidR="00DD0137" w:rsidRPr="00381F72" w:rsidRDefault="00DD0137" w:rsidP="002133FA">
            <w:pPr>
              <w:jc w:val="both"/>
              <w:rPr>
                <w:color w:val="878786"/>
                <w:spacing w:val="-6"/>
                <w:w w:val="124"/>
                <w:sz w:val="18"/>
                <w:szCs w:val="18"/>
                <w:lang w:val="mk-MK"/>
              </w:rPr>
            </w:pPr>
            <w:r w:rsidRPr="00381F72">
              <w:rPr>
                <w:color w:val="878786"/>
                <w:spacing w:val="-6"/>
                <w:w w:val="124"/>
                <w:sz w:val="18"/>
                <w:szCs w:val="18"/>
                <w:lang w:val="mk-MK"/>
              </w:rPr>
              <w:t>Назив, Одделение</w:t>
            </w:r>
          </w:p>
        </w:tc>
        <w:tc>
          <w:tcPr>
            <w:tcW w:w="7059" w:type="dxa"/>
            <w:gridSpan w:val="5"/>
          </w:tcPr>
          <w:p w:rsidR="00DD0137" w:rsidRDefault="00DD0137" w:rsidP="005909F7">
            <w:pPr>
              <w:rPr>
                <w:rFonts w:eastAsia="Times New Roman" w:cs="Times New Roman"/>
                <w:sz w:val="20"/>
                <w:szCs w:val="20"/>
                <w:lang w:val="mk-MK"/>
              </w:rPr>
            </w:pPr>
            <w:r>
              <w:rPr>
                <w:rFonts w:eastAsia="Times New Roman" w:cs="Times New Roman"/>
                <w:sz w:val="20"/>
                <w:szCs w:val="20"/>
                <w:lang w:val="mk-MK"/>
              </w:rPr>
              <w:t>ИКТ Советник</w:t>
            </w:r>
          </w:p>
          <w:p w:rsidR="00DD0137" w:rsidRDefault="00DD0137" w:rsidP="005909F7">
            <w:pPr>
              <w:rPr>
                <w:rFonts w:eastAsia="Times New Roman" w:cs="Times New Roman"/>
                <w:sz w:val="20"/>
                <w:szCs w:val="20"/>
                <w:lang w:val="mk-MK"/>
              </w:rPr>
            </w:pPr>
            <w:r>
              <w:rPr>
                <w:rFonts w:eastAsia="Times New Roman" w:cs="Times New Roman"/>
                <w:sz w:val="20"/>
                <w:szCs w:val="20"/>
                <w:lang w:val="mk-MK"/>
              </w:rPr>
              <w:t>ИКТ Советник</w:t>
            </w:r>
          </w:p>
          <w:p w:rsidR="00DD0137" w:rsidRPr="00C412C1" w:rsidRDefault="00DD0137" w:rsidP="005909F7">
            <w:pPr>
              <w:rPr>
                <w:rFonts w:eastAsia="Times New Roman" w:cs="Times New Roman"/>
                <w:sz w:val="20"/>
                <w:szCs w:val="20"/>
                <w:lang w:val="mk-MK"/>
              </w:rPr>
            </w:pPr>
            <w:r>
              <w:rPr>
                <w:rFonts w:eastAsia="Times New Roman" w:cs="Times New Roman"/>
                <w:sz w:val="20"/>
                <w:szCs w:val="20"/>
                <w:lang w:val="mk-MK"/>
              </w:rPr>
              <w:t>Помлад соработник</w:t>
            </w:r>
          </w:p>
        </w:tc>
      </w:tr>
      <w:tr w:rsidR="00DD0137" w:rsidTr="00EF52B6">
        <w:tc>
          <w:tcPr>
            <w:tcW w:w="3651" w:type="dxa"/>
            <w:gridSpan w:val="2"/>
          </w:tcPr>
          <w:p w:rsidR="00DD0137" w:rsidRPr="00381F72" w:rsidRDefault="00DD0137" w:rsidP="002133FA">
            <w:pPr>
              <w:jc w:val="both"/>
              <w:rPr>
                <w:color w:val="878786"/>
                <w:spacing w:val="-6"/>
                <w:w w:val="124"/>
                <w:sz w:val="18"/>
                <w:szCs w:val="18"/>
                <w:lang w:val="mk-MK"/>
              </w:rPr>
            </w:pPr>
            <w:r w:rsidRPr="00381F72">
              <w:rPr>
                <w:color w:val="878786"/>
                <w:spacing w:val="-6"/>
                <w:w w:val="124"/>
                <w:sz w:val="18"/>
                <w:szCs w:val="18"/>
                <w:lang w:val="mk-MK"/>
              </w:rPr>
              <w:t xml:space="preserve">          Е-пошгта</w:t>
            </w:r>
          </w:p>
        </w:tc>
        <w:tc>
          <w:tcPr>
            <w:tcW w:w="7059" w:type="dxa"/>
            <w:gridSpan w:val="5"/>
          </w:tcPr>
          <w:p w:rsidR="00DD0137" w:rsidRDefault="00FA42AE" w:rsidP="005909F7">
            <w:pPr>
              <w:rPr>
                <w:rFonts w:eastAsia="Times New Roman" w:cs="Times New Roman"/>
                <w:sz w:val="20"/>
                <w:szCs w:val="20"/>
              </w:rPr>
            </w:pPr>
            <w:hyperlink r:id="rId14" w:history="1">
              <w:r w:rsidR="00DD0137" w:rsidRPr="005115DF">
                <w:rPr>
                  <w:rStyle w:val="Hyperlink"/>
                  <w:rFonts w:eastAsia="Times New Roman" w:cs="Times New Roman"/>
                  <w:sz w:val="20"/>
                  <w:szCs w:val="20"/>
                </w:rPr>
                <w:t>Filip.manevski@mioa.gov.mk</w:t>
              </w:r>
            </w:hyperlink>
          </w:p>
          <w:p w:rsidR="00DD0137" w:rsidRDefault="00FA42AE" w:rsidP="005909F7">
            <w:pPr>
              <w:rPr>
                <w:rStyle w:val="Hyperlink"/>
                <w:rFonts w:eastAsia="Times New Roman" w:cs="Times New Roman"/>
                <w:sz w:val="20"/>
                <w:szCs w:val="20"/>
              </w:rPr>
            </w:pPr>
            <w:hyperlink r:id="rId15" w:history="1">
              <w:r w:rsidR="00DD0137" w:rsidRPr="005115DF">
                <w:rPr>
                  <w:rStyle w:val="Hyperlink"/>
                  <w:rFonts w:eastAsia="Times New Roman" w:cs="Times New Roman"/>
                  <w:sz w:val="20"/>
                  <w:szCs w:val="20"/>
                </w:rPr>
                <w:t>Nadica.Josifovski@mioa.gov.mk</w:t>
              </w:r>
            </w:hyperlink>
          </w:p>
          <w:p w:rsidR="00DD0137" w:rsidRDefault="00FA42AE" w:rsidP="005909F7">
            <w:pPr>
              <w:rPr>
                <w:rFonts w:eastAsia="Times New Roman" w:cs="Times New Roman"/>
                <w:sz w:val="20"/>
                <w:szCs w:val="20"/>
              </w:rPr>
            </w:pPr>
            <w:hyperlink r:id="rId16" w:history="1">
              <w:r w:rsidR="00DD0137" w:rsidRPr="00A90AF2">
                <w:rPr>
                  <w:rStyle w:val="Hyperlink"/>
                  <w:rFonts w:eastAsia="Times New Roman" w:cs="Times New Roman"/>
                  <w:sz w:val="20"/>
                  <w:szCs w:val="20"/>
                </w:rPr>
                <w:t>vladimir.radosavljevik@mioa.gov.mk</w:t>
              </w:r>
            </w:hyperlink>
          </w:p>
          <w:p w:rsidR="00DD0137" w:rsidRPr="00C412C1" w:rsidRDefault="00DD0137" w:rsidP="005909F7">
            <w:pPr>
              <w:rPr>
                <w:rFonts w:eastAsia="Times New Roman" w:cs="Times New Roman"/>
                <w:sz w:val="20"/>
                <w:szCs w:val="20"/>
              </w:rPr>
            </w:pPr>
          </w:p>
        </w:tc>
      </w:tr>
      <w:tr w:rsidR="00DD0137" w:rsidTr="00EF52B6">
        <w:tc>
          <w:tcPr>
            <w:tcW w:w="3651" w:type="dxa"/>
            <w:gridSpan w:val="2"/>
          </w:tcPr>
          <w:p w:rsidR="00DD0137" w:rsidRPr="00381F72" w:rsidRDefault="00DD0137" w:rsidP="002133FA">
            <w:pPr>
              <w:jc w:val="both"/>
              <w:rPr>
                <w:color w:val="878786"/>
                <w:spacing w:val="-6"/>
                <w:w w:val="124"/>
                <w:sz w:val="18"/>
                <w:szCs w:val="18"/>
                <w:lang w:val="mk-MK"/>
              </w:rPr>
            </w:pPr>
            <w:r w:rsidRPr="00381F72">
              <w:rPr>
                <w:color w:val="878786"/>
                <w:spacing w:val="-6"/>
                <w:w w:val="124"/>
                <w:sz w:val="18"/>
                <w:szCs w:val="18"/>
                <w:lang w:val="mk-MK"/>
              </w:rPr>
              <w:t>Телефон</w:t>
            </w:r>
          </w:p>
        </w:tc>
        <w:tc>
          <w:tcPr>
            <w:tcW w:w="7059" w:type="dxa"/>
            <w:gridSpan w:val="5"/>
          </w:tcPr>
          <w:p w:rsidR="00DD0137" w:rsidRDefault="00DD0137" w:rsidP="005909F7">
            <w:pPr>
              <w:rPr>
                <w:rFonts w:eastAsia="Times New Roman" w:cs="Times New Roman"/>
                <w:sz w:val="20"/>
                <w:szCs w:val="20"/>
              </w:rPr>
            </w:pPr>
            <w:r w:rsidRPr="00FD27AF">
              <w:rPr>
                <w:rFonts w:eastAsia="Times New Roman" w:cs="Times New Roman"/>
                <w:sz w:val="20"/>
                <w:szCs w:val="20"/>
              </w:rPr>
              <w:t>+389(0)2 320-0870</w:t>
            </w:r>
          </w:p>
          <w:p w:rsidR="00DD0137" w:rsidRPr="00C412C1" w:rsidRDefault="00DD0137" w:rsidP="005909F7">
            <w:pPr>
              <w:rPr>
                <w:rFonts w:eastAsia="Times New Roman" w:cs="Times New Roman"/>
                <w:sz w:val="20"/>
                <w:szCs w:val="20"/>
              </w:rPr>
            </w:pPr>
            <w:r>
              <w:rPr>
                <w:rFonts w:eastAsia="Times New Roman" w:cs="Times New Roman"/>
                <w:sz w:val="20"/>
                <w:szCs w:val="20"/>
              </w:rPr>
              <w:t>+389(0)2 320-0878</w:t>
            </w:r>
          </w:p>
        </w:tc>
      </w:tr>
      <w:tr w:rsidR="005909F7" w:rsidTr="00EF52B6">
        <w:trPr>
          <w:trHeight w:val="486"/>
        </w:trPr>
        <w:tc>
          <w:tcPr>
            <w:tcW w:w="1671" w:type="dxa"/>
            <w:vMerge w:val="restart"/>
          </w:tcPr>
          <w:p w:rsidR="005909F7" w:rsidRPr="00381F72" w:rsidRDefault="005909F7" w:rsidP="002133FA">
            <w:pPr>
              <w:jc w:val="both"/>
              <w:rPr>
                <w:color w:val="878786"/>
                <w:spacing w:val="-6"/>
                <w:w w:val="124"/>
                <w:sz w:val="18"/>
                <w:szCs w:val="18"/>
                <w:lang w:val="mk-MK"/>
              </w:rPr>
            </w:pPr>
            <w:r w:rsidRPr="00381F72">
              <w:rPr>
                <w:color w:val="878786"/>
                <w:spacing w:val="-6"/>
                <w:w w:val="124"/>
                <w:sz w:val="18"/>
                <w:szCs w:val="18"/>
                <w:lang w:val="mk-MK"/>
              </w:rPr>
              <w:t xml:space="preserve">          Други</w:t>
            </w:r>
          </w:p>
          <w:p w:rsidR="005909F7" w:rsidRPr="00381F72" w:rsidRDefault="005909F7" w:rsidP="002133FA">
            <w:pPr>
              <w:pStyle w:val="ListParagraph"/>
              <w:ind w:left="360"/>
              <w:jc w:val="both"/>
              <w:rPr>
                <w:color w:val="878786"/>
                <w:spacing w:val="-6"/>
                <w:w w:val="124"/>
                <w:sz w:val="18"/>
                <w:szCs w:val="18"/>
                <w:lang w:val="mk-MK"/>
              </w:rPr>
            </w:pPr>
            <w:r w:rsidRPr="00381F72">
              <w:rPr>
                <w:color w:val="878786"/>
                <w:spacing w:val="-6"/>
                <w:w w:val="124"/>
                <w:sz w:val="18"/>
                <w:szCs w:val="18"/>
                <w:lang w:val="mk-MK"/>
              </w:rPr>
              <w:t>Инволвирани учесници</w:t>
            </w:r>
          </w:p>
          <w:p w:rsidR="005909F7" w:rsidRPr="00381F72" w:rsidRDefault="005909F7" w:rsidP="002133FA">
            <w:pPr>
              <w:pStyle w:val="ListParagraph"/>
              <w:ind w:left="360"/>
              <w:jc w:val="both"/>
              <w:rPr>
                <w:color w:val="878786"/>
                <w:spacing w:val="-6"/>
                <w:w w:val="124"/>
                <w:sz w:val="18"/>
                <w:szCs w:val="18"/>
                <w:lang w:val="mk-MK"/>
              </w:rPr>
            </w:pPr>
          </w:p>
          <w:p w:rsidR="005909F7" w:rsidRPr="00381F72" w:rsidRDefault="005909F7" w:rsidP="002133FA">
            <w:pPr>
              <w:pStyle w:val="ListParagraph"/>
              <w:ind w:left="360"/>
              <w:jc w:val="both"/>
              <w:rPr>
                <w:color w:val="878786"/>
                <w:spacing w:val="-6"/>
                <w:w w:val="124"/>
                <w:sz w:val="18"/>
                <w:szCs w:val="18"/>
                <w:lang w:val="mk-MK"/>
              </w:rPr>
            </w:pPr>
          </w:p>
        </w:tc>
        <w:tc>
          <w:tcPr>
            <w:tcW w:w="1980" w:type="dxa"/>
          </w:tcPr>
          <w:p w:rsidR="005909F7" w:rsidRPr="00381F72" w:rsidRDefault="005909F7" w:rsidP="002133FA">
            <w:pPr>
              <w:jc w:val="both"/>
              <w:rPr>
                <w:color w:val="878786"/>
                <w:spacing w:val="-6"/>
                <w:w w:val="124"/>
                <w:sz w:val="18"/>
                <w:szCs w:val="18"/>
                <w:lang w:val="mk-MK"/>
              </w:rPr>
            </w:pPr>
            <w:r w:rsidRPr="00381F72">
              <w:rPr>
                <w:color w:val="878786"/>
                <w:spacing w:val="-6"/>
                <w:w w:val="124"/>
                <w:sz w:val="18"/>
                <w:szCs w:val="18"/>
                <w:lang w:val="mk-MK"/>
              </w:rPr>
              <w:t>Влада</w:t>
            </w:r>
          </w:p>
        </w:tc>
        <w:tc>
          <w:tcPr>
            <w:tcW w:w="7059" w:type="dxa"/>
            <w:gridSpan w:val="5"/>
          </w:tcPr>
          <w:p w:rsidR="005909F7" w:rsidRDefault="005909F7" w:rsidP="005909F7">
            <w:pPr>
              <w:rPr>
                <w:rFonts w:eastAsia="Times New Roman" w:cs="Times New Roman"/>
                <w:sz w:val="20"/>
                <w:szCs w:val="20"/>
                <w:lang w:val="mk-MK"/>
              </w:rPr>
            </w:pPr>
            <w:r>
              <w:rPr>
                <w:rFonts w:eastAsia="Times New Roman" w:cs="Times New Roman"/>
                <w:sz w:val="20"/>
                <w:szCs w:val="20"/>
                <w:lang w:val="mk-MK"/>
              </w:rPr>
              <w:t>Министерство за информатичко општество и администрација</w:t>
            </w:r>
          </w:p>
          <w:p w:rsidR="005909F7" w:rsidRDefault="005909F7" w:rsidP="005909F7">
            <w:pPr>
              <w:rPr>
                <w:rFonts w:eastAsia="Times New Roman" w:cs="Times New Roman"/>
                <w:sz w:val="20"/>
                <w:szCs w:val="20"/>
                <w:lang w:val="mk-MK"/>
              </w:rPr>
            </w:pPr>
            <w:r>
              <w:rPr>
                <w:rFonts w:eastAsia="Times New Roman" w:cs="Times New Roman"/>
                <w:sz w:val="20"/>
                <w:szCs w:val="20"/>
                <w:lang w:val="mk-MK"/>
              </w:rPr>
              <w:t>Министерство за образование и наука</w:t>
            </w:r>
          </w:p>
          <w:p w:rsidR="005909F7" w:rsidRDefault="005909F7" w:rsidP="005909F7">
            <w:pPr>
              <w:rPr>
                <w:rFonts w:eastAsia="Times New Roman" w:cs="Times New Roman"/>
                <w:sz w:val="20"/>
                <w:szCs w:val="20"/>
                <w:lang w:val="mk-MK"/>
              </w:rPr>
            </w:pPr>
            <w:r>
              <w:rPr>
                <w:rFonts w:eastAsia="Times New Roman" w:cs="Times New Roman"/>
                <w:sz w:val="20"/>
                <w:szCs w:val="20"/>
                <w:lang w:val="mk-MK"/>
              </w:rPr>
              <w:t>Министерство за внатрешни работи</w:t>
            </w:r>
          </w:p>
          <w:p w:rsidR="005909F7" w:rsidRPr="00C412C1" w:rsidRDefault="005909F7" w:rsidP="005909F7">
            <w:pPr>
              <w:rPr>
                <w:rFonts w:eastAsia="Times New Roman" w:cs="Times New Roman"/>
                <w:sz w:val="20"/>
                <w:szCs w:val="20"/>
                <w:lang w:val="mk-MK"/>
              </w:rPr>
            </w:pPr>
            <w:r>
              <w:rPr>
                <w:rFonts w:eastAsia="Times New Roman" w:cs="Times New Roman"/>
                <w:sz w:val="20"/>
                <w:szCs w:val="20"/>
                <w:lang w:val="mk-MK"/>
              </w:rPr>
              <w:t>Државен завод за статистика</w:t>
            </w:r>
          </w:p>
        </w:tc>
      </w:tr>
      <w:tr w:rsidR="005909F7" w:rsidTr="00EF52B6">
        <w:trPr>
          <w:trHeight w:val="625"/>
        </w:trPr>
        <w:tc>
          <w:tcPr>
            <w:tcW w:w="1671" w:type="dxa"/>
            <w:vMerge/>
          </w:tcPr>
          <w:p w:rsidR="005909F7" w:rsidRPr="00381F72" w:rsidRDefault="005909F7" w:rsidP="002133FA">
            <w:pPr>
              <w:jc w:val="both"/>
              <w:rPr>
                <w:color w:val="878786"/>
                <w:spacing w:val="-6"/>
                <w:w w:val="124"/>
                <w:sz w:val="18"/>
                <w:szCs w:val="18"/>
                <w:lang w:val="mk-MK"/>
              </w:rPr>
            </w:pPr>
          </w:p>
        </w:tc>
        <w:tc>
          <w:tcPr>
            <w:tcW w:w="1980" w:type="dxa"/>
          </w:tcPr>
          <w:p w:rsidR="005909F7" w:rsidRPr="00381F72" w:rsidRDefault="005909F7" w:rsidP="002133FA">
            <w:pPr>
              <w:pStyle w:val="ListParagraph"/>
              <w:ind w:left="0"/>
              <w:jc w:val="both"/>
              <w:rPr>
                <w:color w:val="878786"/>
                <w:spacing w:val="-6"/>
                <w:w w:val="124"/>
                <w:sz w:val="18"/>
                <w:szCs w:val="18"/>
                <w:lang w:val="mk-MK"/>
              </w:rPr>
            </w:pPr>
            <w:r w:rsidRPr="00381F72">
              <w:rPr>
                <w:color w:val="878786"/>
                <w:spacing w:val="-6"/>
                <w:w w:val="124"/>
                <w:sz w:val="18"/>
                <w:szCs w:val="18"/>
                <w:lang w:val="mk-MK"/>
              </w:rPr>
              <w:t xml:space="preserve">ЦСО, приватен сектор,работни групи,мултилатерали  </w:t>
            </w:r>
          </w:p>
        </w:tc>
        <w:tc>
          <w:tcPr>
            <w:tcW w:w="7059" w:type="dxa"/>
            <w:gridSpan w:val="5"/>
          </w:tcPr>
          <w:p w:rsidR="005909F7" w:rsidRDefault="005909F7" w:rsidP="005909F7">
            <w:pPr>
              <w:rPr>
                <w:rFonts w:eastAsia="Times New Roman" w:cs="Times New Roman"/>
                <w:sz w:val="20"/>
                <w:szCs w:val="20"/>
              </w:rPr>
            </w:pPr>
            <w:r w:rsidRPr="004B1FCD">
              <w:rPr>
                <w:rFonts w:eastAsia="Times New Roman" w:cs="Times New Roman"/>
                <w:sz w:val="20"/>
                <w:szCs w:val="20"/>
              </w:rPr>
              <w:t>Институт за демократија – Социетас Цивилис – Скопје</w:t>
            </w:r>
          </w:p>
          <w:p w:rsidR="005909F7" w:rsidRDefault="005909F7" w:rsidP="005909F7">
            <w:pPr>
              <w:rPr>
                <w:rFonts w:eastAsia="Times New Roman" w:cs="Times New Roman"/>
                <w:sz w:val="20"/>
                <w:szCs w:val="20"/>
              </w:rPr>
            </w:pPr>
            <w:r w:rsidRPr="004B1FCD">
              <w:rPr>
                <w:rFonts w:eastAsia="Times New Roman" w:cs="Times New Roman"/>
                <w:sz w:val="20"/>
                <w:szCs w:val="20"/>
              </w:rPr>
              <w:t xml:space="preserve">Фондација за интернет и општество </w:t>
            </w:r>
            <w:r>
              <w:rPr>
                <w:rFonts w:eastAsia="Times New Roman" w:cs="Times New Roman"/>
                <w:sz w:val="20"/>
                <w:szCs w:val="20"/>
              </w:rPr>
              <w:t>–</w:t>
            </w:r>
            <w:r w:rsidRPr="004B1FCD">
              <w:rPr>
                <w:rFonts w:eastAsia="Times New Roman" w:cs="Times New Roman"/>
                <w:sz w:val="20"/>
                <w:szCs w:val="20"/>
              </w:rPr>
              <w:t xml:space="preserve"> Метаморфозис</w:t>
            </w:r>
          </w:p>
          <w:p w:rsidR="005909F7" w:rsidRPr="00C412C1" w:rsidRDefault="005909F7" w:rsidP="005909F7">
            <w:pPr>
              <w:rPr>
                <w:rFonts w:eastAsia="Times New Roman" w:cs="Times New Roman"/>
                <w:sz w:val="20"/>
                <w:szCs w:val="20"/>
              </w:rPr>
            </w:pPr>
            <w:r w:rsidRPr="004B1FCD">
              <w:rPr>
                <w:rFonts w:eastAsia="Times New Roman" w:cs="Times New Roman"/>
                <w:sz w:val="20"/>
                <w:szCs w:val="20"/>
              </w:rPr>
              <w:t>Реактор, набљудувач</w:t>
            </w:r>
          </w:p>
        </w:tc>
      </w:tr>
      <w:tr w:rsidR="005909F7" w:rsidTr="00EF52B6">
        <w:tc>
          <w:tcPr>
            <w:tcW w:w="3651" w:type="dxa"/>
            <w:gridSpan w:val="2"/>
          </w:tcPr>
          <w:p w:rsidR="005909F7" w:rsidRPr="00381F72" w:rsidRDefault="005909F7" w:rsidP="002133FA">
            <w:pPr>
              <w:jc w:val="both"/>
              <w:rPr>
                <w:color w:val="878786"/>
                <w:spacing w:val="-6"/>
                <w:w w:val="124"/>
                <w:sz w:val="18"/>
                <w:szCs w:val="18"/>
                <w:lang w:val="mk-MK"/>
              </w:rPr>
            </w:pPr>
            <w:r w:rsidRPr="00381F72">
              <w:rPr>
                <w:color w:val="878786"/>
                <w:spacing w:val="-6"/>
                <w:w w:val="124"/>
                <w:sz w:val="18"/>
                <w:szCs w:val="18"/>
                <w:lang w:val="mk-MK"/>
              </w:rPr>
              <w:t>Главна цел</w:t>
            </w:r>
          </w:p>
        </w:tc>
        <w:tc>
          <w:tcPr>
            <w:tcW w:w="7059" w:type="dxa"/>
            <w:gridSpan w:val="5"/>
          </w:tcPr>
          <w:p w:rsidR="005909F7" w:rsidRPr="00FD27AF" w:rsidRDefault="005909F7" w:rsidP="005909F7">
            <w:pPr>
              <w:rPr>
                <w:rFonts w:eastAsia="Times New Roman" w:cs="Times New Roman"/>
                <w:sz w:val="20"/>
                <w:szCs w:val="20"/>
                <w:lang w:val="mk-MK"/>
              </w:rPr>
            </w:pPr>
            <w:r w:rsidRPr="00FD27AF">
              <w:rPr>
                <w:rFonts w:eastAsia="Times New Roman" w:cs="Times New Roman"/>
                <w:sz w:val="20"/>
                <w:szCs w:val="20"/>
                <w:lang w:val="mk-MK"/>
              </w:rPr>
              <w:t>Целта е со користењето на податоците од јавниот сектор да се поттикне:</w:t>
            </w:r>
          </w:p>
          <w:p w:rsidR="005909F7" w:rsidRPr="00FD27AF" w:rsidRDefault="005909F7" w:rsidP="005909F7">
            <w:pPr>
              <w:numPr>
                <w:ilvl w:val="0"/>
                <w:numId w:val="15"/>
              </w:numPr>
              <w:rPr>
                <w:rFonts w:eastAsia="Times New Roman" w:cs="Times New Roman"/>
                <w:sz w:val="20"/>
                <w:szCs w:val="20"/>
                <w:lang w:val="mk-MK"/>
              </w:rPr>
            </w:pPr>
            <w:r w:rsidRPr="00FD27AF">
              <w:rPr>
                <w:rFonts w:eastAsia="Times New Roman" w:cs="Times New Roman"/>
                <w:sz w:val="20"/>
                <w:szCs w:val="20"/>
                <w:lang w:val="mk-MK"/>
              </w:rPr>
              <w:t>Иновации и создавање нови информации, содржини и апликации преку комбинирање или вкрстување на податоците;</w:t>
            </w:r>
          </w:p>
          <w:p w:rsidR="005909F7" w:rsidRPr="00FD27AF" w:rsidRDefault="005909F7" w:rsidP="005909F7">
            <w:pPr>
              <w:numPr>
                <w:ilvl w:val="0"/>
                <w:numId w:val="15"/>
              </w:numPr>
              <w:rPr>
                <w:rFonts w:eastAsia="Times New Roman" w:cs="Times New Roman"/>
                <w:sz w:val="20"/>
                <w:szCs w:val="20"/>
                <w:lang w:val="mk-MK"/>
              </w:rPr>
            </w:pPr>
            <w:r w:rsidRPr="00FD27AF">
              <w:rPr>
                <w:rFonts w:eastAsia="Times New Roman" w:cs="Times New Roman"/>
                <w:sz w:val="20"/>
                <w:szCs w:val="20"/>
                <w:lang w:val="mk-MK"/>
              </w:rPr>
              <w:t>создавање нови услуги, креирање на работни места и социјална вклученост;</w:t>
            </w:r>
          </w:p>
          <w:p w:rsidR="005909F7" w:rsidRPr="00FD27AF" w:rsidRDefault="005909F7" w:rsidP="005909F7">
            <w:pPr>
              <w:numPr>
                <w:ilvl w:val="0"/>
                <w:numId w:val="15"/>
              </w:numPr>
              <w:rPr>
                <w:rFonts w:eastAsia="Times New Roman" w:cs="Times New Roman"/>
                <w:sz w:val="20"/>
                <w:szCs w:val="20"/>
                <w:lang w:val="mk-MK"/>
              </w:rPr>
            </w:pPr>
            <w:r w:rsidRPr="00FD27AF">
              <w:rPr>
                <w:rFonts w:eastAsia="Times New Roman" w:cs="Times New Roman"/>
                <w:sz w:val="20"/>
                <w:szCs w:val="20"/>
                <w:lang w:val="mk-MK"/>
              </w:rPr>
              <w:t xml:space="preserve">зголемена отчетност и транспарентност на јавниот сектор; </w:t>
            </w:r>
          </w:p>
          <w:p w:rsidR="005909F7" w:rsidRPr="00FD27AF" w:rsidRDefault="005909F7" w:rsidP="005909F7">
            <w:pPr>
              <w:numPr>
                <w:ilvl w:val="0"/>
                <w:numId w:val="15"/>
              </w:numPr>
              <w:rPr>
                <w:rFonts w:eastAsia="Times New Roman" w:cs="Times New Roman"/>
                <w:sz w:val="20"/>
                <w:szCs w:val="20"/>
                <w:lang w:val="mk-MK"/>
              </w:rPr>
            </w:pPr>
            <w:r w:rsidRPr="00FD27AF">
              <w:rPr>
                <w:rFonts w:eastAsia="Times New Roman" w:cs="Times New Roman"/>
                <w:sz w:val="20"/>
                <w:szCs w:val="20"/>
                <w:lang w:val="mk-MK"/>
              </w:rPr>
              <w:t xml:space="preserve">подобрување на квалитетот на податоците од јавниот сектор; </w:t>
            </w:r>
          </w:p>
          <w:p w:rsidR="005909F7" w:rsidRDefault="005909F7" w:rsidP="005909F7">
            <w:pPr>
              <w:numPr>
                <w:ilvl w:val="0"/>
                <w:numId w:val="15"/>
              </w:numPr>
              <w:rPr>
                <w:rFonts w:eastAsia="Times New Roman" w:cs="Times New Roman"/>
                <w:sz w:val="20"/>
                <w:szCs w:val="20"/>
                <w:lang w:val="mk-MK"/>
              </w:rPr>
            </w:pPr>
            <w:r w:rsidRPr="00FD27AF">
              <w:rPr>
                <w:rFonts w:eastAsia="Times New Roman" w:cs="Times New Roman"/>
                <w:sz w:val="20"/>
                <w:szCs w:val="20"/>
                <w:lang w:val="mk-MK"/>
              </w:rPr>
              <w:t>развој на економијата и развој на конкуренцијата, и</w:t>
            </w:r>
          </w:p>
          <w:p w:rsidR="005909F7" w:rsidRPr="00FD27AF" w:rsidRDefault="005909F7" w:rsidP="005909F7">
            <w:pPr>
              <w:numPr>
                <w:ilvl w:val="0"/>
                <w:numId w:val="15"/>
              </w:numPr>
              <w:rPr>
                <w:rFonts w:eastAsia="Times New Roman" w:cs="Times New Roman"/>
                <w:sz w:val="20"/>
                <w:szCs w:val="20"/>
                <w:lang w:val="mk-MK"/>
              </w:rPr>
            </w:pPr>
            <w:r w:rsidRPr="00FD27AF">
              <w:rPr>
                <w:rFonts w:eastAsia="Times New Roman" w:cs="Times New Roman"/>
                <w:sz w:val="20"/>
                <w:szCs w:val="20"/>
                <w:lang w:val="mk-MK"/>
              </w:rPr>
              <w:t>развој на информатичкото општество во Република Македонија.</w:t>
            </w:r>
          </w:p>
        </w:tc>
      </w:tr>
      <w:tr w:rsidR="005909F7" w:rsidTr="00EF52B6">
        <w:tc>
          <w:tcPr>
            <w:tcW w:w="3651" w:type="dxa"/>
            <w:gridSpan w:val="2"/>
          </w:tcPr>
          <w:p w:rsidR="005909F7" w:rsidRPr="00381F72" w:rsidRDefault="005909F7" w:rsidP="002133FA">
            <w:pPr>
              <w:jc w:val="both"/>
              <w:rPr>
                <w:color w:val="878786"/>
                <w:spacing w:val="-6"/>
                <w:w w:val="124"/>
                <w:sz w:val="18"/>
                <w:szCs w:val="18"/>
                <w:lang w:val="mk-MK"/>
              </w:rPr>
            </w:pPr>
            <w:r w:rsidRPr="00381F72">
              <w:rPr>
                <w:color w:val="878786"/>
                <w:spacing w:val="-6"/>
                <w:w w:val="124"/>
                <w:sz w:val="18"/>
                <w:szCs w:val="18"/>
                <w:lang w:val="mk-MK"/>
              </w:rPr>
              <w:t>Краток опис на заложбата (макс 140 карактери)</w:t>
            </w:r>
          </w:p>
        </w:tc>
        <w:tc>
          <w:tcPr>
            <w:tcW w:w="7059" w:type="dxa"/>
            <w:gridSpan w:val="5"/>
          </w:tcPr>
          <w:p w:rsidR="005909F7" w:rsidRPr="00FD27AF" w:rsidRDefault="005909F7" w:rsidP="005909F7">
            <w:pPr>
              <w:rPr>
                <w:rFonts w:eastAsia="Times New Roman" w:cs="Times New Roman"/>
                <w:sz w:val="20"/>
                <w:szCs w:val="20"/>
                <w:lang w:val="mk-MK"/>
              </w:rPr>
            </w:pPr>
            <w:r>
              <w:rPr>
                <w:rFonts w:eastAsia="Times New Roman" w:cs="Times New Roman"/>
                <w:sz w:val="20"/>
                <w:szCs w:val="20"/>
                <w:lang w:val="mk-MK"/>
              </w:rPr>
              <w:t xml:space="preserve">Отварањето на податоците кои произлегуваат од работата на органите и институциите од јавниот сектор и овозможувањето на нивната лесна и едноставна достапност до сите заинтересирани страни ја гарантира </w:t>
            </w:r>
            <w:r>
              <w:rPr>
                <w:rFonts w:eastAsia="Times New Roman" w:cs="Times New Roman"/>
                <w:sz w:val="20"/>
                <w:szCs w:val="20"/>
                <w:lang w:val="mk-MK"/>
              </w:rPr>
              <w:lastRenderedPageBreak/>
              <w:t>отвореноста и отчетноста на институциите кон своите граѓани.</w:t>
            </w:r>
          </w:p>
        </w:tc>
      </w:tr>
      <w:tr w:rsidR="005909F7" w:rsidTr="00EF52B6">
        <w:tc>
          <w:tcPr>
            <w:tcW w:w="3651" w:type="dxa"/>
            <w:gridSpan w:val="2"/>
          </w:tcPr>
          <w:p w:rsidR="005909F7" w:rsidRPr="00381F72" w:rsidRDefault="005909F7" w:rsidP="002133FA">
            <w:pPr>
              <w:jc w:val="both"/>
              <w:rPr>
                <w:color w:val="878786"/>
                <w:spacing w:val="-6"/>
                <w:w w:val="124"/>
                <w:sz w:val="18"/>
                <w:szCs w:val="18"/>
                <w:lang w:val="mk-MK"/>
              </w:rPr>
            </w:pPr>
            <w:r w:rsidRPr="00381F72">
              <w:rPr>
                <w:color w:val="878786"/>
                <w:spacing w:val="-6"/>
                <w:w w:val="124"/>
                <w:sz w:val="18"/>
                <w:szCs w:val="18"/>
                <w:lang w:val="mk-MK"/>
              </w:rPr>
              <w:lastRenderedPageBreak/>
              <w:t>Релевантност</w:t>
            </w:r>
          </w:p>
          <w:p w:rsidR="005909F7" w:rsidRPr="00381F72" w:rsidRDefault="005909F7" w:rsidP="002133FA">
            <w:pPr>
              <w:jc w:val="both"/>
              <w:rPr>
                <w:color w:val="878786"/>
                <w:spacing w:val="-6"/>
                <w:w w:val="124"/>
                <w:sz w:val="18"/>
                <w:szCs w:val="18"/>
                <w:lang w:val="mk-MK"/>
              </w:rPr>
            </w:pPr>
            <w:r w:rsidRPr="00381F72">
              <w:rPr>
                <w:color w:val="878786"/>
                <w:spacing w:val="-6"/>
                <w:w w:val="124"/>
                <w:sz w:val="18"/>
                <w:szCs w:val="18"/>
                <w:lang w:val="mk-MK"/>
              </w:rPr>
              <w:t>Накратко опишете го начинот на кој оваа заложба е релевантна за понатамошно унапредување на вредностите на ОВП,</w:t>
            </w:r>
          </w:p>
          <w:p w:rsidR="005909F7" w:rsidRPr="00381F72" w:rsidRDefault="005909F7" w:rsidP="002133FA">
            <w:pPr>
              <w:pStyle w:val="ListParagraph"/>
              <w:ind w:left="0"/>
              <w:jc w:val="both"/>
              <w:rPr>
                <w:color w:val="878786"/>
                <w:spacing w:val="-6"/>
                <w:w w:val="124"/>
                <w:sz w:val="18"/>
                <w:szCs w:val="18"/>
                <w:lang w:val="mk-MK"/>
              </w:rPr>
            </w:pPr>
            <w:r w:rsidRPr="00381F72">
              <w:rPr>
                <w:color w:val="878786"/>
                <w:spacing w:val="-6"/>
                <w:w w:val="124"/>
                <w:sz w:val="18"/>
                <w:szCs w:val="18"/>
                <w:lang w:val="mk-MK"/>
              </w:rPr>
              <w:t>на пристап до информации, јавна одговорност, граѓанско учество, и технологија и иновации за отвореност и одговорност. (Детален опис на овие вредности е достапна во Забелешка за насоки во врска со Извештајот за ОВП)</w:t>
            </w:r>
          </w:p>
        </w:tc>
        <w:tc>
          <w:tcPr>
            <w:tcW w:w="7059" w:type="dxa"/>
            <w:gridSpan w:val="5"/>
          </w:tcPr>
          <w:p w:rsidR="005909F7" w:rsidRDefault="005909F7" w:rsidP="005909F7">
            <w:pPr>
              <w:jc w:val="both"/>
              <w:rPr>
                <w:rFonts w:eastAsia="Times New Roman" w:cs="Times New Roman"/>
                <w:sz w:val="20"/>
                <w:szCs w:val="20"/>
                <w:lang w:val="mk-MK"/>
              </w:rPr>
            </w:pPr>
            <w:r w:rsidRPr="00FD27AF">
              <w:rPr>
                <w:rFonts w:eastAsia="Times New Roman" w:cs="Times New Roman"/>
                <w:sz w:val="20"/>
                <w:szCs w:val="20"/>
              </w:rPr>
              <w:t xml:space="preserve">Оваа заложбата содржи </w:t>
            </w:r>
            <w:r>
              <w:rPr>
                <w:rFonts w:eastAsia="Times New Roman" w:cs="Times New Roman"/>
                <w:sz w:val="20"/>
                <w:szCs w:val="20"/>
                <w:lang w:val="mk-MK"/>
              </w:rPr>
              <w:t>7</w:t>
            </w:r>
            <w:r w:rsidRPr="00FD27AF">
              <w:rPr>
                <w:rFonts w:eastAsia="Times New Roman" w:cs="Times New Roman"/>
                <w:sz w:val="20"/>
                <w:szCs w:val="20"/>
              </w:rPr>
              <w:t xml:space="preserve"> проверливи и мерливи мерки кои овозможуваат унапредување </w:t>
            </w:r>
            <w:r>
              <w:rPr>
                <w:rFonts w:eastAsia="Times New Roman" w:cs="Times New Roman"/>
                <w:sz w:val="20"/>
                <w:szCs w:val="20"/>
              </w:rPr>
              <w:t>на концептот на от</w:t>
            </w:r>
            <w:r>
              <w:rPr>
                <w:rFonts w:eastAsia="Times New Roman" w:cs="Times New Roman"/>
                <w:sz w:val="20"/>
                <w:szCs w:val="20"/>
                <w:lang w:val="mk-MK"/>
              </w:rPr>
              <w:t>ворени податоци и нивна примена.</w:t>
            </w:r>
          </w:p>
          <w:p w:rsidR="005909F7" w:rsidRPr="00381F72" w:rsidRDefault="005909F7" w:rsidP="005909F7">
            <w:pPr>
              <w:pStyle w:val="ListParagraph"/>
              <w:ind w:left="0"/>
              <w:jc w:val="both"/>
              <w:rPr>
                <w:color w:val="878786"/>
                <w:spacing w:val="-6"/>
                <w:w w:val="124"/>
                <w:sz w:val="18"/>
                <w:szCs w:val="18"/>
                <w:lang w:val="mk-MK"/>
              </w:rPr>
            </w:pPr>
            <w:r>
              <w:rPr>
                <w:rFonts w:eastAsia="Times New Roman" w:cs="Times New Roman"/>
                <w:sz w:val="20"/>
                <w:szCs w:val="20"/>
                <w:lang w:val="mk-MK"/>
              </w:rPr>
              <w:t>Објавувањето на отворените податоци од јавниот сектор не само што допринесува за транспарентноста и отчетноста на работењето на органите и институциите од јавниот сектор, туку и промовира поголемо учество на јавноста во работата на институциите како и директно влијае кон подобрување на економската состојба во државата преку давање на можност за комерцијална употреба на овие податоци.</w:t>
            </w:r>
          </w:p>
        </w:tc>
      </w:tr>
      <w:tr w:rsidR="005909F7" w:rsidTr="00EF52B6">
        <w:tc>
          <w:tcPr>
            <w:tcW w:w="3651" w:type="dxa"/>
            <w:gridSpan w:val="2"/>
            <w:tcBorders>
              <w:bottom w:val="single" w:sz="4" w:space="0" w:color="auto"/>
            </w:tcBorders>
          </w:tcPr>
          <w:p w:rsidR="005909F7" w:rsidRPr="00381F72" w:rsidRDefault="005909F7" w:rsidP="002133FA">
            <w:pPr>
              <w:jc w:val="both"/>
              <w:rPr>
                <w:color w:val="878786"/>
                <w:spacing w:val="-6"/>
                <w:w w:val="124"/>
                <w:sz w:val="18"/>
                <w:szCs w:val="18"/>
                <w:lang w:val="mk-MK"/>
              </w:rPr>
            </w:pPr>
            <w:r w:rsidRPr="00381F72">
              <w:rPr>
                <w:color w:val="878786"/>
                <w:spacing w:val="-6"/>
                <w:w w:val="124"/>
                <w:sz w:val="18"/>
                <w:szCs w:val="18"/>
                <w:lang w:val="mk-MK"/>
              </w:rPr>
              <w:t>Амбиција</w:t>
            </w:r>
          </w:p>
          <w:p w:rsidR="005909F7" w:rsidRPr="00381F72" w:rsidRDefault="005909F7" w:rsidP="002133FA">
            <w:pPr>
              <w:pStyle w:val="ListParagraph"/>
              <w:ind w:left="0"/>
              <w:jc w:val="both"/>
              <w:rPr>
                <w:color w:val="878786"/>
                <w:spacing w:val="-6"/>
                <w:w w:val="124"/>
                <w:sz w:val="18"/>
                <w:szCs w:val="18"/>
                <w:lang w:val="mk-MK"/>
              </w:rPr>
            </w:pPr>
            <w:r w:rsidRPr="00381F72">
              <w:rPr>
                <w:color w:val="878786"/>
                <w:spacing w:val="-6"/>
                <w:w w:val="124"/>
                <w:sz w:val="18"/>
                <w:szCs w:val="18"/>
                <w:lang w:val="mk-MK"/>
              </w:rPr>
              <w:t>Накратко опишете ги планираните резултати за политика на посветеност и тоа како таа или ќе ја направи владата поотворена или ќе ја подобри Владата преку поголема отвореност.</w:t>
            </w:r>
          </w:p>
        </w:tc>
        <w:tc>
          <w:tcPr>
            <w:tcW w:w="7059" w:type="dxa"/>
            <w:gridSpan w:val="5"/>
            <w:tcBorders>
              <w:bottom w:val="single" w:sz="4" w:space="0" w:color="auto"/>
            </w:tcBorders>
          </w:tcPr>
          <w:p w:rsidR="005909F7" w:rsidRPr="00850866" w:rsidRDefault="005909F7" w:rsidP="005909F7">
            <w:pPr>
              <w:rPr>
                <w:rFonts w:eastAsia="Times New Roman" w:cs="Times New Roman"/>
              </w:rPr>
            </w:pPr>
            <w:r>
              <w:rPr>
                <w:rFonts w:eastAsia="Times New Roman" w:cs="Times New Roman"/>
                <w:lang w:val="mk-MK"/>
              </w:rPr>
              <w:t>Со секој нов отворен податочен сет институциите (а со тоа и Владата) ја зголемува својата транспарентност и отвореност кон граѓаните. Преку отворените податоци се овозможува поголема инклузивност на граѓаните во креирањето на политиките на Владата како и се отвара прозорец кон работењето на институциите на системот. Со тоа се креира еден вид на граѓански надзор на работењето на институциите се со цел подобра улуга на граѓаните кои тие ги претставуваат. Се разбира за сето обва се потреби точни, навремени и конзистентни податоци од институциите. Наша заложба и амбиција е да овозможиме секогаш поголем број на податочни сетови со колку е можно подобар квалитет.</w:t>
            </w:r>
          </w:p>
          <w:p w:rsidR="005909F7" w:rsidRPr="00381F72" w:rsidRDefault="005909F7" w:rsidP="002133FA">
            <w:pPr>
              <w:pStyle w:val="ListParagraph"/>
              <w:ind w:left="360"/>
              <w:jc w:val="both"/>
              <w:rPr>
                <w:color w:val="878786"/>
                <w:spacing w:val="-6"/>
                <w:w w:val="124"/>
                <w:sz w:val="18"/>
                <w:szCs w:val="18"/>
                <w:lang w:val="mk-MK"/>
              </w:rPr>
            </w:pPr>
          </w:p>
        </w:tc>
      </w:tr>
      <w:tr w:rsidR="005909F7" w:rsidTr="002133FA">
        <w:tc>
          <w:tcPr>
            <w:tcW w:w="10710" w:type="dxa"/>
            <w:gridSpan w:val="7"/>
            <w:shd w:val="clear" w:color="auto" w:fill="BFBFBF" w:themeFill="background1" w:themeFillShade="BF"/>
          </w:tcPr>
          <w:p w:rsidR="005909F7" w:rsidRPr="00381F72" w:rsidRDefault="005909F7" w:rsidP="002133FA">
            <w:pPr>
              <w:jc w:val="both"/>
              <w:rPr>
                <w:color w:val="878786"/>
                <w:spacing w:val="-6"/>
                <w:w w:val="124"/>
                <w:sz w:val="18"/>
                <w:szCs w:val="18"/>
                <w:lang w:val="mk-MK"/>
              </w:rPr>
            </w:pPr>
          </w:p>
        </w:tc>
      </w:tr>
      <w:tr w:rsidR="005909F7" w:rsidTr="00EF52B6">
        <w:trPr>
          <w:trHeight w:val="435"/>
        </w:trPr>
        <w:tc>
          <w:tcPr>
            <w:tcW w:w="3674" w:type="dxa"/>
            <w:gridSpan w:val="3"/>
            <w:vMerge w:val="restart"/>
          </w:tcPr>
          <w:p w:rsidR="005909F7" w:rsidRPr="00381F72" w:rsidRDefault="005909F7" w:rsidP="002133FA">
            <w:pPr>
              <w:jc w:val="both"/>
              <w:rPr>
                <w:color w:val="878786"/>
                <w:spacing w:val="-6"/>
                <w:w w:val="124"/>
                <w:sz w:val="18"/>
                <w:szCs w:val="18"/>
                <w:lang w:val="mk-MK"/>
              </w:rPr>
            </w:pPr>
          </w:p>
          <w:p w:rsidR="005909F7" w:rsidRPr="00381F72" w:rsidRDefault="005909F7" w:rsidP="002133FA">
            <w:pPr>
              <w:jc w:val="both"/>
              <w:rPr>
                <w:color w:val="878786"/>
                <w:spacing w:val="-6"/>
                <w:w w:val="124"/>
                <w:sz w:val="18"/>
                <w:szCs w:val="18"/>
                <w:lang w:val="mk-MK"/>
              </w:rPr>
            </w:pPr>
            <w:r w:rsidRPr="00381F72">
              <w:rPr>
                <w:color w:val="878786"/>
                <w:spacing w:val="-6"/>
                <w:w w:val="124"/>
                <w:sz w:val="18"/>
                <w:szCs w:val="18"/>
                <w:lang w:val="mk-MK"/>
              </w:rPr>
              <w:t>Ниво на проект</w:t>
            </w:r>
          </w:p>
          <w:p w:rsidR="005909F7" w:rsidRPr="00381F72" w:rsidRDefault="005909F7" w:rsidP="002133FA">
            <w:pPr>
              <w:jc w:val="both"/>
              <w:rPr>
                <w:color w:val="878786"/>
                <w:spacing w:val="-6"/>
                <w:w w:val="124"/>
                <w:sz w:val="18"/>
                <w:szCs w:val="18"/>
                <w:lang w:val="mk-MK"/>
              </w:rPr>
            </w:pPr>
          </w:p>
        </w:tc>
        <w:tc>
          <w:tcPr>
            <w:tcW w:w="1894" w:type="dxa"/>
          </w:tcPr>
          <w:p w:rsidR="005909F7" w:rsidRPr="00381F72" w:rsidRDefault="005909F7" w:rsidP="002133FA">
            <w:pPr>
              <w:jc w:val="both"/>
              <w:rPr>
                <w:color w:val="878786"/>
                <w:spacing w:val="-6"/>
                <w:w w:val="124"/>
                <w:sz w:val="18"/>
                <w:szCs w:val="18"/>
                <w:lang w:val="mk-MK"/>
              </w:rPr>
            </w:pPr>
            <w:r>
              <w:rPr>
                <w:color w:val="878786"/>
                <w:spacing w:val="-6"/>
                <w:w w:val="124"/>
                <w:sz w:val="18"/>
                <w:szCs w:val="18"/>
                <w:lang w:val="mk-MK"/>
              </w:rPr>
              <w:t>незапочнато</w:t>
            </w:r>
          </w:p>
        </w:tc>
        <w:tc>
          <w:tcPr>
            <w:tcW w:w="1793" w:type="dxa"/>
          </w:tcPr>
          <w:p w:rsidR="005909F7" w:rsidRPr="00381F72" w:rsidRDefault="005909F7" w:rsidP="002133FA">
            <w:pPr>
              <w:jc w:val="both"/>
              <w:rPr>
                <w:color w:val="878786"/>
                <w:spacing w:val="-6"/>
                <w:w w:val="124"/>
                <w:sz w:val="18"/>
                <w:szCs w:val="18"/>
                <w:lang w:val="mk-MK"/>
              </w:rPr>
            </w:pPr>
            <w:r>
              <w:rPr>
                <w:color w:val="878786"/>
                <w:spacing w:val="-6"/>
                <w:w w:val="124"/>
                <w:sz w:val="18"/>
                <w:szCs w:val="18"/>
                <w:lang w:val="mk-MK"/>
              </w:rPr>
              <w:t>ограничено</w:t>
            </w:r>
          </w:p>
        </w:tc>
        <w:tc>
          <w:tcPr>
            <w:tcW w:w="1760" w:type="dxa"/>
          </w:tcPr>
          <w:p w:rsidR="005909F7" w:rsidRPr="00381F72" w:rsidRDefault="005909F7" w:rsidP="002133FA">
            <w:pPr>
              <w:jc w:val="both"/>
              <w:rPr>
                <w:color w:val="878786"/>
                <w:spacing w:val="-6"/>
                <w:w w:val="124"/>
                <w:sz w:val="18"/>
                <w:szCs w:val="18"/>
                <w:lang w:val="mk-MK"/>
              </w:rPr>
            </w:pPr>
            <w:r>
              <w:rPr>
                <w:color w:val="878786"/>
                <w:spacing w:val="-6"/>
                <w:w w:val="124"/>
                <w:sz w:val="18"/>
                <w:szCs w:val="18"/>
                <w:lang w:val="mk-MK"/>
              </w:rPr>
              <w:t>значително</w:t>
            </w:r>
          </w:p>
        </w:tc>
        <w:tc>
          <w:tcPr>
            <w:tcW w:w="1589" w:type="dxa"/>
          </w:tcPr>
          <w:p w:rsidR="005909F7" w:rsidRPr="00381F72" w:rsidRDefault="005909F7" w:rsidP="002133FA">
            <w:pPr>
              <w:jc w:val="both"/>
              <w:rPr>
                <w:color w:val="878786"/>
                <w:spacing w:val="-6"/>
                <w:w w:val="124"/>
                <w:sz w:val="18"/>
                <w:szCs w:val="18"/>
                <w:lang w:val="mk-MK"/>
              </w:rPr>
            </w:pPr>
            <w:r>
              <w:rPr>
                <w:color w:val="878786"/>
                <w:spacing w:val="-6"/>
                <w:w w:val="124"/>
                <w:sz w:val="18"/>
                <w:szCs w:val="18"/>
                <w:lang w:val="mk-MK"/>
              </w:rPr>
              <w:t>завршено</w:t>
            </w:r>
          </w:p>
        </w:tc>
      </w:tr>
      <w:tr w:rsidR="005909F7" w:rsidTr="00EF52B6">
        <w:trPr>
          <w:trHeight w:val="367"/>
        </w:trPr>
        <w:tc>
          <w:tcPr>
            <w:tcW w:w="3674" w:type="dxa"/>
            <w:gridSpan w:val="3"/>
            <w:vMerge/>
          </w:tcPr>
          <w:p w:rsidR="005909F7" w:rsidRPr="00381F72" w:rsidRDefault="005909F7" w:rsidP="002133FA">
            <w:pPr>
              <w:jc w:val="both"/>
              <w:rPr>
                <w:color w:val="878786"/>
                <w:spacing w:val="-6"/>
                <w:w w:val="124"/>
                <w:sz w:val="18"/>
                <w:szCs w:val="18"/>
                <w:lang w:val="mk-MK"/>
              </w:rPr>
            </w:pPr>
          </w:p>
        </w:tc>
        <w:tc>
          <w:tcPr>
            <w:tcW w:w="1894" w:type="dxa"/>
          </w:tcPr>
          <w:p w:rsidR="005909F7" w:rsidRPr="00381F72" w:rsidRDefault="005909F7" w:rsidP="002133FA">
            <w:pPr>
              <w:jc w:val="both"/>
              <w:rPr>
                <w:color w:val="878786"/>
                <w:spacing w:val="-6"/>
                <w:w w:val="124"/>
                <w:sz w:val="18"/>
                <w:szCs w:val="18"/>
                <w:lang w:val="mk-MK"/>
              </w:rPr>
            </w:pPr>
          </w:p>
        </w:tc>
        <w:tc>
          <w:tcPr>
            <w:tcW w:w="1793" w:type="dxa"/>
            <w:shd w:val="clear" w:color="auto" w:fill="548DD4" w:themeFill="text2" w:themeFillTint="99"/>
          </w:tcPr>
          <w:p w:rsidR="005909F7" w:rsidRPr="00381F72" w:rsidRDefault="005909F7" w:rsidP="002133FA">
            <w:pPr>
              <w:jc w:val="both"/>
              <w:rPr>
                <w:color w:val="878786"/>
                <w:spacing w:val="-6"/>
                <w:w w:val="124"/>
                <w:sz w:val="18"/>
                <w:szCs w:val="18"/>
                <w:lang w:val="mk-MK"/>
              </w:rPr>
            </w:pPr>
          </w:p>
        </w:tc>
        <w:tc>
          <w:tcPr>
            <w:tcW w:w="1760" w:type="dxa"/>
          </w:tcPr>
          <w:p w:rsidR="005909F7" w:rsidRPr="00381F72" w:rsidRDefault="005909F7" w:rsidP="002133FA">
            <w:pPr>
              <w:jc w:val="both"/>
              <w:rPr>
                <w:color w:val="878786"/>
                <w:spacing w:val="-6"/>
                <w:w w:val="124"/>
                <w:sz w:val="18"/>
                <w:szCs w:val="18"/>
                <w:lang w:val="mk-MK"/>
              </w:rPr>
            </w:pPr>
          </w:p>
        </w:tc>
        <w:tc>
          <w:tcPr>
            <w:tcW w:w="1589" w:type="dxa"/>
          </w:tcPr>
          <w:p w:rsidR="005909F7" w:rsidRPr="00381F72" w:rsidRDefault="005909F7" w:rsidP="002133FA">
            <w:pPr>
              <w:jc w:val="both"/>
              <w:rPr>
                <w:color w:val="878786"/>
                <w:spacing w:val="-6"/>
                <w:w w:val="124"/>
                <w:sz w:val="18"/>
                <w:szCs w:val="18"/>
                <w:lang w:val="mk-MK"/>
              </w:rPr>
            </w:pPr>
          </w:p>
        </w:tc>
      </w:tr>
      <w:tr w:rsidR="005909F7" w:rsidTr="00EF52B6">
        <w:tc>
          <w:tcPr>
            <w:tcW w:w="3674" w:type="dxa"/>
            <w:gridSpan w:val="3"/>
          </w:tcPr>
          <w:p w:rsidR="005909F7" w:rsidRPr="00381F72" w:rsidRDefault="005909F7" w:rsidP="002133FA">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5909F7" w:rsidRPr="00381F72" w:rsidRDefault="005909F7" w:rsidP="002133FA">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7036" w:type="dxa"/>
            <w:gridSpan w:val="4"/>
          </w:tcPr>
          <w:p w:rsidR="005909F7" w:rsidRPr="00C412C1" w:rsidRDefault="005909F7" w:rsidP="005909F7">
            <w:pPr>
              <w:rPr>
                <w:rFonts w:eastAsia="Times New Roman" w:cs="Times New Roman"/>
                <w:b/>
                <w:sz w:val="20"/>
                <w:szCs w:val="20"/>
                <w:lang w:val="mk-MK"/>
              </w:rPr>
            </w:pPr>
            <w:r>
              <w:rPr>
                <w:rFonts w:eastAsia="Times New Roman" w:cs="Times New Roman"/>
                <w:b/>
                <w:sz w:val="20"/>
                <w:szCs w:val="20"/>
                <w:lang w:val="mk-MK"/>
              </w:rPr>
              <w:t>Мерка  1</w:t>
            </w:r>
            <w:r>
              <w:rPr>
                <w:rFonts w:eastAsia="Times New Roman" w:cs="Times New Roman"/>
                <w:b/>
                <w:sz w:val="20"/>
                <w:szCs w:val="20"/>
              </w:rPr>
              <w:t xml:space="preserve">. </w:t>
            </w:r>
            <w:r w:rsidRPr="00A153C5">
              <w:rPr>
                <w:rFonts w:eastAsia="Times New Roman" w:cs="Times New Roman"/>
                <w:b/>
                <w:sz w:val="20"/>
                <w:szCs w:val="20"/>
                <w:lang w:val="mk-MK"/>
              </w:rPr>
              <w:t>Отворени податоци од органите и институциите од јавниот сектор согласно нивните технички можности кои ги создаваат во вршењето на своите надлежности кои ќе ги  направат достапни за користење</w:t>
            </w:r>
          </w:p>
          <w:p w:rsidR="005909F7" w:rsidRPr="00C412C1" w:rsidRDefault="005909F7" w:rsidP="005909F7">
            <w:pPr>
              <w:rPr>
                <w:rFonts w:eastAsia="Times New Roman" w:cs="Times New Roman"/>
                <w:sz w:val="20"/>
                <w:szCs w:val="20"/>
                <w:lang w:val="mk-MK"/>
              </w:rPr>
            </w:pPr>
          </w:p>
          <w:p w:rsidR="005909F7" w:rsidRDefault="005909F7" w:rsidP="005909F7">
            <w:pPr>
              <w:jc w:val="both"/>
              <w:rPr>
                <w:rFonts w:eastAsia="Times New Roman" w:cs="Times New Roman"/>
                <w:sz w:val="20"/>
                <w:szCs w:val="20"/>
                <w:lang w:val="mk-MK"/>
              </w:rPr>
            </w:pPr>
            <w:r>
              <w:rPr>
                <w:rFonts w:eastAsia="Times New Roman" w:cs="Times New Roman"/>
                <w:sz w:val="20"/>
                <w:szCs w:val="20"/>
                <w:lang w:val="mk-MK"/>
              </w:rPr>
              <w:t xml:space="preserve">На Владиниот портал за отворени податоци </w:t>
            </w:r>
            <w:hyperlink r:id="rId17" w:history="1">
              <w:r w:rsidRPr="00A90AF2">
                <w:rPr>
                  <w:rStyle w:val="Hyperlink"/>
                  <w:rFonts w:eastAsia="Times New Roman" w:cs="Times New Roman"/>
                  <w:sz w:val="20"/>
                  <w:szCs w:val="20"/>
                </w:rPr>
                <w:t>www.otvorenipodatoci.gov.mk</w:t>
              </w:r>
            </w:hyperlink>
            <w:r>
              <w:rPr>
                <w:rFonts w:eastAsia="Times New Roman" w:cs="Times New Roman"/>
                <w:sz w:val="20"/>
                <w:szCs w:val="20"/>
                <w:lang w:val="mk-MK"/>
              </w:rPr>
              <w:t xml:space="preserve"> поставени се вкупно 154 податочни сетови од 24 институции. Согласно Член 5 од Законот за користење на податоците од јавниот сектор, </w:t>
            </w:r>
            <w:r>
              <w:rPr>
                <w:rFonts w:eastAsia="Times New Roman" w:cs="Times New Roman"/>
                <w:sz w:val="20"/>
                <w:szCs w:val="20"/>
              </w:rPr>
              <w:t>о</w:t>
            </w:r>
            <w:r w:rsidRPr="00915036">
              <w:rPr>
                <w:rFonts w:eastAsia="Times New Roman" w:cs="Times New Roman"/>
                <w:sz w:val="20"/>
                <w:szCs w:val="20"/>
              </w:rPr>
              <w:t>рганите и институциите од јавниот сектор се должни согласно со нивните технички можности да објават податоци кои ги создаваат во вршењето на своите надлежности кои ќе ги направат достапни за користење</w:t>
            </w:r>
            <w:r>
              <w:rPr>
                <w:rFonts w:eastAsia="Times New Roman" w:cs="Times New Roman"/>
                <w:sz w:val="20"/>
                <w:szCs w:val="20"/>
                <w:lang w:val="mk-MK"/>
              </w:rPr>
              <w:t xml:space="preserve">. </w:t>
            </w:r>
          </w:p>
          <w:p w:rsidR="005909F7" w:rsidRPr="00915036" w:rsidRDefault="005909F7" w:rsidP="005909F7">
            <w:pPr>
              <w:jc w:val="both"/>
              <w:rPr>
                <w:rFonts w:eastAsia="Times New Roman" w:cs="Times New Roman"/>
                <w:sz w:val="20"/>
                <w:szCs w:val="20"/>
                <w:lang w:val="mk-MK"/>
              </w:rPr>
            </w:pPr>
            <w:r>
              <w:rPr>
                <w:rFonts w:eastAsia="Times New Roman" w:cs="Times New Roman"/>
                <w:sz w:val="20"/>
                <w:szCs w:val="20"/>
                <w:lang w:val="mk-MK"/>
              </w:rPr>
              <w:t xml:space="preserve">Сепак, отварањето на податочните сетови воглавно се води од барања од граѓаните и приватниот сектор кои се добиваат преку владиниот портал за отворени податоци. </w:t>
            </w:r>
          </w:p>
        </w:tc>
      </w:tr>
      <w:tr w:rsidR="005909F7" w:rsidTr="00EF52B6">
        <w:tc>
          <w:tcPr>
            <w:tcW w:w="3674" w:type="dxa"/>
            <w:gridSpan w:val="3"/>
          </w:tcPr>
          <w:p w:rsidR="005909F7" w:rsidRPr="00381F72" w:rsidRDefault="005909F7" w:rsidP="002133FA">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7036" w:type="dxa"/>
            <w:gridSpan w:val="4"/>
          </w:tcPr>
          <w:p w:rsidR="005909F7" w:rsidRPr="00C412C1" w:rsidRDefault="005909F7" w:rsidP="005909F7">
            <w:pPr>
              <w:jc w:val="center"/>
              <w:rPr>
                <w:rFonts w:eastAsia="Times New Roman" w:cs="Times New Roman"/>
                <w:sz w:val="20"/>
                <w:szCs w:val="20"/>
              </w:rPr>
            </w:pPr>
            <w:r>
              <w:rPr>
                <w:rFonts w:eastAsia="Times New Roman" w:cs="Times New Roman"/>
                <w:sz w:val="20"/>
                <w:szCs w:val="20"/>
              </w:rPr>
              <w:t>2016</w:t>
            </w:r>
          </w:p>
        </w:tc>
      </w:tr>
      <w:tr w:rsidR="005909F7" w:rsidTr="00EF52B6">
        <w:tc>
          <w:tcPr>
            <w:tcW w:w="3674" w:type="dxa"/>
            <w:gridSpan w:val="3"/>
          </w:tcPr>
          <w:p w:rsidR="005909F7" w:rsidRPr="00381F72" w:rsidRDefault="005909F7" w:rsidP="002133FA">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7036" w:type="dxa"/>
            <w:gridSpan w:val="4"/>
          </w:tcPr>
          <w:p w:rsidR="005909F7" w:rsidRDefault="005909F7" w:rsidP="005909F7">
            <w:pPr>
              <w:jc w:val="both"/>
              <w:rPr>
                <w:rFonts w:eastAsia="Times New Roman" w:cs="Times New Roman"/>
                <w:sz w:val="20"/>
                <w:szCs w:val="20"/>
                <w:lang w:val="mk-MK"/>
              </w:rPr>
            </w:pPr>
            <w:r>
              <w:rPr>
                <w:rFonts w:eastAsia="Times New Roman" w:cs="Times New Roman"/>
                <w:sz w:val="20"/>
                <w:szCs w:val="20"/>
                <w:lang w:val="mk-MK"/>
              </w:rPr>
              <w:t xml:space="preserve">Министерството за информатичко општество и администрација ќе продолжи да со работува со институциите во идентификација и отварање на нивните податочни сетови како и активно да го промовира концептот за отворени податоци во јавноста. Актовно се следат барањата од граѓаните за нови податочни сетови и истите се проследуваат до соодветните институции. </w:t>
            </w:r>
          </w:p>
          <w:p w:rsidR="005909F7" w:rsidRPr="0007321E" w:rsidRDefault="005909F7" w:rsidP="005909F7">
            <w:pPr>
              <w:jc w:val="both"/>
              <w:rPr>
                <w:rFonts w:eastAsia="Times New Roman" w:cs="Times New Roman"/>
                <w:sz w:val="20"/>
                <w:szCs w:val="20"/>
                <w:lang w:val="mk-MK"/>
              </w:rPr>
            </w:pPr>
            <w:r>
              <w:rPr>
                <w:rFonts w:eastAsia="Times New Roman" w:cs="Times New Roman"/>
                <w:sz w:val="20"/>
                <w:szCs w:val="20"/>
                <w:lang w:val="mk-MK"/>
              </w:rPr>
              <w:t>Цел за наредниот период е отварање на податочни сетови од институциите во компјутерски читлив структуриран формат и постепено исфрлање и замена на податочните сетови кои се објавени во затворен формат (</w:t>
            </w:r>
            <w:r>
              <w:rPr>
                <w:rFonts w:eastAsia="Times New Roman" w:cs="Times New Roman"/>
                <w:sz w:val="20"/>
                <w:szCs w:val="20"/>
              </w:rPr>
              <w:t xml:space="preserve">.pdf, .doc, </w:t>
            </w:r>
            <w:r>
              <w:rPr>
                <w:rFonts w:eastAsia="Times New Roman" w:cs="Times New Roman"/>
                <w:sz w:val="20"/>
                <w:szCs w:val="20"/>
                <w:lang w:val="mk-MK"/>
              </w:rPr>
              <w:t>итн).</w:t>
            </w:r>
          </w:p>
          <w:p w:rsidR="005909F7" w:rsidRDefault="005909F7" w:rsidP="002133FA">
            <w:pPr>
              <w:jc w:val="both"/>
              <w:rPr>
                <w:b/>
                <w:lang w:val="mk-MK"/>
              </w:rPr>
            </w:pPr>
          </w:p>
        </w:tc>
      </w:tr>
      <w:tr w:rsidR="005909F7" w:rsidTr="002133FA">
        <w:tc>
          <w:tcPr>
            <w:tcW w:w="10710" w:type="dxa"/>
            <w:gridSpan w:val="7"/>
          </w:tcPr>
          <w:p w:rsidR="005909F7" w:rsidRDefault="005909F7" w:rsidP="002133FA">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r w:rsidR="005909F7" w:rsidTr="00EF52B6">
        <w:trPr>
          <w:trHeight w:val="435"/>
        </w:trPr>
        <w:tc>
          <w:tcPr>
            <w:tcW w:w="3674" w:type="dxa"/>
            <w:gridSpan w:val="3"/>
            <w:vMerge w:val="restart"/>
          </w:tcPr>
          <w:p w:rsidR="005909F7" w:rsidRPr="00381F72" w:rsidRDefault="005909F7" w:rsidP="005909F7">
            <w:pPr>
              <w:jc w:val="both"/>
              <w:rPr>
                <w:color w:val="878786"/>
                <w:spacing w:val="-6"/>
                <w:w w:val="124"/>
                <w:sz w:val="18"/>
                <w:szCs w:val="18"/>
                <w:lang w:val="mk-MK"/>
              </w:rPr>
            </w:pPr>
          </w:p>
          <w:p w:rsidR="005909F7" w:rsidRPr="00381F72" w:rsidRDefault="005909F7" w:rsidP="005909F7">
            <w:pPr>
              <w:jc w:val="both"/>
              <w:rPr>
                <w:color w:val="878786"/>
                <w:spacing w:val="-6"/>
                <w:w w:val="124"/>
                <w:sz w:val="18"/>
                <w:szCs w:val="18"/>
                <w:lang w:val="mk-MK"/>
              </w:rPr>
            </w:pPr>
            <w:r w:rsidRPr="00381F72">
              <w:rPr>
                <w:color w:val="878786"/>
                <w:spacing w:val="-6"/>
                <w:w w:val="124"/>
                <w:sz w:val="18"/>
                <w:szCs w:val="18"/>
                <w:lang w:val="mk-MK"/>
              </w:rPr>
              <w:t>Ниво на проект</w:t>
            </w:r>
          </w:p>
          <w:p w:rsidR="005909F7" w:rsidRPr="00381F72" w:rsidRDefault="005909F7" w:rsidP="005909F7">
            <w:pPr>
              <w:jc w:val="both"/>
              <w:rPr>
                <w:color w:val="878786"/>
                <w:spacing w:val="-6"/>
                <w:w w:val="124"/>
                <w:sz w:val="18"/>
                <w:szCs w:val="18"/>
                <w:lang w:val="mk-MK"/>
              </w:rPr>
            </w:pPr>
          </w:p>
        </w:tc>
        <w:tc>
          <w:tcPr>
            <w:tcW w:w="1894" w:type="dxa"/>
          </w:tcPr>
          <w:p w:rsidR="005909F7" w:rsidRPr="00381F72" w:rsidRDefault="005909F7" w:rsidP="005909F7">
            <w:pPr>
              <w:jc w:val="both"/>
              <w:rPr>
                <w:color w:val="878786"/>
                <w:spacing w:val="-6"/>
                <w:w w:val="124"/>
                <w:sz w:val="18"/>
                <w:szCs w:val="18"/>
                <w:lang w:val="mk-MK"/>
              </w:rPr>
            </w:pPr>
            <w:r>
              <w:rPr>
                <w:color w:val="878786"/>
                <w:spacing w:val="-6"/>
                <w:w w:val="124"/>
                <w:sz w:val="18"/>
                <w:szCs w:val="18"/>
                <w:lang w:val="mk-MK"/>
              </w:rPr>
              <w:t>незапочнато</w:t>
            </w:r>
          </w:p>
        </w:tc>
        <w:tc>
          <w:tcPr>
            <w:tcW w:w="1793" w:type="dxa"/>
          </w:tcPr>
          <w:p w:rsidR="005909F7" w:rsidRPr="00381F72" w:rsidRDefault="005909F7" w:rsidP="005909F7">
            <w:pPr>
              <w:jc w:val="both"/>
              <w:rPr>
                <w:color w:val="878786"/>
                <w:spacing w:val="-6"/>
                <w:w w:val="124"/>
                <w:sz w:val="18"/>
                <w:szCs w:val="18"/>
                <w:lang w:val="mk-MK"/>
              </w:rPr>
            </w:pPr>
            <w:r>
              <w:rPr>
                <w:color w:val="878786"/>
                <w:spacing w:val="-6"/>
                <w:w w:val="124"/>
                <w:sz w:val="18"/>
                <w:szCs w:val="18"/>
                <w:lang w:val="mk-MK"/>
              </w:rPr>
              <w:t>ограничено</w:t>
            </w:r>
          </w:p>
        </w:tc>
        <w:tc>
          <w:tcPr>
            <w:tcW w:w="1760" w:type="dxa"/>
          </w:tcPr>
          <w:p w:rsidR="005909F7" w:rsidRPr="00381F72" w:rsidRDefault="005909F7" w:rsidP="005909F7">
            <w:pPr>
              <w:jc w:val="both"/>
              <w:rPr>
                <w:color w:val="878786"/>
                <w:spacing w:val="-6"/>
                <w:w w:val="124"/>
                <w:sz w:val="18"/>
                <w:szCs w:val="18"/>
                <w:lang w:val="mk-MK"/>
              </w:rPr>
            </w:pPr>
            <w:r>
              <w:rPr>
                <w:color w:val="878786"/>
                <w:spacing w:val="-6"/>
                <w:w w:val="124"/>
                <w:sz w:val="18"/>
                <w:szCs w:val="18"/>
                <w:lang w:val="mk-MK"/>
              </w:rPr>
              <w:t>значително</w:t>
            </w:r>
          </w:p>
        </w:tc>
        <w:tc>
          <w:tcPr>
            <w:tcW w:w="1589" w:type="dxa"/>
          </w:tcPr>
          <w:p w:rsidR="005909F7" w:rsidRPr="00381F72" w:rsidRDefault="005909F7" w:rsidP="005909F7">
            <w:pPr>
              <w:jc w:val="both"/>
              <w:rPr>
                <w:color w:val="878786"/>
                <w:spacing w:val="-6"/>
                <w:w w:val="124"/>
                <w:sz w:val="18"/>
                <w:szCs w:val="18"/>
                <w:lang w:val="mk-MK"/>
              </w:rPr>
            </w:pPr>
            <w:r>
              <w:rPr>
                <w:color w:val="878786"/>
                <w:spacing w:val="-6"/>
                <w:w w:val="124"/>
                <w:sz w:val="18"/>
                <w:szCs w:val="18"/>
                <w:lang w:val="mk-MK"/>
              </w:rPr>
              <w:t>завршено</w:t>
            </w:r>
          </w:p>
        </w:tc>
      </w:tr>
      <w:tr w:rsidR="005909F7" w:rsidTr="00EF52B6">
        <w:trPr>
          <w:trHeight w:val="367"/>
        </w:trPr>
        <w:tc>
          <w:tcPr>
            <w:tcW w:w="3674" w:type="dxa"/>
            <w:gridSpan w:val="3"/>
            <w:vMerge/>
          </w:tcPr>
          <w:p w:rsidR="005909F7" w:rsidRPr="00381F72" w:rsidRDefault="005909F7" w:rsidP="005909F7">
            <w:pPr>
              <w:jc w:val="both"/>
              <w:rPr>
                <w:color w:val="878786"/>
                <w:spacing w:val="-6"/>
                <w:w w:val="124"/>
                <w:sz w:val="18"/>
                <w:szCs w:val="18"/>
                <w:lang w:val="mk-MK"/>
              </w:rPr>
            </w:pPr>
          </w:p>
        </w:tc>
        <w:tc>
          <w:tcPr>
            <w:tcW w:w="1894" w:type="dxa"/>
          </w:tcPr>
          <w:p w:rsidR="005909F7" w:rsidRPr="00381F72" w:rsidRDefault="005909F7" w:rsidP="005909F7">
            <w:pPr>
              <w:jc w:val="both"/>
              <w:rPr>
                <w:color w:val="878786"/>
                <w:spacing w:val="-6"/>
                <w:w w:val="124"/>
                <w:sz w:val="18"/>
                <w:szCs w:val="18"/>
                <w:lang w:val="mk-MK"/>
              </w:rPr>
            </w:pPr>
          </w:p>
        </w:tc>
        <w:tc>
          <w:tcPr>
            <w:tcW w:w="1793" w:type="dxa"/>
            <w:shd w:val="clear" w:color="auto" w:fill="FFFFFF" w:themeFill="background1"/>
          </w:tcPr>
          <w:p w:rsidR="005909F7" w:rsidRPr="00381F72" w:rsidRDefault="005909F7" w:rsidP="005909F7">
            <w:pPr>
              <w:jc w:val="both"/>
              <w:rPr>
                <w:color w:val="878786"/>
                <w:spacing w:val="-6"/>
                <w:w w:val="124"/>
                <w:sz w:val="18"/>
                <w:szCs w:val="18"/>
                <w:lang w:val="mk-MK"/>
              </w:rPr>
            </w:pPr>
          </w:p>
        </w:tc>
        <w:tc>
          <w:tcPr>
            <w:tcW w:w="1760" w:type="dxa"/>
          </w:tcPr>
          <w:p w:rsidR="005909F7" w:rsidRPr="00381F72" w:rsidRDefault="005909F7" w:rsidP="005909F7">
            <w:pPr>
              <w:jc w:val="both"/>
              <w:rPr>
                <w:color w:val="878786"/>
                <w:spacing w:val="-6"/>
                <w:w w:val="124"/>
                <w:sz w:val="18"/>
                <w:szCs w:val="18"/>
                <w:lang w:val="mk-MK"/>
              </w:rPr>
            </w:pPr>
          </w:p>
        </w:tc>
        <w:tc>
          <w:tcPr>
            <w:tcW w:w="1589" w:type="dxa"/>
            <w:shd w:val="clear" w:color="auto" w:fill="548DD4" w:themeFill="text2" w:themeFillTint="99"/>
          </w:tcPr>
          <w:p w:rsidR="005909F7" w:rsidRPr="00381F72" w:rsidRDefault="005909F7" w:rsidP="005909F7">
            <w:pPr>
              <w:jc w:val="both"/>
              <w:rPr>
                <w:color w:val="878786"/>
                <w:spacing w:val="-6"/>
                <w:w w:val="124"/>
                <w:sz w:val="18"/>
                <w:szCs w:val="18"/>
                <w:lang w:val="mk-MK"/>
              </w:rPr>
            </w:pPr>
          </w:p>
        </w:tc>
      </w:tr>
      <w:tr w:rsidR="005909F7" w:rsidTr="00EF52B6">
        <w:tc>
          <w:tcPr>
            <w:tcW w:w="3674" w:type="dxa"/>
            <w:gridSpan w:val="3"/>
          </w:tcPr>
          <w:p w:rsidR="005909F7" w:rsidRPr="00381F72" w:rsidRDefault="005909F7" w:rsidP="005909F7">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5909F7" w:rsidRPr="00381F72" w:rsidRDefault="005909F7" w:rsidP="005909F7">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7036" w:type="dxa"/>
            <w:gridSpan w:val="4"/>
          </w:tcPr>
          <w:p w:rsidR="005909F7" w:rsidRDefault="005909F7" w:rsidP="005909F7">
            <w:pPr>
              <w:rPr>
                <w:b/>
                <w:sz w:val="20"/>
                <w:szCs w:val="20"/>
                <w:lang w:val="mk-MK"/>
              </w:rPr>
            </w:pPr>
            <w:r>
              <w:rPr>
                <w:b/>
                <w:sz w:val="20"/>
                <w:szCs w:val="20"/>
                <w:lang w:val="mk-MK"/>
              </w:rPr>
              <w:t xml:space="preserve">Мерка  2.  </w:t>
            </w:r>
            <w:r w:rsidRPr="001838AE">
              <w:rPr>
                <w:b/>
                <w:sz w:val="20"/>
                <w:szCs w:val="20"/>
                <w:lang w:val="mk-MK"/>
              </w:rPr>
              <w:t>Утврдување на техничките нормативи за форматот на податоците и начинот на објавување на истите ги утврдува Министерот за информат</w:t>
            </w:r>
            <w:r>
              <w:rPr>
                <w:b/>
                <w:sz w:val="20"/>
                <w:szCs w:val="20"/>
                <w:lang w:val="mk-MK"/>
              </w:rPr>
              <w:t>ичко општество и администрација.</w:t>
            </w:r>
          </w:p>
          <w:p w:rsidR="005909F7" w:rsidRPr="0007321E" w:rsidRDefault="005909F7" w:rsidP="005909F7">
            <w:pPr>
              <w:rPr>
                <w:lang w:val="mk-MK"/>
              </w:rPr>
            </w:pPr>
            <w:r w:rsidRPr="0007321E">
              <w:rPr>
                <w:sz w:val="20"/>
                <w:szCs w:val="20"/>
                <w:lang w:val="mk-MK"/>
              </w:rPr>
              <w:t xml:space="preserve">Донесен е </w:t>
            </w:r>
            <w:r w:rsidRPr="0007321E">
              <w:rPr>
                <w:sz w:val="20"/>
                <w:szCs w:val="20"/>
              </w:rPr>
              <w:t>ПРАВИЛНИК ЗА МИНИМАЛНИТЕ ТЕХНИЧКИ МОЖНОСТИ НА ОРГАНИТЕ И ИНСТИТУЦИИТЕ ОД ЈАВНИОТ СЕКТОР ЗА ДА ОБЈАВУВААТ ПОДАТОЦИ И ТЕХНИЧКИТЕ НОРМАТИВИ ЗА ФОРМАТОТ НА ПОДАТОЦИТЕ И НАЧИНОТ НА ОБЈАВУВАЊЕ НА ИСТИТЕ</w:t>
            </w:r>
            <w:r>
              <w:rPr>
                <w:sz w:val="20"/>
                <w:szCs w:val="20"/>
                <w:lang w:val="mk-MK"/>
              </w:rPr>
              <w:t xml:space="preserve"> и истиот е објавен на порталот за отворени податоци. Одржани се повеќе обуки на релевантниот кадар од институциите за претставување и запознавање на вработените со одредбите од правилникот.</w:t>
            </w:r>
          </w:p>
          <w:p w:rsidR="005909F7" w:rsidRPr="00837A42" w:rsidRDefault="005909F7" w:rsidP="005909F7">
            <w:pPr>
              <w:rPr>
                <w:lang w:val="mk-MK"/>
              </w:rPr>
            </w:pPr>
          </w:p>
        </w:tc>
      </w:tr>
      <w:tr w:rsidR="005909F7" w:rsidTr="00EF52B6">
        <w:tc>
          <w:tcPr>
            <w:tcW w:w="3674" w:type="dxa"/>
            <w:gridSpan w:val="3"/>
          </w:tcPr>
          <w:p w:rsidR="005909F7" w:rsidRPr="00381F72" w:rsidRDefault="005909F7" w:rsidP="005909F7">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7036" w:type="dxa"/>
            <w:gridSpan w:val="4"/>
          </w:tcPr>
          <w:p w:rsidR="005909F7" w:rsidRPr="0007321E" w:rsidRDefault="005909F7" w:rsidP="005909F7">
            <w:pPr>
              <w:rPr>
                <w:lang w:val="mk-MK"/>
              </w:rPr>
            </w:pPr>
            <w:r>
              <w:rPr>
                <w:lang w:val="mk-MK"/>
              </w:rPr>
              <w:t>Јуни 2014</w:t>
            </w:r>
          </w:p>
        </w:tc>
      </w:tr>
      <w:tr w:rsidR="005909F7" w:rsidTr="00EF52B6">
        <w:tc>
          <w:tcPr>
            <w:tcW w:w="3674" w:type="dxa"/>
            <w:gridSpan w:val="3"/>
          </w:tcPr>
          <w:p w:rsidR="005909F7" w:rsidRPr="00381F72" w:rsidRDefault="005909F7" w:rsidP="005909F7">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7036" w:type="dxa"/>
            <w:gridSpan w:val="4"/>
          </w:tcPr>
          <w:p w:rsidR="005909F7" w:rsidRDefault="005909F7" w:rsidP="005909F7">
            <w:pPr>
              <w:jc w:val="both"/>
              <w:rPr>
                <w:b/>
                <w:lang w:val="mk-MK"/>
              </w:rPr>
            </w:pPr>
            <w:r>
              <w:rPr>
                <w:b/>
                <w:lang w:val="mk-MK"/>
              </w:rPr>
              <w:t>/</w:t>
            </w:r>
          </w:p>
        </w:tc>
      </w:tr>
      <w:tr w:rsidR="005909F7" w:rsidTr="005909F7">
        <w:tc>
          <w:tcPr>
            <w:tcW w:w="10710" w:type="dxa"/>
            <w:gridSpan w:val="7"/>
          </w:tcPr>
          <w:p w:rsidR="005909F7" w:rsidRDefault="005909F7" w:rsidP="005909F7">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r w:rsidR="005909F7" w:rsidTr="00EF52B6">
        <w:trPr>
          <w:trHeight w:val="435"/>
        </w:trPr>
        <w:tc>
          <w:tcPr>
            <w:tcW w:w="3674" w:type="dxa"/>
            <w:gridSpan w:val="3"/>
            <w:vMerge w:val="restart"/>
          </w:tcPr>
          <w:p w:rsidR="005909F7" w:rsidRPr="00381F72" w:rsidRDefault="005909F7" w:rsidP="005909F7">
            <w:pPr>
              <w:jc w:val="both"/>
              <w:rPr>
                <w:color w:val="878786"/>
                <w:spacing w:val="-6"/>
                <w:w w:val="124"/>
                <w:sz w:val="18"/>
                <w:szCs w:val="18"/>
                <w:lang w:val="mk-MK"/>
              </w:rPr>
            </w:pPr>
          </w:p>
          <w:p w:rsidR="005909F7" w:rsidRPr="00381F72" w:rsidRDefault="005909F7" w:rsidP="005909F7">
            <w:pPr>
              <w:jc w:val="both"/>
              <w:rPr>
                <w:color w:val="878786"/>
                <w:spacing w:val="-6"/>
                <w:w w:val="124"/>
                <w:sz w:val="18"/>
                <w:szCs w:val="18"/>
                <w:lang w:val="mk-MK"/>
              </w:rPr>
            </w:pPr>
            <w:r w:rsidRPr="00381F72">
              <w:rPr>
                <w:color w:val="878786"/>
                <w:spacing w:val="-6"/>
                <w:w w:val="124"/>
                <w:sz w:val="18"/>
                <w:szCs w:val="18"/>
                <w:lang w:val="mk-MK"/>
              </w:rPr>
              <w:t>Ниво на проект</w:t>
            </w:r>
          </w:p>
          <w:p w:rsidR="005909F7" w:rsidRPr="00381F72" w:rsidRDefault="005909F7" w:rsidP="005909F7">
            <w:pPr>
              <w:jc w:val="both"/>
              <w:rPr>
                <w:color w:val="878786"/>
                <w:spacing w:val="-6"/>
                <w:w w:val="124"/>
                <w:sz w:val="18"/>
                <w:szCs w:val="18"/>
                <w:lang w:val="mk-MK"/>
              </w:rPr>
            </w:pPr>
          </w:p>
        </w:tc>
        <w:tc>
          <w:tcPr>
            <w:tcW w:w="1894" w:type="dxa"/>
          </w:tcPr>
          <w:p w:rsidR="005909F7" w:rsidRPr="00381F72" w:rsidRDefault="005909F7" w:rsidP="005909F7">
            <w:pPr>
              <w:jc w:val="both"/>
              <w:rPr>
                <w:color w:val="878786"/>
                <w:spacing w:val="-6"/>
                <w:w w:val="124"/>
                <w:sz w:val="18"/>
                <w:szCs w:val="18"/>
                <w:lang w:val="mk-MK"/>
              </w:rPr>
            </w:pPr>
            <w:r>
              <w:rPr>
                <w:color w:val="878786"/>
                <w:spacing w:val="-6"/>
                <w:w w:val="124"/>
                <w:sz w:val="18"/>
                <w:szCs w:val="18"/>
                <w:lang w:val="mk-MK"/>
              </w:rPr>
              <w:t>незапочнато</w:t>
            </w:r>
          </w:p>
        </w:tc>
        <w:tc>
          <w:tcPr>
            <w:tcW w:w="1793" w:type="dxa"/>
          </w:tcPr>
          <w:p w:rsidR="005909F7" w:rsidRPr="00381F72" w:rsidRDefault="005909F7" w:rsidP="005909F7">
            <w:pPr>
              <w:jc w:val="both"/>
              <w:rPr>
                <w:color w:val="878786"/>
                <w:spacing w:val="-6"/>
                <w:w w:val="124"/>
                <w:sz w:val="18"/>
                <w:szCs w:val="18"/>
                <w:lang w:val="mk-MK"/>
              </w:rPr>
            </w:pPr>
            <w:r>
              <w:rPr>
                <w:color w:val="878786"/>
                <w:spacing w:val="-6"/>
                <w:w w:val="124"/>
                <w:sz w:val="18"/>
                <w:szCs w:val="18"/>
                <w:lang w:val="mk-MK"/>
              </w:rPr>
              <w:t>ограничено</w:t>
            </w:r>
          </w:p>
        </w:tc>
        <w:tc>
          <w:tcPr>
            <w:tcW w:w="1760" w:type="dxa"/>
          </w:tcPr>
          <w:p w:rsidR="005909F7" w:rsidRPr="00381F72" w:rsidRDefault="005909F7" w:rsidP="005909F7">
            <w:pPr>
              <w:jc w:val="both"/>
              <w:rPr>
                <w:color w:val="878786"/>
                <w:spacing w:val="-6"/>
                <w:w w:val="124"/>
                <w:sz w:val="18"/>
                <w:szCs w:val="18"/>
                <w:lang w:val="mk-MK"/>
              </w:rPr>
            </w:pPr>
            <w:r>
              <w:rPr>
                <w:color w:val="878786"/>
                <w:spacing w:val="-6"/>
                <w:w w:val="124"/>
                <w:sz w:val="18"/>
                <w:szCs w:val="18"/>
                <w:lang w:val="mk-MK"/>
              </w:rPr>
              <w:t>значително</w:t>
            </w:r>
          </w:p>
        </w:tc>
        <w:tc>
          <w:tcPr>
            <w:tcW w:w="1589" w:type="dxa"/>
          </w:tcPr>
          <w:p w:rsidR="005909F7" w:rsidRPr="00381F72" w:rsidRDefault="005909F7" w:rsidP="005909F7">
            <w:pPr>
              <w:jc w:val="both"/>
              <w:rPr>
                <w:color w:val="878786"/>
                <w:spacing w:val="-6"/>
                <w:w w:val="124"/>
                <w:sz w:val="18"/>
                <w:szCs w:val="18"/>
                <w:lang w:val="mk-MK"/>
              </w:rPr>
            </w:pPr>
            <w:r>
              <w:rPr>
                <w:color w:val="878786"/>
                <w:spacing w:val="-6"/>
                <w:w w:val="124"/>
                <w:sz w:val="18"/>
                <w:szCs w:val="18"/>
                <w:lang w:val="mk-MK"/>
              </w:rPr>
              <w:t>завршено</w:t>
            </w:r>
          </w:p>
        </w:tc>
      </w:tr>
      <w:tr w:rsidR="005909F7" w:rsidTr="00EF52B6">
        <w:trPr>
          <w:trHeight w:val="367"/>
        </w:trPr>
        <w:tc>
          <w:tcPr>
            <w:tcW w:w="3674" w:type="dxa"/>
            <w:gridSpan w:val="3"/>
            <w:vMerge/>
          </w:tcPr>
          <w:p w:rsidR="005909F7" w:rsidRPr="00381F72" w:rsidRDefault="005909F7" w:rsidP="005909F7">
            <w:pPr>
              <w:jc w:val="both"/>
              <w:rPr>
                <w:color w:val="878786"/>
                <w:spacing w:val="-6"/>
                <w:w w:val="124"/>
                <w:sz w:val="18"/>
                <w:szCs w:val="18"/>
                <w:lang w:val="mk-MK"/>
              </w:rPr>
            </w:pPr>
          </w:p>
        </w:tc>
        <w:tc>
          <w:tcPr>
            <w:tcW w:w="1894" w:type="dxa"/>
          </w:tcPr>
          <w:p w:rsidR="005909F7" w:rsidRPr="00381F72" w:rsidRDefault="005909F7" w:rsidP="005909F7">
            <w:pPr>
              <w:jc w:val="both"/>
              <w:rPr>
                <w:color w:val="878786"/>
                <w:spacing w:val="-6"/>
                <w:w w:val="124"/>
                <w:sz w:val="18"/>
                <w:szCs w:val="18"/>
                <w:lang w:val="mk-MK"/>
              </w:rPr>
            </w:pPr>
          </w:p>
        </w:tc>
        <w:tc>
          <w:tcPr>
            <w:tcW w:w="1793" w:type="dxa"/>
            <w:shd w:val="clear" w:color="auto" w:fill="548DD4" w:themeFill="text2" w:themeFillTint="99"/>
          </w:tcPr>
          <w:p w:rsidR="005909F7" w:rsidRPr="00381F72" w:rsidRDefault="005909F7" w:rsidP="005909F7">
            <w:pPr>
              <w:jc w:val="both"/>
              <w:rPr>
                <w:color w:val="878786"/>
                <w:spacing w:val="-6"/>
                <w:w w:val="124"/>
                <w:sz w:val="18"/>
                <w:szCs w:val="18"/>
                <w:lang w:val="mk-MK"/>
              </w:rPr>
            </w:pPr>
          </w:p>
        </w:tc>
        <w:tc>
          <w:tcPr>
            <w:tcW w:w="1760" w:type="dxa"/>
          </w:tcPr>
          <w:p w:rsidR="005909F7" w:rsidRPr="00381F72" w:rsidRDefault="005909F7" w:rsidP="005909F7">
            <w:pPr>
              <w:jc w:val="both"/>
              <w:rPr>
                <w:color w:val="878786"/>
                <w:spacing w:val="-6"/>
                <w:w w:val="124"/>
                <w:sz w:val="18"/>
                <w:szCs w:val="18"/>
                <w:lang w:val="mk-MK"/>
              </w:rPr>
            </w:pPr>
          </w:p>
        </w:tc>
        <w:tc>
          <w:tcPr>
            <w:tcW w:w="1589" w:type="dxa"/>
          </w:tcPr>
          <w:p w:rsidR="005909F7" w:rsidRPr="00381F72" w:rsidRDefault="005909F7" w:rsidP="005909F7">
            <w:pPr>
              <w:jc w:val="both"/>
              <w:rPr>
                <w:color w:val="878786"/>
                <w:spacing w:val="-6"/>
                <w:w w:val="124"/>
                <w:sz w:val="18"/>
                <w:szCs w:val="18"/>
                <w:lang w:val="mk-MK"/>
              </w:rPr>
            </w:pPr>
          </w:p>
        </w:tc>
      </w:tr>
      <w:tr w:rsidR="005909F7" w:rsidTr="00EF52B6">
        <w:tc>
          <w:tcPr>
            <w:tcW w:w="3674" w:type="dxa"/>
            <w:gridSpan w:val="3"/>
          </w:tcPr>
          <w:p w:rsidR="005909F7" w:rsidRPr="00381F72" w:rsidRDefault="005909F7" w:rsidP="005909F7">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5909F7" w:rsidRPr="00381F72" w:rsidRDefault="005909F7" w:rsidP="005909F7">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7036" w:type="dxa"/>
            <w:gridSpan w:val="4"/>
          </w:tcPr>
          <w:p w:rsidR="002A70B2" w:rsidRPr="00FE227B" w:rsidRDefault="002A70B2" w:rsidP="002A70B2">
            <w:pPr>
              <w:shd w:val="clear" w:color="auto" w:fill="FFFFFF"/>
              <w:jc w:val="both"/>
              <w:rPr>
                <w:b/>
                <w:sz w:val="20"/>
                <w:szCs w:val="20"/>
              </w:rPr>
            </w:pPr>
            <w:r w:rsidRPr="00FE227B">
              <w:rPr>
                <w:b/>
                <w:sz w:val="20"/>
                <w:szCs w:val="20"/>
                <w:lang w:val="mk-MK"/>
              </w:rPr>
              <w:t xml:space="preserve">Мерка  3. </w:t>
            </w:r>
            <w:r w:rsidRPr="00C571D6">
              <w:rPr>
                <w:b/>
                <w:sz w:val="20"/>
                <w:szCs w:val="20"/>
                <w:lang w:val="mk-MK"/>
              </w:rPr>
              <w:t>Формирање на Централен каталог на податоците од јавниот сектор објавени за користење врз основа на каталог на податоци од органите и институциите од јавниот сектор на  www.otvorenipodatoci.gov.mk</w:t>
            </w:r>
          </w:p>
          <w:p w:rsidR="002A70B2" w:rsidRDefault="002A70B2" w:rsidP="002A70B2">
            <w:pPr>
              <w:shd w:val="clear" w:color="auto" w:fill="FFFFFF"/>
              <w:jc w:val="both"/>
              <w:rPr>
                <w:sz w:val="20"/>
                <w:szCs w:val="20"/>
                <w:lang w:val="mk-MK"/>
              </w:rPr>
            </w:pPr>
            <w:r>
              <w:rPr>
                <w:sz w:val="20"/>
                <w:szCs w:val="20"/>
                <w:lang w:val="mk-MK"/>
              </w:rPr>
              <w:t xml:space="preserve">Согласнио Член 7 од Законот за користење на податоците од јавниот сектор </w:t>
            </w:r>
            <w:r w:rsidRPr="0007321E">
              <w:rPr>
                <w:sz w:val="20"/>
                <w:szCs w:val="20"/>
              </w:rPr>
              <w:t xml:space="preserve">Министерството за информатичко општество и администрација </w:t>
            </w:r>
            <w:r>
              <w:rPr>
                <w:sz w:val="20"/>
                <w:szCs w:val="20"/>
                <w:lang w:val="mk-MK"/>
              </w:rPr>
              <w:t xml:space="preserve">е обврзано да </w:t>
            </w:r>
            <w:r w:rsidRPr="0007321E">
              <w:rPr>
                <w:sz w:val="20"/>
                <w:szCs w:val="20"/>
              </w:rPr>
              <w:t xml:space="preserve">води централен каталог на податоците од јавниот сектор објавени за користење врз основа на каталог на податоци од органите и институциите од јавниот сектор и истиот </w:t>
            </w:r>
            <w:r>
              <w:rPr>
                <w:sz w:val="20"/>
                <w:szCs w:val="20"/>
                <w:lang w:val="mk-MK"/>
              </w:rPr>
              <w:t xml:space="preserve">да </w:t>
            </w:r>
            <w:r>
              <w:rPr>
                <w:sz w:val="20"/>
                <w:szCs w:val="20"/>
              </w:rPr>
              <w:t>го објави</w:t>
            </w:r>
            <w:r w:rsidRPr="0007321E">
              <w:rPr>
                <w:sz w:val="20"/>
                <w:szCs w:val="20"/>
              </w:rPr>
              <w:t xml:space="preserve"> на</w:t>
            </w:r>
            <w:r>
              <w:rPr>
                <w:sz w:val="20"/>
                <w:szCs w:val="20"/>
                <w:lang w:val="mk-MK"/>
              </w:rPr>
              <w:t xml:space="preserve"> порталот</w:t>
            </w:r>
            <w:hyperlink r:id="rId18" w:history="1">
              <w:r w:rsidRPr="00A90AF2">
                <w:rPr>
                  <w:rStyle w:val="Hyperlink"/>
                  <w:sz w:val="20"/>
                  <w:szCs w:val="20"/>
                </w:rPr>
                <w:t>www.otvorenipodatoci.gov.mk</w:t>
              </w:r>
            </w:hyperlink>
            <w:r>
              <w:rPr>
                <w:sz w:val="20"/>
                <w:szCs w:val="20"/>
                <w:lang w:val="mk-MK"/>
              </w:rPr>
              <w:t xml:space="preserve">. За таа цел </w:t>
            </w:r>
            <w:r>
              <w:rPr>
                <w:sz w:val="20"/>
                <w:szCs w:val="20"/>
              </w:rPr>
              <w:t>о</w:t>
            </w:r>
            <w:r w:rsidRPr="00E620DA">
              <w:rPr>
                <w:sz w:val="20"/>
                <w:szCs w:val="20"/>
              </w:rPr>
              <w:t>рганите и институциите од јавниот сектор се должни до Министерството за информатичко општество и администрација да достават во електронска форма каталог на податоците кои ги создаваат во остварувањето на своите надлежности кои ги објавуваат за користење, вклучувајќи и датум за објавување на податоците (по податочни сетови) за нивно користење, динамика на нивно ажурирање (дневно, неделно, месечно и квартално) и поединечен линк, односно веб локација до местото каде што органот или институцијата од јавниот сектор ги објавува податоците</w:t>
            </w:r>
            <w:r>
              <w:rPr>
                <w:sz w:val="20"/>
                <w:szCs w:val="20"/>
                <w:lang w:val="mk-MK"/>
              </w:rPr>
              <w:t>.</w:t>
            </w:r>
          </w:p>
          <w:p w:rsidR="005909F7" w:rsidRPr="00915036" w:rsidRDefault="002A70B2" w:rsidP="002A70B2">
            <w:pPr>
              <w:jc w:val="both"/>
              <w:rPr>
                <w:rFonts w:eastAsia="Times New Roman" w:cs="Times New Roman"/>
                <w:sz w:val="20"/>
                <w:szCs w:val="20"/>
                <w:lang w:val="mk-MK"/>
              </w:rPr>
            </w:pPr>
            <w:r>
              <w:rPr>
                <w:sz w:val="20"/>
                <w:szCs w:val="20"/>
                <w:lang w:val="mk-MK"/>
              </w:rPr>
              <w:t>Во моментот сите објавени податочни сетови на порталот за отворени податоци се групирани по институција со што се формира еден вид на електронски каталог за до сега објавените податочни сетови.</w:t>
            </w:r>
          </w:p>
        </w:tc>
      </w:tr>
      <w:tr w:rsidR="002A70B2" w:rsidTr="00EF52B6">
        <w:tc>
          <w:tcPr>
            <w:tcW w:w="3674" w:type="dxa"/>
            <w:gridSpan w:val="3"/>
          </w:tcPr>
          <w:p w:rsidR="002A70B2" w:rsidRPr="00381F72" w:rsidRDefault="002A70B2" w:rsidP="002A70B2">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7036" w:type="dxa"/>
            <w:gridSpan w:val="4"/>
          </w:tcPr>
          <w:p w:rsidR="002A70B2" w:rsidRPr="0007321E" w:rsidRDefault="002A70B2" w:rsidP="002A70B2">
            <w:pPr>
              <w:rPr>
                <w:sz w:val="20"/>
                <w:szCs w:val="20"/>
                <w:lang w:val="mk-MK"/>
              </w:rPr>
            </w:pPr>
            <w:r>
              <w:rPr>
                <w:sz w:val="20"/>
                <w:szCs w:val="20"/>
                <w:lang w:val="mk-MK"/>
              </w:rPr>
              <w:t>2016</w:t>
            </w:r>
          </w:p>
          <w:p w:rsidR="002A70B2" w:rsidRPr="00FE227B" w:rsidRDefault="002A70B2" w:rsidP="002A70B2">
            <w:pPr>
              <w:rPr>
                <w:sz w:val="20"/>
                <w:szCs w:val="20"/>
                <w:lang w:val="mk-MK"/>
              </w:rPr>
            </w:pPr>
          </w:p>
        </w:tc>
      </w:tr>
      <w:tr w:rsidR="002A70B2" w:rsidTr="00EF52B6">
        <w:tc>
          <w:tcPr>
            <w:tcW w:w="3674" w:type="dxa"/>
            <w:gridSpan w:val="3"/>
          </w:tcPr>
          <w:p w:rsidR="002A70B2" w:rsidRPr="00381F72" w:rsidRDefault="002A70B2" w:rsidP="002A70B2">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7036" w:type="dxa"/>
            <w:gridSpan w:val="4"/>
          </w:tcPr>
          <w:p w:rsidR="002A70B2" w:rsidRPr="00FB4F78" w:rsidRDefault="002A70B2" w:rsidP="002A70B2">
            <w:pPr>
              <w:rPr>
                <w:sz w:val="20"/>
                <w:szCs w:val="20"/>
              </w:rPr>
            </w:pPr>
            <w:r>
              <w:rPr>
                <w:sz w:val="20"/>
                <w:szCs w:val="20"/>
                <w:lang w:val="mk-MK"/>
              </w:rPr>
              <w:t>Министертсвото за информатичко општество и администрација активно соработува со сите органи и институции во изготвувањето на поединечните каталози за секоја институција. Планирано е воведување на дополнителна поделба и групација на податочните сетови објавени (или планирани за објава) на порталот за отворени податоци на база на видот на податокот како и индустријата која ја засега. Ова е предвидено со следната надградба на порталот за отворени податоци.</w:t>
            </w:r>
          </w:p>
          <w:p w:rsidR="002A70B2" w:rsidRPr="00FE227B" w:rsidRDefault="002A70B2" w:rsidP="002A70B2">
            <w:pPr>
              <w:jc w:val="both"/>
              <w:rPr>
                <w:sz w:val="20"/>
                <w:szCs w:val="20"/>
                <w:lang w:val="mk-MK"/>
              </w:rPr>
            </w:pPr>
          </w:p>
        </w:tc>
      </w:tr>
      <w:tr w:rsidR="002A70B2" w:rsidTr="005909F7">
        <w:tc>
          <w:tcPr>
            <w:tcW w:w="10710" w:type="dxa"/>
            <w:gridSpan w:val="7"/>
          </w:tcPr>
          <w:p w:rsidR="002A70B2" w:rsidRDefault="002A70B2" w:rsidP="002A70B2">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r w:rsidR="002A70B2" w:rsidTr="00EF52B6">
        <w:trPr>
          <w:trHeight w:val="435"/>
        </w:trPr>
        <w:tc>
          <w:tcPr>
            <w:tcW w:w="3674" w:type="dxa"/>
            <w:gridSpan w:val="3"/>
            <w:vMerge w:val="restart"/>
          </w:tcPr>
          <w:p w:rsidR="002A70B2" w:rsidRPr="00381F72" w:rsidRDefault="002A70B2" w:rsidP="002A70B2">
            <w:pPr>
              <w:jc w:val="both"/>
              <w:rPr>
                <w:color w:val="878786"/>
                <w:spacing w:val="-6"/>
                <w:w w:val="124"/>
                <w:sz w:val="18"/>
                <w:szCs w:val="18"/>
                <w:lang w:val="mk-MK"/>
              </w:rPr>
            </w:pPr>
          </w:p>
          <w:p w:rsidR="002A70B2" w:rsidRPr="00381F72" w:rsidRDefault="002A70B2" w:rsidP="002A70B2">
            <w:pPr>
              <w:jc w:val="both"/>
              <w:rPr>
                <w:color w:val="878786"/>
                <w:spacing w:val="-6"/>
                <w:w w:val="124"/>
                <w:sz w:val="18"/>
                <w:szCs w:val="18"/>
                <w:lang w:val="mk-MK"/>
              </w:rPr>
            </w:pPr>
            <w:r w:rsidRPr="00381F72">
              <w:rPr>
                <w:color w:val="878786"/>
                <w:spacing w:val="-6"/>
                <w:w w:val="124"/>
                <w:sz w:val="18"/>
                <w:szCs w:val="18"/>
                <w:lang w:val="mk-MK"/>
              </w:rPr>
              <w:t>Ниво на проект</w:t>
            </w:r>
          </w:p>
          <w:p w:rsidR="002A70B2" w:rsidRPr="00381F72" w:rsidRDefault="002A70B2" w:rsidP="002A70B2">
            <w:pPr>
              <w:jc w:val="both"/>
              <w:rPr>
                <w:color w:val="878786"/>
                <w:spacing w:val="-6"/>
                <w:w w:val="124"/>
                <w:sz w:val="18"/>
                <w:szCs w:val="18"/>
                <w:lang w:val="mk-MK"/>
              </w:rPr>
            </w:pPr>
          </w:p>
        </w:tc>
        <w:tc>
          <w:tcPr>
            <w:tcW w:w="1894" w:type="dxa"/>
          </w:tcPr>
          <w:p w:rsidR="002A70B2" w:rsidRPr="00381F72" w:rsidRDefault="002A70B2" w:rsidP="002A70B2">
            <w:pPr>
              <w:jc w:val="both"/>
              <w:rPr>
                <w:color w:val="878786"/>
                <w:spacing w:val="-6"/>
                <w:w w:val="124"/>
                <w:sz w:val="18"/>
                <w:szCs w:val="18"/>
                <w:lang w:val="mk-MK"/>
              </w:rPr>
            </w:pPr>
            <w:r>
              <w:rPr>
                <w:color w:val="878786"/>
                <w:spacing w:val="-6"/>
                <w:w w:val="124"/>
                <w:sz w:val="18"/>
                <w:szCs w:val="18"/>
                <w:lang w:val="mk-MK"/>
              </w:rPr>
              <w:t>незапочнато</w:t>
            </w:r>
          </w:p>
        </w:tc>
        <w:tc>
          <w:tcPr>
            <w:tcW w:w="1793" w:type="dxa"/>
          </w:tcPr>
          <w:p w:rsidR="002A70B2" w:rsidRPr="00381F72" w:rsidRDefault="002A70B2" w:rsidP="002A70B2">
            <w:pPr>
              <w:jc w:val="both"/>
              <w:rPr>
                <w:color w:val="878786"/>
                <w:spacing w:val="-6"/>
                <w:w w:val="124"/>
                <w:sz w:val="18"/>
                <w:szCs w:val="18"/>
                <w:lang w:val="mk-MK"/>
              </w:rPr>
            </w:pPr>
            <w:r>
              <w:rPr>
                <w:color w:val="878786"/>
                <w:spacing w:val="-6"/>
                <w:w w:val="124"/>
                <w:sz w:val="18"/>
                <w:szCs w:val="18"/>
                <w:lang w:val="mk-MK"/>
              </w:rPr>
              <w:t>ограничено</w:t>
            </w:r>
          </w:p>
        </w:tc>
        <w:tc>
          <w:tcPr>
            <w:tcW w:w="1760" w:type="dxa"/>
          </w:tcPr>
          <w:p w:rsidR="002A70B2" w:rsidRPr="00381F72" w:rsidRDefault="002A70B2" w:rsidP="002A70B2">
            <w:pPr>
              <w:jc w:val="both"/>
              <w:rPr>
                <w:color w:val="878786"/>
                <w:spacing w:val="-6"/>
                <w:w w:val="124"/>
                <w:sz w:val="18"/>
                <w:szCs w:val="18"/>
                <w:lang w:val="mk-MK"/>
              </w:rPr>
            </w:pPr>
            <w:r>
              <w:rPr>
                <w:color w:val="878786"/>
                <w:spacing w:val="-6"/>
                <w:w w:val="124"/>
                <w:sz w:val="18"/>
                <w:szCs w:val="18"/>
                <w:lang w:val="mk-MK"/>
              </w:rPr>
              <w:t>значително</w:t>
            </w:r>
          </w:p>
        </w:tc>
        <w:tc>
          <w:tcPr>
            <w:tcW w:w="1589" w:type="dxa"/>
          </w:tcPr>
          <w:p w:rsidR="002A70B2" w:rsidRPr="00381F72" w:rsidRDefault="002A70B2" w:rsidP="002A70B2">
            <w:pPr>
              <w:jc w:val="both"/>
              <w:rPr>
                <w:color w:val="878786"/>
                <w:spacing w:val="-6"/>
                <w:w w:val="124"/>
                <w:sz w:val="18"/>
                <w:szCs w:val="18"/>
                <w:lang w:val="mk-MK"/>
              </w:rPr>
            </w:pPr>
            <w:r>
              <w:rPr>
                <w:color w:val="878786"/>
                <w:spacing w:val="-6"/>
                <w:w w:val="124"/>
                <w:sz w:val="18"/>
                <w:szCs w:val="18"/>
                <w:lang w:val="mk-MK"/>
              </w:rPr>
              <w:t>завршено</w:t>
            </w:r>
          </w:p>
        </w:tc>
      </w:tr>
      <w:tr w:rsidR="002A70B2" w:rsidTr="00EF52B6">
        <w:trPr>
          <w:trHeight w:val="367"/>
        </w:trPr>
        <w:tc>
          <w:tcPr>
            <w:tcW w:w="3674" w:type="dxa"/>
            <w:gridSpan w:val="3"/>
            <w:vMerge/>
          </w:tcPr>
          <w:p w:rsidR="002A70B2" w:rsidRPr="00381F72" w:rsidRDefault="002A70B2" w:rsidP="002A70B2">
            <w:pPr>
              <w:jc w:val="both"/>
              <w:rPr>
                <w:color w:val="878786"/>
                <w:spacing w:val="-6"/>
                <w:w w:val="124"/>
                <w:sz w:val="18"/>
                <w:szCs w:val="18"/>
                <w:lang w:val="mk-MK"/>
              </w:rPr>
            </w:pPr>
          </w:p>
        </w:tc>
        <w:tc>
          <w:tcPr>
            <w:tcW w:w="1894" w:type="dxa"/>
          </w:tcPr>
          <w:p w:rsidR="002A70B2" w:rsidRPr="00381F72" w:rsidRDefault="002A70B2" w:rsidP="002A70B2">
            <w:pPr>
              <w:jc w:val="both"/>
              <w:rPr>
                <w:color w:val="878786"/>
                <w:spacing w:val="-6"/>
                <w:w w:val="124"/>
                <w:sz w:val="18"/>
                <w:szCs w:val="18"/>
                <w:lang w:val="mk-MK"/>
              </w:rPr>
            </w:pPr>
          </w:p>
        </w:tc>
        <w:tc>
          <w:tcPr>
            <w:tcW w:w="1793" w:type="dxa"/>
            <w:shd w:val="clear" w:color="auto" w:fill="FFFFFF" w:themeFill="background1"/>
          </w:tcPr>
          <w:p w:rsidR="002A70B2" w:rsidRPr="00381F72" w:rsidRDefault="002A70B2" w:rsidP="002A70B2">
            <w:pPr>
              <w:jc w:val="both"/>
              <w:rPr>
                <w:color w:val="878786"/>
                <w:spacing w:val="-6"/>
                <w:w w:val="124"/>
                <w:sz w:val="18"/>
                <w:szCs w:val="18"/>
                <w:lang w:val="mk-MK"/>
              </w:rPr>
            </w:pPr>
          </w:p>
        </w:tc>
        <w:tc>
          <w:tcPr>
            <w:tcW w:w="1760" w:type="dxa"/>
          </w:tcPr>
          <w:p w:rsidR="002A70B2" w:rsidRPr="00381F72" w:rsidRDefault="002A70B2" w:rsidP="002A70B2">
            <w:pPr>
              <w:jc w:val="both"/>
              <w:rPr>
                <w:color w:val="878786"/>
                <w:spacing w:val="-6"/>
                <w:w w:val="124"/>
                <w:sz w:val="18"/>
                <w:szCs w:val="18"/>
                <w:lang w:val="mk-MK"/>
              </w:rPr>
            </w:pPr>
          </w:p>
        </w:tc>
        <w:tc>
          <w:tcPr>
            <w:tcW w:w="1589" w:type="dxa"/>
            <w:shd w:val="clear" w:color="auto" w:fill="548DD4" w:themeFill="text2" w:themeFillTint="99"/>
          </w:tcPr>
          <w:p w:rsidR="002A70B2" w:rsidRPr="00381F72" w:rsidRDefault="002A70B2" w:rsidP="002A70B2">
            <w:pPr>
              <w:jc w:val="both"/>
              <w:rPr>
                <w:color w:val="878786"/>
                <w:spacing w:val="-6"/>
                <w:w w:val="124"/>
                <w:sz w:val="18"/>
                <w:szCs w:val="18"/>
                <w:lang w:val="mk-MK"/>
              </w:rPr>
            </w:pPr>
          </w:p>
        </w:tc>
      </w:tr>
      <w:tr w:rsidR="002A70B2" w:rsidTr="00EF52B6">
        <w:tc>
          <w:tcPr>
            <w:tcW w:w="3674" w:type="dxa"/>
            <w:gridSpan w:val="3"/>
          </w:tcPr>
          <w:p w:rsidR="002A70B2" w:rsidRPr="00381F72" w:rsidRDefault="002A70B2" w:rsidP="002A70B2">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2A70B2" w:rsidRPr="00381F72" w:rsidRDefault="002A70B2" w:rsidP="002A70B2">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7036" w:type="dxa"/>
            <w:gridSpan w:val="4"/>
          </w:tcPr>
          <w:p w:rsidR="002A70B2" w:rsidRPr="009E1228" w:rsidRDefault="002A70B2" w:rsidP="002A70B2">
            <w:pPr>
              <w:shd w:val="clear" w:color="auto" w:fill="FFFFFF"/>
              <w:jc w:val="both"/>
              <w:rPr>
                <w:b/>
                <w:sz w:val="20"/>
                <w:szCs w:val="20"/>
              </w:rPr>
            </w:pPr>
            <w:r>
              <w:rPr>
                <w:b/>
                <w:sz w:val="20"/>
                <w:szCs w:val="20"/>
                <w:lang w:val="mk-MK"/>
              </w:rPr>
              <w:t>Мерка 4.</w:t>
            </w:r>
            <w:r w:rsidRPr="009E1228">
              <w:rPr>
                <w:b/>
                <w:sz w:val="20"/>
                <w:szCs w:val="20"/>
                <w:lang w:val="mk-MK"/>
              </w:rPr>
              <w:t>Воспоставување на датабаза за контакт лица во органите и институциите од јавниот сектор каде се определува лице задолжено за  техничко прилагодување и објавување  на податоците за нивно користење, нивно објавување на веб страната на органот и за обврските за ажурност на каталогот на податоци на www.otvorenipodatoci.gov.mk</w:t>
            </w:r>
          </w:p>
          <w:p w:rsidR="002A70B2" w:rsidRPr="006F3A86" w:rsidRDefault="002A70B2" w:rsidP="002A70B2">
            <w:pPr>
              <w:shd w:val="clear" w:color="auto" w:fill="FFFFFF"/>
              <w:rPr>
                <w:sz w:val="20"/>
                <w:szCs w:val="20"/>
                <w:lang w:val="mk-MK"/>
              </w:rPr>
            </w:pPr>
            <w:r>
              <w:rPr>
                <w:sz w:val="20"/>
                <w:szCs w:val="20"/>
                <w:lang w:val="mk-MK"/>
              </w:rPr>
              <w:t>Како дел од проектот за надградба и модернизација на владиниот портал за отворени податоци (</w:t>
            </w:r>
            <w:hyperlink r:id="rId19" w:history="1">
              <w:r w:rsidRPr="00A90AF2">
                <w:rPr>
                  <w:rStyle w:val="Hyperlink"/>
                  <w:sz w:val="20"/>
                  <w:szCs w:val="20"/>
                </w:rPr>
                <w:t>www.otvorenipodatoci.gov.mk</w:t>
              </w:r>
            </w:hyperlink>
            <w:r>
              <w:rPr>
                <w:sz w:val="20"/>
                <w:szCs w:val="20"/>
              </w:rPr>
              <w:t xml:space="preserve">) </w:t>
            </w:r>
            <w:r>
              <w:rPr>
                <w:sz w:val="20"/>
                <w:szCs w:val="20"/>
                <w:lang w:val="mk-MK"/>
              </w:rPr>
              <w:t>формирана е работна група со претставници од 11 институции. Со тоа е формирана и првата датабаза за контакт лица во органите и институциите од јавниот сектор за потребите на проектот оворени податоци. Оваа листа се прошируваше со секоја нова институција која се приклучуваше кон проектот како и институциите кои земаа активно учество во обуките за Законот и Правилникот за отворени податоци. Во моменот датабазата за контакт лица за отворени податоци во органите и институциите од јавниот сектор ги содржи сите активни учесници во процесот на идентификација на податочни сетови и нивно објавување.</w:t>
            </w:r>
          </w:p>
        </w:tc>
      </w:tr>
      <w:tr w:rsidR="002A70B2" w:rsidTr="00EF52B6">
        <w:tc>
          <w:tcPr>
            <w:tcW w:w="3674" w:type="dxa"/>
            <w:gridSpan w:val="3"/>
          </w:tcPr>
          <w:p w:rsidR="002A70B2" w:rsidRPr="00381F72" w:rsidRDefault="002A70B2" w:rsidP="002A70B2">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7036" w:type="dxa"/>
            <w:gridSpan w:val="4"/>
          </w:tcPr>
          <w:p w:rsidR="002A70B2" w:rsidRPr="00FB4F78" w:rsidRDefault="002A70B2" w:rsidP="002A70B2">
            <w:pPr>
              <w:rPr>
                <w:sz w:val="20"/>
                <w:szCs w:val="20"/>
                <w:lang w:val="mk-MK"/>
              </w:rPr>
            </w:pPr>
            <w:r>
              <w:rPr>
                <w:sz w:val="20"/>
                <w:szCs w:val="20"/>
                <w:lang w:val="mk-MK"/>
              </w:rPr>
              <w:t>Јули 2015</w:t>
            </w:r>
          </w:p>
        </w:tc>
      </w:tr>
      <w:tr w:rsidR="002A70B2" w:rsidTr="00EF52B6">
        <w:tc>
          <w:tcPr>
            <w:tcW w:w="3674" w:type="dxa"/>
            <w:gridSpan w:val="3"/>
          </w:tcPr>
          <w:p w:rsidR="002A70B2" w:rsidRPr="00381F72" w:rsidRDefault="002A70B2" w:rsidP="002A70B2">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7036" w:type="dxa"/>
            <w:gridSpan w:val="4"/>
          </w:tcPr>
          <w:p w:rsidR="002A70B2" w:rsidRPr="00FB4F78" w:rsidRDefault="002A70B2" w:rsidP="002A70B2">
            <w:pPr>
              <w:rPr>
                <w:sz w:val="20"/>
                <w:szCs w:val="20"/>
                <w:lang w:val="mk-MK"/>
              </w:rPr>
            </w:pPr>
            <w:r>
              <w:rPr>
                <w:sz w:val="20"/>
                <w:szCs w:val="20"/>
                <w:lang w:val="mk-MK"/>
              </w:rPr>
              <w:t>/</w:t>
            </w:r>
          </w:p>
        </w:tc>
      </w:tr>
      <w:tr w:rsidR="002A70B2" w:rsidTr="005909F7">
        <w:tc>
          <w:tcPr>
            <w:tcW w:w="10710" w:type="dxa"/>
            <w:gridSpan w:val="7"/>
          </w:tcPr>
          <w:p w:rsidR="002A70B2" w:rsidRDefault="002A70B2" w:rsidP="002A70B2">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r w:rsidR="002A70B2" w:rsidTr="00EF52B6">
        <w:trPr>
          <w:trHeight w:val="435"/>
        </w:trPr>
        <w:tc>
          <w:tcPr>
            <w:tcW w:w="3674" w:type="dxa"/>
            <w:gridSpan w:val="3"/>
            <w:vMerge w:val="restart"/>
          </w:tcPr>
          <w:p w:rsidR="002A70B2" w:rsidRPr="00381F72" w:rsidRDefault="002A70B2" w:rsidP="002A70B2">
            <w:pPr>
              <w:jc w:val="both"/>
              <w:rPr>
                <w:color w:val="878786"/>
                <w:spacing w:val="-6"/>
                <w:w w:val="124"/>
                <w:sz w:val="18"/>
                <w:szCs w:val="18"/>
                <w:lang w:val="mk-MK"/>
              </w:rPr>
            </w:pPr>
          </w:p>
          <w:p w:rsidR="002A70B2" w:rsidRPr="00381F72" w:rsidRDefault="002A70B2" w:rsidP="002A70B2">
            <w:pPr>
              <w:jc w:val="both"/>
              <w:rPr>
                <w:color w:val="878786"/>
                <w:spacing w:val="-6"/>
                <w:w w:val="124"/>
                <w:sz w:val="18"/>
                <w:szCs w:val="18"/>
                <w:lang w:val="mk-MK"/>
              </w:rPr>
            </w:pPr>
            <w:r w:rsidRPr="00381F72">
              <w:rPr>
                <w:color w:val="878786"/>
                <w:spacing w:val="-6"/>
                <w:w w:val="124"/>
                <w:sz w:val="18"/>
                <w:szCs w:val="18"/>
                <w:lang w:val="mk-MK"/>
              </w:rPr>
              <w:t>Ниво на проект</w:t>
            </w:r>
          </w:p>
          <w:p w:rsidR="002A70B2" w:rsidRPr="00381F72" w:rsidRDefault="002A70B2" w:rsidP="002A70B2">
            <w:pPr>
              <w:jc w:val="both"/>
              <w:rPr>
                <w:color w:val="878786"/>
                <w:spacing w:val="-6"/>
                <w:w w:val="124"/>
                <w:sz w:val="18"/>
                <w:szCs w:val="18"/>
                <w:lang w:val="mk-MK"/>
              </w:rPr>
            </w:pPr>
          </w:p>
        </w:tc>
        <w:tc>
          <w:tcPr>
            <w:tcW w:w="1894" w:type="dxa"/>
          </w:tcPr>
          <w:p w:rsidR="002A70B2" w:rsidRPr="00381F72" w:rsidRDefault="002A70B2" w:rsidP="002A70B2">
            <w:pPr>
              <w:jc w:val="both"/>
              <w:rPr>
                <w:color w:val="878786"/>
                <w:spacing w:val="-6"/>
                <w:w w:val="124"/>
                <w:sz w:val="18"/>
                <w:szCs w:val="18"/>
                <w:lang w:val="mk-MK"/>
              </w:rPr>
            </w:pPr>
            <w:r>
              <w:rPr>
                <w:color w:val="878786"/>
                <w:spacing w:val="-6"/>
                <w:w w:val="124"/>
                <w:sz w:val="18"/>
                <w:szCs w:val="18"/>
                <w:lang w:val="mk-MK"/>
              </w:rPr>
              <w:t>незапочнато</w:t>
            </w:r>
          </w:p>
        </w:tc>
        <w:tc>
          <w:tcPr>
            <w:tcW w:w="1793" w:type="dxa"/>
          </w:tcPr>
          <w:p w:rsidR="002A70B2" w:rsidRPr="00381F72" w:rsidRDefault="002A70B2" w:rsidP="002A70B2">
            <w:pPr>
              <w:jc w:val="both"/>
              <w:rPr>
                <w:color w:val="878786"/>
                <w:spacing w:val="-6"/>
                <w:w w:val="124"/>
                <w:sz w:val="18"/>
                <w:szCs w:val="18"/>
                <w:lang w:val="mk-MK"/>
              </w:rPr>
            </w:pPr>
            <w:r>
              <w:rPr>
                <w:color w:val="878786"/>
                <w:spacing w:val="-6"/>
                <w:w w:val="124"/>
                <w:sz w:val="18"/>
                <w:szCs w:val="18"/>
                <w:lang w:val="mk-MK"/>
              </w:rPr>
              <w:t>ограничено</w:t>
            </w:r>
          </w:p>
        </w:tc>
        <w:tc>
          <w:tcPr>
            <w:tcW w:w="1760" w:type="dxa"/>
          </w:tcPr>
          <w:p w:rsidR="002A70B2" w:rsidRPr="00381F72" w:rsidRDefault="002A70B2" w:rsidP="002A70B2">
            <w:pPr>
              <w:jc w:val="both"/>
              <w:rPr>
                <w:color w:val="878786"/>
                <w:spacing w:val="-6"/>
                <w:w w:val="124"/>
                <w:sz w:val="18"/>
                <w:szCs w:val="18"/>
                <w:lang w:val="mk-MK"/>
              </w:rPr>
            </w:pPr>
            <w:r>
              <w:rPr>
                <w:color w:val="878786"/>
                <w:spacing w:val="-6"/>
                <w:w w:val="124"/>
                <w:sz w:val="18"/>
                <w:szCs w:val="18"/>
                <w:lang w:val="mk-MK"/>
              </w:rPr>
              <w:t>значително</w:t>
            </w:r>
          </w:p>
        </w:tc>
        <w:tc>
          <w:tcPr>
            <w:tcW w:w="1589" w:type="dxa"/>
          </w:tcPr>
          <w:p w:rsidR="002A70B2" w:rsidRPr="00381F72" w:rsidRDefault="002A70B2" w:rsidP="002A70B2">
            <w:pPr>
              <w:jc w:val="both"/>
              <w:rPr>
                <w:color w:val="878786"/>
                <w:spacing w:val="-6"/>
                <w:w w:val="124"/>
                <w:sz w:val="18"/>
                <w:szCs w:val="18"/>
                <w:lang w:val="mk-MK"/>
              </w:rPr>
            </w:pPr>
            <w:r>
              <w:rPr>
                <w:color w:val="878786"/>
                <w:spacing w:val="-6"/>
                <w:w w:val="124"/>
                <w:sz w:val="18"/>
                <w:szCs w:val="18"/>
                <w:lang w:val="mk-MK"/>
              </w:rPr>
              <w:t>завршено</w:t>
            </w:r>
          </w:p>
        </w:tc>
      </w:tr>
      <w:tr w:rsidR="002A70B2" w:rsidTr="00EF52B6">
        <w:trPr>
          <w:trHeight w:val="367"/>
        </w:trPr>
        <w:tc>
          <w:tcPr>
            <w:tcW w:w="3674" w:type="dxa"/>
            <w:gridSpan w:val="3"/>
            <w:vMerge/>
          </w:tcPr>
          <w:p w:rsidR="002A70B2" w:rsidRPr="00381F72" w:rsidRDefault="002A70B2" w:rsidP="002A70B2">
            <w:pPr>
              <w:jc w:val="both"/>
              <w:rPr>
                <w:color w:val="878786"/>
                <w:spacing w:val="-6"/>
                <w:w w:val="124"/>
                <w:sz w:val="18"/>
                <w:szCs w:val="18"/>
                <w:lang w:val="mk-MK"/>
              </w:rPr>
            </w:pPr>
          </w:p>
        </w:tc>
        <w:tc>
          <w:tcPr>
            <w:tcW w:w="1894" w:type="dxa"/>
          </w:tcPr>
          <w:p w:rsidR="002A70B2" w:rsidRPr="00381F72" w:rsidRDefault="002A70B2" w:rsidP="002A70B2">
            <w:pPr>
              <w:jc w:val="both"/>
              <w:rPr>
                <w:color w:val="878786"/>
                <w:spacing w:val="-6"/>
                <w:w w:val="124"/>
                <w:sz w:val="18"/>
                <w:szCs w:val="18"/>
                <w:lang w:val="mk-MK"/>
              </w:rPr>
            </w:pPr>
          </w:p>
        </w:tc>
        <w:tc>
          <w:tcPr>
            <w:tcW w:w="1793" w:type="dxa"/>
            <w:shd w:val="clear" w:color="auto" w:fill="FFFFFF" w:themeFill="background1"/>
          </w:tcPr>
          <w:p w:rsidR="002A70B2" w:rsidRPr="00381F72" w:rsidRDefault="002A70B2" w:rsidP="002A70B2">
            <w:pPr>
              <w:jc w:val="both"/>
              <w:rPr>
                <w:color w:val="878786"/>
                <w:spacing w:val="-6"/>
                <w:w w:val="124"/>
                <w:sz w:val="18"/>
                <w:szCs w:val="18"/>
                <w:lang w:val="mk-MK"/>
              </w:rPr>
            </w:pPr>
          </w:p>
        </w:tc>
        <w:tc>
          <w:tcPr>
            <w:tcW w:w="1760" w:type="dxa"/>
          </w:tcPr>
          <w:p w:rsidR="002A70B2" w:rsidRPr="00381F72" w:rsidRDefault="002A70B2" w:rsidP="002A70B2">
            <w:pPr>
              <w:jc w:val="both"/>
              <w:rPr>
                <w:color w:val="878786"/>
                <w:spacing w:val="-6"/>
                <w:w w:val="124"/>
                <w:sz w:val="18"/>
                <w:szCs w:val="18"/>
                <w:lang w:val="mk-MK"/>
              </w:rPr>
            </w:pPr>
          </w:p>
        </w:tc>
        <w:tc>
          <w:tcPr>
            <w:tcW w:w="1589" w:type="dxa"/>
            <w:shd w:val="clear" w:color="auto" w:fill="548DD4" w:themeFill="text2" w:themeFillTint="99"/>
          </w:tcPr>
          <w:p w:rsidR="002A70B2" w:rsidRPr="00381F72" w:rsidRDefault="002A70B2" w:rsidP="002A70B2">
            <w:pPr>
              <w:jc w:val="both"/>
              <w:rPr>
                <w:color w:val="878786"/>
                <w:spacing w:val="-6"/>
                <w:w w:val="124"/>
                <w:sz w:val="18"/>
                <w:szCs w:val="18"/>
                <w:lang w:val="mk-MK"/>
              </w:rPr>
            </w:pPr>
          </w:p>
        </w:tc>
      </w:tr>
      <w:tr w:rsidR="00DB16A5" w:rsidTr="00EF52B6">
        <w:tc>
          <w:tcPr>
            <w:tcW w:w="3674" w:type="dxa"/>
            <w:gridSpan w:val="3"/>
          </w:tcPr>
          <w:p w:rsidR="00DB16A5" w:rsidRPr="00381F72" w:rsidRDefault="00DB16A5" w:rsidP="00DB16A5">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DB16A5" w:rsidRPr="00381F72" w:rsidRDefault="00DB16A5" w:rsidP="00DB16A5">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7036" w:type="dxa"/>
            <w:gridSpan w:val="4"/>
          </w:tcPr>
          <w:p w:rsidR="00DB16A5" w:rsidRPr="00FE227B" w:rsidRDefault="00DB16A5" w:rsidP="00DB16A5">
            <w:pPr>
              <w:rPr>
                <w:b/>
                <w:sz w:val="20"/>
                <w:szCs w:val="20"/>
                <w:lang w:val="mk-MK"/>
              </w:rPr>
            </w:pPr>
            <w:r w:rsidRPr="00FE227B">
              <w:rPr>
                <w:b/>
                <w:sz w:val="20"/>
                <w:szCs w:val="20"/>
              </w:rPr>
              <w:t xml:space="preserve">Мерка  </w:t>
            </w:r>
            <w:r w:rsidRPr="00FE227B">
              <w:rPr>
                <w:b/>
                <w:sz w:val="20"/>
                <w:szCs w:val="20"/>
                <w:lang w:val="mk-MK"/>
              </w:rPr>
              <w:t>5.</w:t>
            </w:r>
            <w:r w:rsidRPr="00E444E1">
              <w:rPr>
                <w:b/>
                <w:sz w:val="20"/>
                <w:szCs w:val="20"/>
                <w:lang w:val="mk-MK"/>
              </w:rPr>
              <w:t>Воспоставување можност за доставување барање од заинтересирани страни за нови податочни сетови за користење</w:t>
            </w:r>
          </w:p>
          <w:p w:rsidR="00DB16A5" w:rsidRDefault="00DB16A5" w:rsidP="00CE2A38">
            <w:pPr>
              <w:jc w:val="both"/>
              <w:rPr>
                <w:sz w:val="20"/>
                <w:szCs w:val="20"/>
                <w:lang w:val="mk-MK"/>
              </w:rPr>
            </w:pPr>
            <w:r>
              <w:rPr>
                <w:sz w:val="20"/>
                <w:szCs w:val="20"/>
                <w:lang w:val="mk-MK"/>
              </w:rPr>
              <w:t>Постојат повеќе канали за доставување на барања од заинтересирани страни за нови податочни сетови за користење. Најдиректен начин е преку порталот за отворени податоци, т.е. преку формуларот за поднесување на барање за нов податочен сет (</w:t>
            </w:r>
            <w:hyperlink r:id="rId20" w:history="1">
              <w:r w:rsidRPr="00A90AF2">
                <w:rPr>
                  <w:rStyle w:val="Hyperlink"/>
                  <w:sz w:val="20"/>
                  <w:szCs w:val="20"/>
                  <w:lang w:val="mk-MK"/>
                </w:rPr>
                <w:t>http://www.otvorenipodatoci.gov.mk/Templates/Pages/NewCatalogPage.aspx?page=37</w:t>
              </w:r>
            </w:hyperlink>
            <w:r>
              <w:rPr>
                <w:sz w:val="20"/>
                <w:szCs w:val="20"/>
                <w:lang w:val="mk-MK"/>
              </w:rPr>
              <w:t>). Тука барателот треба да ги наведе своите контакт информации (за физички и правни лица) како и краток опис на податокот кој го бара и институцијата која барателот очекува да ги има бараните податоци. Во формуларот барателот треба да наведе и краток опис на целта за која ги бара податоците (комерцијална или некомерцијална) како и краток опис на б</w:t>
            </w:r>
            <w:r w:rsidRPr="006F3A86">
              <w:rPr>
                <w:sz w:val="20"/>
                <w:szCs w:val="20"/>
              </w:rPr>
              <w:t>изнис модел, апликација, веб сервис или друга содржина која треба да произлезе со користењето на отворените податоци</w:t>
            </w:r>
            <w:r>
              <w:rPr>
                <w:sz w:val="20"/>
                <w:szCs w:val="20"/>
                <w:lang w:val="mk-MK"/>
              </w:rPr>
              <w:t>. Овие барања во никој случај не се ограничувачки за барателот туку служат само за интерна приоритизација за процесирање на барањата (предност се дава на барањата од кои моѓе да произлезе нова апликација или било каква нова содржина).</w:t>
            </w:r>
          </w:p>
          <w:p w:rsidR="00DB16A5" w:rsidRPr="006F3A86" w:rsidRDefault="00DB16A5" w:rsidP="00CE2A38">
            <w:pPr>
              <w:jc w:val="both"/>
              <w:rPr>
                <w:sz w:val="20"/>
                <w:szCs w:val="20"/>
                <w:lang w:val="mk-MK"/>
              </w:rPr>
            </w:pPr>
            <w:r>
              <w:rPr>
                <w:sz w:val="20"/>
                <w:szCs w:val="20"/>
                <w:lang w:val="mk-MK"/>
              </w:rPr>
              <w:t>Друг начин за доставување на барање за отварање на податоци е барателот директно да се обрати до МИОА или до институцијата која ги има податоците. Процедурата е слична со горе-наведената со тоа што во овој случај барањата се процесираат малку побавно.</w:t>
            </w:r>
          </w:p>
        </w:tc>
      </w:tr>
      <w:tr w:rsidR="00DB16A5" w:rsidTr="00EF52B6">
        <w:tc>
          <w:tcPr>
            <w:tcW w:w="3674" w:type="dxa"/>
            <w:gridSpan w:val="3"/>
          </w:tcPr>
          <w:p w:rsidR="00DB16A5" w:rsidRPr="00381F72" w:rsidRDefault="00DB16A5" w:rsidP="00DB16A5">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7036" w:type="dxa"/>
            <w:gridSpan w:val="4"/>
          </w:tcPr>
          <w:p w:rsidR="00DB16A5" w:rsidRPr="006F3A86" w:rsidRDefault="00DB16A5" w:rsidP="00DB16A5">
            <w:pPr>
              <w:rPr>
                <w:sz w:val="20"/>
                <w:szCs w:val="20"/>
                <w:lang w:val="mk-MK"/>
              </w:rPr>
            </w:pPr>
            <w:r>
              <w:rPr>
                <w:sz w:val="20"/>
                <w:szCs w:val="20"/>
                <w:lang w:val="mk-MK"/>
              </w:rPr>
              <w:t>Јули 2014</w:t>
            </w:r>
          </w:p>
        </w:tc>
      </w:tr>
      <w:tr w:rsidR="00DB16A5" w:rsidTr="00EF52B6">
        <w:tc>
          <w:tcPr>
            <w:tcW w:w="3674" w:type="dxa"/>
            <w:gridSpan w:val="3"/>
          </w:tcPr>
          <w:p w:rsidR="00DB16A5" w:rsidRPr="00381F72" w:rsidRDefault="00DB16A5" w:rsidP="00DB16A5">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7036" w:type="dxa"/>
            <w:gridSpan w:val="4"/>
          </w:tcPr>
          <w:p w:rsidR="00DB16A5" w:rsidRDefault="00CE2A38" w:rsidP="00DB16A5">
            <w:pPr>
              <w:jc w:val="both"/>
              <w:rPr>
                <w:b/>
                <w:lang w:val="mk-MK"/>
              </w:rPr>
            </w:pPr>
            <w:r>
              <w:rPr>
                <w:b/>
                <w:lang w:val="mk-MK"/>
              </w:rPr>
              <w:t>/</w:t>
            </w:r>
          </w:p>
        </w:tc>
      </w:tr>
      <w:tr w:rsidR="00DB16A5" w:rsidTr="005909F7">
        <w:tc>
          <w:tcPr>
            <w:tcW w:w="10710" w:type="dxa"/>
            <w:gridSpan w:val="7"/>
          </w:tcPr>
          <w:p w:rsidR="00DB16A5" w:rsidRDefault="00DB16A5" w:rsidP="00DB16A5">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r w:rsidR="00DB16A5" w:rsidTr="00EF52B6">
        <w:trPr>
          <w:trHeight w:val="435"/>
        </w:trPr>
        <w:tc>
          <w:tcPr>
            <w:tcW w:w="3674" w:type="dxa"/>
            <w:gridSpan w:val="3"/>
            <w:vMerge w:val="restart"/>
          </w:tcPr>
          <w:p w:rsidR="00DB16A5" w:rsidRPr="00381F72" w:rsidRDefault="00DB16A5" w:rsidP="00DB16A5">
            <w:pPr>
              <w:jc w:val="both"/>
              <w:rPr>
                <w:color w:val="878786"/>
                <w:spacing w:val="-6"/>
                <w:w w:val="124"/>
                <w:sz w:val="18"/>
                <w:szCs w:val="18"/>
                <w:lang w:val="mk-MK"/>
              </w:rPr>
            </w:pPr>
          </w:p>
          <w:p w:rsidR="00DB16A5" w:rsidRPr="00381F72" w:rsidRDefault="00DB16A5" w:rsidP="00DB16A5">
            <w:pPr>
              <w:jc w:val="both"/>
              <w:rPr>
                <w:color w:val="878786"/>
                <w:spacing w:val="-6"/>
                <w:w w:val="124"/>
                <w:sz w:val="18"/>
                <w:szCs w:val="18"/>
                <w:lang w:val="mk-MK"/>
              </w:rPr>
            </w:pPr>
            <w:r w:rsidRPr="00381F72">
              <w:rPr>
                <w:color w:val="878786"/>
                <w:spacing w:val="-6"/>
                <w:w w:val="124"/>
                <w:sz w:val="18"/>
                <w:szCs w:val="18"/>
                <w:lang w:val="mk-MK"/>
              </w:rPr>
              <w:lastRenderedPageBreak/>
              <w:t>Ниво на проект</w:t>
            </w:r>
          </w:p>
          <w:p w:rsidR="00DB16A5" w:rsidRPr="00381F72" w:rsidRDefault="00DB16A5" w:rsidP="00DB16A5">
            <w:pPr>
              <w:jc w:val="both"/>
              <w:rPr>
                <w:color w:val="878786"/>
                <w:spacing w:val="-6"/>
                <w:w w:val="124"/>
                <w:sz w:val="18"/>
                <w:szCs w:val="18"/>
                <w:lang w:val="mk-MK"/>
              </w:rPr>
            </w:pPr>
          </w:p>
        </w:tc>
        <w:tc>
          <w:tcPr>
            <w:tcW w:w="1894" w:type="dxa"/>
          </w:tcPr>
          <w:p w:rsidR="00DB16A5" w:rsidRPr="00381F72" w:rsidRDefault="00DB16A5" w:rsidP="00DB16A5">
            <w:pPr>
              <w:jc w:val="both"/>
              <w:rPr>
                <w:color w:val="878786"/>
                <w:spacing w:val="-6"/>
                <w:w w:val="124"/>
                <w:sz w:val="18"/>
                <w:szCs w:val="18"/>
                <w:lang w:val="mk-MK"/>
              </w:rPr>
            </w:pPr>
            <w:r>
              <w:rPr>
                <w:color w:val="878786"/>
                <w:spacing w:val="-6"/>
                <w:w w:val="124"/>
                <w:sz w:val="18"/>
                <w:szCs w:val="18"/>
                <w:lang w:val="mk-MK"/>
              </w:rPr>
              <w:lastRenderedPageBreak/>
              <w:t>незапочнато</w:t>
            </w:r>
          </w:p>
        </w:tc>
        <w:tc>
          <w:tcPr>
            <w:tcW w:w="1793" w:type="dxa"/>
          </w:tcPr>
          <w:p w:rsidR="00DB16A5" w:rsidRPr="00381F72" w:rsidRDefault="00DB16A5" w:rsidP="00DB16A5">
            <w:pPr>
              <w:jc w:val="both"/>
              <w:rPr>
                <w:color w:val="878786"/>
                <w:spacing w:val="-6"/>
                <w:w w:val="124"/>
                <w:sz w:val="18"/>
                <w:szCs w:val="18"/>
                <w:lang w:val="mk-MK"/>
              </w:rPr>
            </w:pPr>
            <w:r>
              <w:rPr>
                <w:color w:val="878786"/>
                <w:spacing w:val="-6"/>
                <w:w w:val="124"/>
                <w:sz w:val="18"/>
                <w:szCs w:val="18"/>
                <w:lang w:val="mk-MK"/>
              </w:rPr>
              <w:t>ограничено</w:t>
            </w:r>
          </w:p>
        </w:tc>
        <w:tc>
          <w:tcPr>
            <w:tcW w:w="1760" w:type="dxa"/>
          </w:tcPr>
          <w:p w:rsidR="00DB16A5" w:rsidRPr="00381F72" w:rsidRDefault="00DB16A5" w:rsidP="00DB16A5">
            <w:pPr>
              <w:jc w:val="both"/>
              <w:rPr>
                <w:color w:val="878786"/>
                <w:spacing w:val="-6"/>
                <w:w w:val="124"/>
                <w:sz w:val="18"/>
                <w:szCs w:val="18"/>
                <w:lang w:val="mk-MK"/>
              </w:rPr>
            </w:pPr>
            <w:r>
              <w:rPr>
                <w:color w:val="878786"/>
                <w:spacing w:val="-6"/>
                <w:w w:val="124"/>
                <w:sz w:val="18"/>
                <w:szCs w:val="18"/>
                <w:lang w:val="mk-MK"/>
              </w:rPr>
              <w:t>значително</w:t>
            </w:r>
          </w:p>
        </w:tc>
        <w:tc>
          <w:tcPr>
            <w:tcW w:w="1589" w:type="dxa"/>
          </w:tcPr>
          <w:p w:rsidR="00DB16A5" w:rsidRPr="00381F72" w:rsidRDefault="00DB16A5" w:rsidP="00DB16A5">
            <w:pPr>
              <w:jc w:val="both"/>
              <w:rPr>
                <w:color w:val="878786"/>
                <w:spacing w:val="-6"/>
                <w:w w:val="124"/>
                <w:sz w:val="18"/>
                <w:szCs w:val="18"/>
                <w:lang w:val="mk-MK"/>
              </w:rPr>
            </w:pPr>
            <w:r>
              <w:rPr>
                <w:color w:val="878786"/>
                <w:spacing w:val="-6"/>
                <w:w w:val="124"/>
                <w:sz w:val="18"/>
                <w:szCs w:val="18"/>
                <w:lang w:val="mk-MK"/>
              </w:rPr>
              <w:t>завршено</w:t>
            </w:r>
          </w:p>
        </w:tc>
      </w:tr>
      <w:tr w:rsidR="00DB16A5" w:rsidTr="00EF52B6">
        <w:trPr>
          <w:trHeight w:val="367"/>
        </w:trPr>
        <w:tc>
          <w:tcPr>
            <w:tcW w:w="3674" w:type="dxa"/>
            <w:gridSpan w:val="3"/>
            <w:vMerge/>
          </w:tcPr>
          <w:p w:rsidR="00DB16A5" w:rsidRPr="00381F72" w:rsidRDefault="00DB16A5" w:rsidP="00DB16A5">
            <w:pPr>
              <w:jc w:val="both"/>
              <w:rPr>
                <w:color w:val="878786"/>
                <w:spacing w:val="-6"/>
                <w:w w:val="124"/>
                <w:sz w:val="18"/>
                <w:szCs w:val="18"/>
                <w:lang w:val="mk-MK"/>
              </w:rPr>
            </w:pPr>
          </w:p>
        </w:tc>
        <w:tc>
          <w:tcPr>
            <w:tcW w:w="1894" w:type="dxa"/>
          </w:tcPr>
          <w:p w:rsidR="00DB16A5" w:rsidRPr="00381F72" w:rsidRDefault="00DB16A5" w:rsidP="00DB16A5">
            <w:pPr>
              <w:jc w:val="both"/>
              <w:rPr>
                <w:color w:val="878786"/>
                <w:spacing w:val="-6"/>
                <w:w w:val="124"/>
                <w:sz w:val="18"/>
                <w:szCs w:val="18"/>
                <w:lang w:val="mk-MK"/>
              </w:rPr>
            </w:pPr>
          </w:p>
        </w:tc>
        <w:tc>
          <w:tcPr>
            <w:tcW w:w="1793" w:type="dxa"/>
            <w:shd w:val="clear" w:color="auto" w:fill="FFFFFF" w:themeFill="background1"/>
          </w:tcPr>
          <w:p w:rsidR="00DB16A5" w:rsidRPr="00381F72" w:rsidRDefault="00DB16A5" w:rsidP="00DB16A5">
            <w:pPr>
              <w:jc w:val="both"/>
              <w:rPr>
                <w:color w:val="878786"/>
                <w:spacing w:val="-6"/>
                <w:w w:val="124"/>
                <w:sz w:val="18"/>
                <w:szCs w:val="18"/>
                <w:lang w:val="mk-MK"/>
              </w:rPr>
            </w:pPr>
          </w:p>
        </w:tc>
        <w:tc>
          <w:tcPr>
            <w:tcW w:w="1760" w:type="dxa"/>
          </w:tcPr>
          <w:p w:rsidR="00DB16A5" w:rsidRPr="00381F72" w:rsidRDefault="00DB16A5" w:rsidP="00DB16A5">
            <w:pPr>
              <w:jc w:val="both"/>
              <w:rPr>
                <w:color w:val="878786"/>
                <w:spacing w:val="-6"/>
                <w:w w:val="124"/>
                <w:sz w:val="18"/>
                <w:szCs w:val="18"/>
                <w:lang w:val="mk-MK"/>
              </w:rPr>
            </w:pPr>
          </w:p>
        </w:tc>
        <w:tc>
          <w:tcPr>
            <w:tcW w:w="1589" w:type="dxa"/>
            <w:shd w:val="clear" w:color="auto" w:fill="548DD4" w:themeFill="text2" w:themeFillTint="99"/>
          </w:tcPr>
          <w:p w:rsidR="00DB16A5" w:rsidRPr="00381F72" w:rsidRDefault="00DB16A5" w:rsidP="00DB16A5">
            <w:pPr>
              <w:jc w:val="both"/>
              <w:rPr>
                <w:color w:val="878786"/>
                <w:spacing w:val="-6"/>
                <w:w w:val="124"/>
                <w:sz w:val="18"/>
                <w:szCs w:val="18"/>
                <w:lang w:val="mk-MK"/>
              </w:rPr>
            </w:pPr>
          </w:p>
        </w:tc>
      </w:tr>
      <w:tr w:rsidR="00CE2A38" w:rsidTr="00EF52B6">
        <w:tc>
          <w:tcPr>
            <w:tcW w:w="3674" w:type="dxa"/>
            <w:gridSpan w:val="3"/>
          </w:tcPr>
          <w:p w:rsidR="00CE2A38" w:rsidRPr="00381F72" w:rsidRDefault="00CE2A38" w:rsidP="00CE2A38">
            <w:pPr>
              <w:jc w:val="both"/>
              <w:rPr>
                <w:color w:val="878786"/>
                <w:spacing w:val="-6"/>
                <w:w w:val="124"/>
                <w:sz w:val="18"/>
                <w:szCs w:val="18"/>
                <w:lang w:val="mk-MK"/>
              </w:rPr>
            </w:pPr>
            <w:r w:rsidRPr="00381F72">
              <w:rPr>
                <w:color w:val="878786"/>
                <w:spacing w:val="-6"/>
                <w:w w:val="124"/>
                <w:sz w:val="18"/>
                <w:szCs w:val="18"/>
                <w:lang w:val="mk-MK"/>
              </w:rPr>
              <w:lastRenderedPageBreak/>
              <w:t>Опис на резултатите</w:t>
            </w:r>
          </w:p>
          <w:p w:rsidR="00CE2A38" w:rsidRPr="00381F72" w:rsidRDefault="00CE2A38" w:rsidP="00CE2A38">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7036" w:type="dxa"/>
            <w:gridSpan w:val="4"/>
          </w:tcPr>
          <w:p w:rsidR="00CE2A38" w:rsidRDefault="00CE2A38" w:rsidP="00CE2A38">
            <w:pPr>
              <w:rPr>
                <w:b/>
                <w:sz w:val="20"/>
                <w:szCs w:val="20"/>
                <w:lang w:val="mk-MK"/>
              </w:rPr>
            </w:pPr>
            <w:r w:rsidRPr="00FE227B">
              <w:rPr>
                <w:b/>
                <w:sz w:val="20"/>
                <w:szCs w:val="20"/>
                <w:lang w:val="mk-MK"/>
              </w:rPr>
              <w:t xml:space="preserve">Мерка 6. </w:t>
            </w:r>
            <w:r w:rsidRPr="00E444E1">
              <w:rPr>
                <w:b/>
                <w:sz w:val="20"/>
                <w:szCs w:val="20"/>
                <w:lang w:val="mk-MK"/>
              </w:rPr>
              <w:t>Воспоставување на платформа за вкрстување на податоците (пилот 11  институции)</w:t>
            </w:r>
          </w:p>
          <w:p w:rsidR="00CE2A38" w:rsidRPr="00043C2D" w:rsidRDefault="00CE2A38" w:rsidP="00CE2A38">
            <w:pPr>
              <w:rPr>
                <w:sz w:val="20"/>
                <w:szCs w:val="20"/>
                <w:lang w:val="mk-MK"/>
              </w:rPr>
            </w:pPr>
            <w:r>
              <w:rPr>
                <w:sz w:val="20"/>
                <w:szCs w:val="20"/>
                <w:lang w:val="mk-MK"/>
              </w:rPr>
              <w:t>Со надградбата на порталот за отворени податоци се овозможи вкрстување на податоците од најмногу три податочни сетови објавени на порталот. Оваа функционалност е вградена во порталот и не бара дополнителни софтверски решенија или лиценци за нејзина употреба. Сепак, вкрстувањето е овозможено само помеѓу податочни сетови кои се објавени како „бази на податоци“ (структуриран компјутерски читлив формат).</w:t>
            </w:r>
          </w:p>
        </w:tc>
      </w:tr>
      <w:tr w:rsidR="00CE2A38" w:rsidTr="00EF52B6">
        <w:tc>
          <w:tcPr>
            <w:tcW w:w="3674" w:type="dxa"/>
            <w:gridSpan w:val="3"/>
          </w:tcPr>
          <w:p w:rsidR="00CE2A38" w:rsidRPr="00381F72" w:rsidRDefault="00CE2A38" w:rsidP="00CE2A38">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7036" w:type="dxa"/>
            <w:gridSpan w:val="4"/>
          </w:tcPr>
          <w:p w:rsidR="00CE2A38" w:rsidRPr="00043C2D" w:rsidRDefault="00CE2A38" w:rsidP="00CE2A38">
            <w:pPr>
              <w:rPr>
                <w:sz w:val="20"/>
                <w:szCs w:val="20"/>
                <w:lang w:val="mk-MK"/>
              </w:rPr>
            </w:pPr>
            <w:r>
              <w:rPr>
                <w:sz w:val="20"/>
                <w:szCs w:val="20"/>
                <w:lang w:val="mk-MK"/>
              </w:rPr>
              <w:t>Септември 2014</w:t>
            </w:r>
          </w:p>
        </w:tc>
      </w:tr>
      <w:tr w:rsidR="00CE2A38" w:rsidTr="00EF52B6">
        <w:tc>
          <w:tcPr>
            <w:tcW w:w="3674" w:type="dxa"/>
            <w:gridSpan w:val="3"/>
          </w:tcPr>
          <w:p w:rsidR="00CE2A38" w:rsidRPr="00381F72" w:rsidRDefault="00CE2A38" w:rsidP="00CE2A38">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7036" w:type="dxa"/>
            <w:gridSpan w:val="4"/>
          </w:tcPr>
          <w:p w:rsidR="00CE2A38" w:rsidRPr="00FE227B" w:rsidRDefault="00CE2A38" w:rsidP="00CE2A38">
            <w:pPr>
              <w:rPr>
                <w:sz w:val="20"/>
                <w:szCs w:val="20"/>
                <w:lang w:val="mk-MK"/>
              </w:rPr>
            </w:pPr>
            <w:r>
              <w:rPr>
                <w:sz w:val="20"/>
                <w:szCs w:val="20"/>
                <w:lang w:val="mk-MK"/>
              </w:rPr>
              <w:t>/</w:t>
            </w:r>
          </w:p>
        </w:tc>
      </w:tr>
      <w:tr w:rsidR="00CE2A38" w:rsidTr="005909F7">
        <w:tc>
          <w:tcPr>
            <w:tcW w:w="10710" w:type="dxa"/>
            <w:gridSpan w:val="7"/>
          </w:tcPr>
          <w:p w:rsidR="00CE2A38" w:rsidRDefault="00CE2A38" w:rsidP="00CE2A38">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r w:rsidR="00EF52B6" w:rsidTr="00EF52B6">
        <w:trPr>
          <w:trHeight w:val="435"/>
        </w:trPr>
        <w:tc>
          <w:tcPr>
            <w:tcW w:w="3674" w:type="dxa"/>
            <w:gridSpan w:val="3"/>
            <w:vMerge w:val="restart"/>
          </w:tcPr>
          <w:p w:rsidR="00CE2A38" w:rsidRPr="00381F72" w:rsidRDefault="00CE2A38" w:rsidP="00645C89">
            <w:pPr>
              <w:jc w:val="both"/>
              <w:rPr>
                <w:color w:val="878786"/>
                <w:spacing w:val="-6"/>
                <w:w w:val="124"/>
                <w:sz w:val="18"/>
                <w:szCs w:val="18"/>
                <w:lang w:val="mk-MK"/>
              </w:rPr>
            </w:pPr>
          </w:p>
          <w:p w:rsidR="00CE2A38" w:rsidRPr="00381F72" w:rsidRDefault="00CE2A38" w:rsidP="00645C89">
            <w:pPr>
              <w:jc w:val="both"/>
              <w:rPr>
                <w:color w:val="878786"/>
                <w:spacing w:val="-6"/>
                <w:w w:val="124"/>
                <w:sz w:val="18"/>
                <w:szCs w:val="18"/>
                <w:lang w:val="mk-MK"/>
              </w:rPr>
            </w:pPr>
            <w:r w:rsidRPr="00381F72">
              <w:rPr>
                <w:color w:val="878786"/>
                <w:spacing w:val="-6"/>
                <w:w w:val="124"/>
                <w:sz w:val="18"/>
                <w:szCs w:val="18"/>
                <w:lang w:val="mk-MK"/>
              </w:rPr>
              <w:t>Ниво на проект</w:t>
            </w:r>
          </w:p>
          <w:p w:rsidR="00CE2A38" w:rsidRPr="00381F72" w:rsidRDefault="00CE2A38" w:rsidP="00645C89">
            <w:pPr>
              <w:jc w:val="both"/>
              <w:rPr>
                <w:color w:val="878786"/>
                <w:spacing w:val="-6"/>
                <w:w w:val="124"/>
                <w:sz w:val="18"/>
                <w:szCs w:val="18"/>
                <w:lang w:val="mk-MK"/>
              </w:rPr>
            </w:pPr>
          </w:p>
        </w:tc>
        <w:tc>
          <w:tcPr>
            <w:tcW w:w="1894" w:type="dxa"/>
          </w:tcPr>
          <w:p w:rsidR="00CE2A38" w:rsidRPr="00381F72" w:rsidRDefault="00CE2A38" w:rsidP="00645C89">
            <w:pPr>
              <w:jc w:val="both"/>
              <w:rPr>
                <w:color w:val="878786"/>
                <w:spacing w:val="-6"/>
                <w:w w:val="124"/>
                <w:sz w:val="18"/>
                <w:szCs w:val="18"/>
                <w:lang w:val="mk-MK"/>
              </w:rPr>
            </w:pPr>
            <w:r>
              <w:rPr>
                <w:color w:val="878786"/>
                <w:spacing w:val="-6"/>
                <w:w w:val="124"/>
                <w:sz w:val="18"/>
                <w:szCs w:val="18"/>
                <w:lang w:val="mk-MK"/>
              </w:rPr>
              <w:t>незапочнато</w:t>
            </w:r>
          </w:p>
        </w:tc>
        <w:tc>
          <w:tcPr>
            <w:tcW w:w="1793" w:type="dxa"/>
          </w:tcPr>
          <w:p w:rsidR="00CE2A38" w:rsidRPr="00381F72" w:rsidRDefault="00CE2A38" w:rsidP="00645C89">
            <w:pPr>
              <w:jc w:val="both"/>
              <w:rPr>
                <w:color w:val="878786"/>
                <w:spacing w:val="-6"/>
                <w:w w:val="124"/>
                <w:sz w:val="18"/>
                <w:szCs w:val="18"/>
                <w:lang w:val="mk-MK"/>
              </w:rPr>
            </w:pPr>
            <w:r>
              <w:rPr>
                <w:color w:val="878786"/>
                <w:spacing w:val="-6"/>
                <w:w w:val="124"/>
                <w:sz w:val="18"/>
                <w:szCs w:val="18"/>
                <w:lang w:val="mk-MK"/>
              </w:rPr>
              <w:t>ограничено</w:t>
            </w:r>
          </w:p>
        </w:tc>
        <w:tc>
          <w:tcPr>
            <w:tcW w:w="1760" w:type="dxa"/>
          </w:tcPr>
          <w:p w:rsidR="00CE2A38" w:rsidRPr="00381F72" w:rsidRDefault="00CE2A38" w:rsidP="00645C89">
            <w:pPr>
              <w:jc w:val="both"/>
              <w:rPr>
                <w:color w:val="878786"/>
                <w:spacing w:val="-6"/>
                <w:w w:val="124"/>
                <w:sz w:val="18"/>
                <w:szCs w:val="18"/>
                <w:lang w:val="mk-MK"/>
              </w:rPr>
            </w:pPr>
            <w:r>
              <w:rPr>
                <w:color w:val="878786"/>
                <w:spacing w:val="-6"/>
                <w:w w:val="124"/>
                <w:sz w:val="18"/>
                <w:szCs w:val="18"/>
                <w:lang w:val="mk-MK"/>
              </w:rPr>
              <w:t>значително</w:t>
            </w:r>
          </w:p>
        </w:tc>
        <w:tc>
          <w:tcPr>
            <w:tcW w:w="1589" w:type="dxa"/>
          </w:tcPr>
          <w:p w:rsidR="00CE2A38" w:rsidRPr="00381F72" w:rsidRDefault="00CE2A38" w:rsidP="00645C89">
            <w:pPr>
              <w:jc w:val="both"/>
              <w:rPr>
                <w:color w:val="878786"/>
                <w:spacing w:val="-6"/>
                <w:w w:val="124"/>
                <w:sz w:val="18"/>
                <w:szCs w:val="18"/>
                <w:lang w:val="mk-MK"/>
              </w:rPr>
            </w:pPr>
            <w:r>
              <w:rPr>
                <w:color w:val="878786"/>
                <w:spacing w:val="-6"/>
                <w:w w:val="124"/>
                <w:sz w:val="18"/>
                <w:szCs w:val="18"/>
                <w:lang w:val="mk-MK"/>
              </w:rPr>
              <w:t>завршено</w:t>
            </w:r>
          </w:p>
        </w:tc>
      </w:tr>
      <w:tr w:rsidR="00CE2A38" w:rsidTr="00EF52B6">
        <w:trPr>
          <w:trHeight w:val="367"/>
        </w:trPr>
        <w:tc>
          <w:tcPr>
            <w:tcW w:w="3674" w:type="dxa"/>
            <w:gridSpan w:val="3"/>
            <w:vMerge/>
          </w:tcPr>
          <w:p w:rsidR="00CE2A38" w:rsidRPr="00381F72" w:rsidRDefault="00CE2A38" w:rsidP="00645C89">
            <w:pPr>
              <w:jc w:val="both"/>
              <w:rPr>
                <w:color w:val="878786"/>
                <w:spacing w:val="-6"/>
                <w:w w:val="124"/>
                <w:sz w:val="18"/>
                <w:szCs w:val="18"/>
                <w:lang w:val="mk-MK"/>
              </w:rPr>
            </w:pPr>
          </w:p>
        </w:tc>
        <w:tc>
          <w:tcPr>
            <w:tcW w:w="1894" w:type="dxa"/>
          </w:tcPr>
          <w:p w:rsidR="00CE2A38" w:rsidRPr="00381F72" w:rsidRDefault="00CE2A38" w:rsidP="00645C89">
            <w:pPr>
              <w:jc w:val="both"/>
              <w:rPr>
                <w:color w:val="878786"/>
                <w:spacing w:val="-6"/>
                <w:w w:val="124"/>
                <w:sz w:val="18"/>
                <w:szCs w:val="18"/>
                <w:lang w:val="mk-MK"/>
              </w:rPr>
            </w:pPr>
          </w:p>
        </w:tc>
        <w:tc>
          <w:tcPr>
            <w:tcW w:w="1793" w:type="dxa"/>
            <w:shd w:val="clear" w:color="auto" w:fill="FFFFFF" w:themeFill="background1"/>
          </w:tcPr>
          <w:p w:rsidR="00CE2A38" w:rsidRPr="00381F72" w:rsidRDefault="00CE2A38" w:rsidP="00645C89">
            <w:pPr>
              <w:jc w:val="both"/>
              <w:rPr>
                <w:color w:val="878786"/>
                <w:spacing w:val="-6"/>
                <w:w w:val="124"/>
                <w:sz w:val="18"/>
                <w:szCs w:val="18"/>
                <w:lang w:val="mk-MK"/>
              </w:rPr>
            </w:pPr>
          </w:p>
        </w:tc>
        <w:tc>
          <w:tcPr>
            <w:tcW w:w="1760" w:type="dxa"/>
          </w:tcPr>
          <w:p w:rsidR="00CE2A38" w:rsidRPr="00381F72" w:rsidRDefault="00CE2A38" w:rsidP="00645C89">
            <w:pPr>
              <w:jc w:val="both"/>
              <w:rPr>
                <w:color w:val="878786"/>
                <w:spacing w:val="-6"/>
                <w:w w:val="124"/>
                <w:sz w:val="18"/>
                <w:szCs w:val="18"/>
                <w:lang w:val="mk-MK"/>
              </w:rPr>
            </w:pPr>
          </w:p>
        </w:tc>
        <w:tc>
          <w:tcPr>
            <w:tcW w:w="1589" w:type="dxa"/>
            <w:shd w:val="clear" w:color="auto" w:fill="548DD4" w:themeFill="text2" w:themeFillTint="99"/>
          </w:tcPr>
          <w:p w:rsidR="00CE2A38" w:rsidRPr="00381F72" w:rsidRDefault="00CE2A38" w:rsidP="00645C89">
            <w:pPr>
              <w:jc w:val="both"/>
              <w:rPr>
                <w:color w:val="878786"/>
                <w:spacing w:val="-6"/>
                <w:w w:val="124"/>
                <w:sz w:val="18"/>
                <w:szCs w:val="18"/>
                <w:lang w:val="mk-MK"/>
              </w:rPr>
            </w:pPr>
          </w:p>
        </w:tc>
      </w:tr>
      <w:tr w:rsidR="00CE2A38" w:rsidTr="00EF52B6">
        <w:tc>
          <w:tcPr>
            <w:tcW w:w="3674" w:type="dxa"/>
            <w:gridSpan w:val="3"/>
          </w:tcPr>
          <w:p w:rsidR="00CE2A38" w:rsidRPr="00381F72" w:rsidRDefault="00CE2A38" w:rsidP="00645C89">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CE2A38" w:rsidRPr="00381F72" w:rsidRDefault="00CE2A38" w:rsidP="00645C89">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7036" w:type="dxa"/>
            <w:gridSpan w:val="4"/>
          </w:tcPr>
          <w:p w:rsidR="00CE2A38" w:rsidRPr="00FE227B" w:rsidRDefault="00CE2A38" w:rsidP="00CE2A38">
            <w:pPr>
              <w:rPr>
                <w:b/>
                <w:sz w:val="20"/>
                <w:szCs w:val="20"/>
              </w:rPr>
            </w:pPr>
            <w:r w:rsidRPr="00FE227B">
              <w:rPr>
                <w:b/>
                <w:sz w:val="20"/>
                <w:szCs w:val="20"/>
              </w:rPr>
              <w:t>Мерка  7</w:t>
            </w:r>
            <w:r>
              <w:rPr>
                <w:b/>
                <w:sz w:val="20"/>
                <w:szCs w:val="20"/>
              </w:rPr>
              <w:t xml:space="preserve">. </w:t>
            </w:r>
            <w:r w:rsidRPr="00E444E1">
              <w:rPr>
                <w:b/>
                <w:sz w:val="20"/>
                <w:szCs w:val="20"/>
              </w:rPr>
              <w:t>Обуки за  спроведување на Законот за користење на податоците од јавниот сектор</w:t>
            </w:r>
          </w:p>
          <w:p w:rsidR="00CE2A38" w:rsidRPr="00043C2D" w:rsidRDefault="00CE2A38" w:rsidP="00CE2A38">
            <w:pPr>
              <w:rPr>
                <w:sz w:val="20"/>
                <w:szCs w:val="20"/>
                <w:lang w:val="mk-MK"/>
              </w:rPr>
            </w:pPr>
            <w:r>
              <w:rPr>
                <w:sz w:val="20"/>
                <w:szCs w:val="20"/>
                <w:lang w:val="mk-MK"/>
              </w:rPr>
              <w:t>Во текот на 2014-та и 2015-та година одржани се повеќе групни обуки на клучен персонал од институциите за обука за спроведување на Законот за користење на податоците од јавниот сектор како и Правилникот за техничките барања и ограничувања за отворени податоци. Покрај групните обуки, МИОА одржува редовни средби за било какви прашања поврзани со спроведување на Законот за користење на податоците од јавниот сектор со сите институции кои тоа ќе го побараат.</w:t>
            </w:r>
          </w:p>
        </w:tc>
      </w:tr>
      <w:tr w:rsidR="00CE2A38" w:rsidTr="00EF52B6">
        <w:tc>
          <w:tcPr>
            <w:tcW w:w="3674" w:type="dxa"/>
            <w:gridSpan w:val="3"/>
          </w:tcPr>
          <w:p w:rsidR="00CE2A38" w:rsidRPr="00381F72" w:rsidRDefault="00CE2A38" w:rsidP="00CE2A38">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7036" w:type="dxa"/>
            <w:gridSpan w:val="4"/>
          </w:tcPr>
          <w:p w:rsidR="00CE2A38" w:rsidRPr="00043C2D" w:rsidRDefault="00CE2A38" w:rsidP="00CE2A38">
            <w:pPr>
              <w:rPr>
                <w:sz w:val="20"/>
                <w:szCs w:val="20"/>
                <w:lang w:val="mk-MK"/>
              </w:rPr>
            </w:pPr>
            <w:r>
              <w:rPr>
                <w:sz w:val="20"/>
                <w:szCs w:val="20"/>
                <w:lang w:val="mk-MK"/>
              </w:rPr>
              <w:t>Јули 2015</w:t>
            </w:r>
          </w:p>
        </w:tc>
      </w:tr>
      <w:tr w:rsidR="00CE2A38" w:rsidTr="00EF52B6">
        <w:tc>
          <w:tcPr>
            <w:tcW w:w="3674" w:type="dxa"/>
            <w:gridSpan w:val="3"/>
          </w:tcPr>
          <w:p w:rsidR="00CE2A38" w:rsidRPr="00381F72" w:rsidRDefault="00CE2A38" w:rsidP="00CE2A38">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7036" w:type="dxa"/>
            <w:gridSpan w:val="4"/>
          </w:tcPr>
          <w:p w:rsidR="00CE2A38" w:rsidRPr="00043C2D" w:rsidRDefault="00CE2A38" w:rsidP="00CE2A38">
            <w:pPr>
              <w:jc w:val="both"/>
              <w:rPr>
                <w:sz w:val="20"/>
                <w:szCs w:val="20"/>
                <w:lang w:val="mk-MK"/>
              </w:rPr>
            </w:pPr>
            <w:r>
              <w:rPr>
                <w:sz w:val="20"/>
                <w:szCs w:val="20"/>
                <w:lang w:val="mk-MK"/>
              </w:rPr>
              <w:t>/</w:t>
            </w:r>
          </w:p>
        </w:tc>
      </w:tr>
      <w:tr w:rsidR="00CE2A38" w:rsidTr="00645C89">
        <w:tc>
          <w:tcPr>
            <w:tcW w:w="10710" w:type="dxa"/>
            <w:gridSpan w:val="7"/>
          </w:tcPr>
          <w:p w:rsidR="00CE2A38" w:rsidRDefault="00CE2A38" w:rsidP="00CE2A38">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bl>
    <w:p w:rsidR="002133FA" w:rsidRDefault="002133FA" w:rsidP="00852AE9">
      <w:pPr>
        <w:jc w:val="both"/>
        <w:rPr>
          <w:b/>
          <w:lang w:val="mk-MK"/>
        </w:rPr>
      </w:pPr>
    </w:p>
    <w:tbl>
      <w:tblPr>
        <w:tblStyle w:val="TableGrid"/>
        <w:tblW w:w="0" w:type="auto"/>
        <w:tblLook w:val="04A0"/>
      </w:tblPr>
      <w:tblGrid>
        <w:gridCol w:w="1803"/>
        <w:gridCol w:w="2140"/>
        <w:gridCol w:w="17"/>
        <w:gridCol w:w="1627"/>
        <w:gridCol w:w="1724"/>
        <w:gridCol w:w="1564"/>
        <w:gridCol w:w="1835"/>
      </w:tblGrid>
      <w:tr w:rsidR="002133FA" w:rsidTr="002133FA">
        <w:tc>
          <w:tcPr>
            <w:tcW w:w="10710" w:type="dxa"/>
            <w:gridSpan w:val="7"/>
            <w:shd w:val="clear" w:color="auto" w:fill="262626" w:themeFill="text1" w:themeFillTint="D9"/>
          </w:tcPr>
          <w:p w:rsidR="002133FA" w:rsidRDefault="002133FA" w:rsidP="002133FA">
            <w:pPr>
              <w:jc w:val="center"/>
              <w:rPr>
                <w:b/>
                <w:lang w:val="mk-MK"/>
              </w:rPr>
            </w:pPr>
            <w:r w:rsidRPr="002F1864">
              <w:rPr>
                <w:rFonts w:eastAsia="Times New Roman" w:cs="Times New Roman"/>
                <w:color w:val="EEECE1" w:themeColor="background2"/>
                <w:spacing w:val="-12"/>
                <w:w w:val="123"/>
                <w:sz w:val="20"/>
                <w:szCs w:val="20"/>
                <w:lang w:val="mk-MK"/>
              </w:rPr>
              <w:t>Шаблон за завршување на заложбите</w:t>
            </w:r>
          </w:p>
        </w:tc>
      </w:tr>
      <w:tr w:rsidR="002133FA" w:rsidTr="002133FA">
        <w:tc>
          <w:tcPr>
            <w:tcW w:w="10710" w:type="dxa"/>
            <w:gridSpan w:val="7"/>
          </w:tcPr>
          <w:p w:rsidR="002133FA" w:rsidRPr="002133FA" w:rsidRDefault="002133FA" w:rsidP="002133FA">
            <w:pPr>
              <w:pStyle w:val="ListParagraph"/>
              <w:numPr>
                <w:ilvl w:val="0"/>
                <w:numId w:val="2"/>
              </w:numPr>
              <w:jc w:val="center"/>
              <w:rPr>
                <w:b/>
                <w:color w:val="262626" w:themeColor="text1" w:themeTint="D9"/>
                <w:lang w:val="mk-MK"/>
              </w:rPr>
            </w:pPr>
            <w:r>
              <w:rPr>
                <w:b/>
                <w:color w:val="262626" w:themeColor="text1" w:themeTint="D9"/>
                <w:lang w:val="mk-MK"/>
              </w:rPr>
              <w:t>Слобода на информации</w:t>
            </w:r>
          </w:p>
        </w:tc>
      </w:tr>
      <w:tr w:rsidR="00B37EA3" w:rsidTr="00B37EA3">
        <w:tc>
          <w:tcPr>
            <w:tcW w:w="3943" w:type="dxa"/>
            <w:gridSpan w:val="2"/>
          </w:tcPr>
          <w:p w:rsidR="00B37EA3" w:rsidRPr="00381F72" w:rsidRDefault="00B37EA3" w:rsidP="002133FA">
            <w:pPr>
              <w:jc w:val="both"/>
              <w:rPr>
                <w:color w:val="878786"/>
                <w:spacing w:val="-6"/>
                <w:w w:val="124"/>
                <w:sz w:val="18"/>
                <w:szCs w:val="18"/>
                <w:lang w:val="mk-MK"/>
              </w:rPr>
            </w:pPr>
            <w:r w:rsidRPr="00381F72">
              <w:rPr>
                <w:color w:val="878786"/>
                <w:spacing w:val="-6"/>
                <w:w w:val="124"/>
                <w:sz w:val="18"/>
                <w:szCs w:val="18"/>
                <w:lang w:val="mk-MK"/>
              </w:rPr>
              <w:t>Водечка агенција за спроведување</w:t>
            </w:r>
          </w:p>
        </w:tc>
        <w:tc>
          <w:tcPr>
            <w:tcW w:w="6767" w:type="dxa"/>
            <w:gridSpan w:val="5"/>
          </w:tcPr>
          <w:p w:rsidR="00B37EA3" w:rsidRPr="009913D7" w:rsidRDefault="00B37EA3" w:rsidP="005909F7">
            <w:pPr>
              <w:jc w:val="both"/>
              <w:rPr>
                <w:sz w:val="20"/>
                <w:szCs w:val="20"/>
                <w:lang w:val="mk-MK"/>
              </w:rPr>
            </w:pPr>
            <w:r w:rsidRPr="009913D7">
              <w:rPr>
                <w:sz w:val="20"/>
                <w:szCs w:val="20"/>
                <w:lang w:val="mk-MK"/>
              </w:rPr>
              <w:t xml:space="preserve"> Комисија за заштита на правото за слободен пристап до информациите од јавен карактер</w:t>
            </w:r>
          </w:p>
        </w:tc>
      </w:tr>
      <w:tr w:rsidR="00B37EA3" w:rsidTr="00B37EA3">
        <w:tc>
          <w:tcPr>
            <w:tcW w:w="3943" w:type="dxa"/>
            <w:gridSpan w:val="2"/>
          </w:tcPr>
          <w:p w:rsidR="00B37EA3" w:rsidRPr="00381F72" w:rsidRDefault="00B37EA3" w:rsidP="002133FA">
            <w:pPr>
              <w:jc w:val="both"/>
              <w:rPr>
                <w:color w:val="878786"/>
                <w:spacing w:val="-6"/>
                <w:w w:val="124"/>
                <w:sz w:val="18"/>
                <w:szCs w:val="18"/>
                <w:lang w:val="mk-MK"/>
              </w:rPr>
            </w:pPr>
            <w:r w:rsidRPr="00381F72">
              <w:rPr>
                <w:color w:val="878786"/>
                <w:spacing w:val="-6"/>
                <w:w w:val="124"/>
                <w:sz w:val="18"/>
                <w:szCs w:val="18"/>
                <w:lang w:val="mk-MK"/>
              </w:rPr>
              <w:t>Име на одговорно лице од агенција за спроведување</w:t>
            </w:r>
          </w:p>
        </w:tc>
        <w:tc>
          <w:tcPr>
            <w:tcW w:w="6767" w:type="dxa"/>
            <w:gridSpan w:val="5"/>
          </w:tcPr>
          <w:p w:rsidR="00B37EA3" w:rsidRPr="009913D7" w:rsidRDefault="00B37EA3" w:rsidP="005909F7">
            <w:pPr>
              <w:jc w:val="both"/>
              <w:rPr>
                <w:sz w:val="20"/>
                <w:szCs w:val="20"/>
                <w:lang w:val="mk-MK"/>
              </w:rPr>
            </w:pPr>
            <w:r w:rsidRPr="009913D7">
              <w:rPr>
                <w:sz w:val="20"/>
                <w:szCs w:val="20"/>
                <w:lang w:val="mk-MK"/>
              </w:rPr>
              <w:t>Пеце Ташевски,координатор</w:t>
            </w:r>
          </w:p>
          <w:p w:rsidR="00B37EA3" w:rsidRPr="009913D7" w:rsidRDefault="00B37EA3" w:rsidP="005909F7">
            <w:pPr>
              <w:jc w:val="both"/>
              <w:rPr>
                <w:sz w:val="20"/>
                <w:szCs w:val="20"/>
                <w:lang w:val="mk-MK"/>
              </w:rPr>
            </w:pPr>
            <w:r w:rsidRPr="009913D7">
              <w:rPr>
                <w:sz w:val="20"/>
                <w:szCs w:val="20"/>
                <w:lang w:val="mk-MK"/>
              </w:rPr>
              <w:t xml:space="preserve">Оливер Серафимовски, заменик координатор </w:t>
            </w:r>
          </w:p>
        </w:tc>
      </w:tr>
      <w:tr w:rsidR="00B37EA3" w:rsidTr="00B37EA3">
        <w:tc>
          <w:tcPr>
            <w:tcW w:w="3943" w:type="dxa"/>
            <w:gridSpan w:val="2"/>
          </w:tcPr>
          <w:p w:rsidR="00B37EA3" w:rsidRPr="00381F72" w:rsidRDefault="00B37EA3" w:rsidP="002133FA">
            <w:pPr>
              <w:jc w:val="both"/>
              <w:rPr>
                <w:color w:val="878786"/>
                <w:spacing w:val="-6"/>
                <w:w w:val="124"/>
                <w:sz w:val="18"/>
                <w:szCs w:val="18"/>
                <w:lang w:val="mk-MK"/>
              </w:rPr>
            </w:pPr>
            <w:r w:rsidRPr="00381F72">
              <w:rPr>
                <w:color w:val="878786"/>
                <w:spacing w:val="-6"/>
                <w:w w:val="124"/>
                <w:sz w:val="18"/>
                <w:szCs w:val="18"/>
                <w:lang w:val="mk-MK"/>
              </w:rPr>
              <w:t>Назив, Одделение</w:t>
            </w:r>
          </w:p>
        </w:tc>
        <w:tc>
          <w:tcPr>
            <w:tcW w:w="6767" w:type="dxa"/>
            <w:gridSpan w:val="5"/>
          </w:tcPr>
          <w:p w:rsidR="00B37EA3" w:rsidRPr="009913D7" w:rsidRDefault="00B37EA3" w:rsidP="005909F7">
            <w:pPr>
              <w:jc w:val="both"/>
              <w:rPr>
                <w:sz w:val="20"/>
                <w:szCs w:val="20"/>
                <w:lang w:val="mk-MK"/>
              </w:rPr>
            </w:pPr>
            <w:r w:rsidRPr="009913D7">
              <w:rPr>
                <w:sz w:val="20"/>
                <w:szCs w:val="20"/>
                <w:lang w:val="mk-MK"/>
              </w:rPr>
              <w:t>Претседател на Комисијата;</w:t>
            </w:r>
          </w:p>
          <w:p w:rsidR="00B37EA3" w:rsidRPr="009913D7" w:rsidRDefault="00B37EA3" w:rsidP="005909F7">
            <w:pPr>
              <w:jc w:val="both"/>
              <w:rPr>
                <w:sz w:val="20"/>
                <w:szCs w:val="20"/>
              </w:rPr>
            </w:pPr>
            <w:r w:rsidRPr="009913D7">
              <w:rPr>
                <w:sz w:val="20"/>
                <w:szCs w:val="20"/>
                <w:lang w:val="mk-MK"/>
              </w:rPr>
              <w:t>Помлад соработник во Секретаријатот на Комисијата</w:t>
            </w:r>
          </w:p>
        </w:tc>
      </w:tr>
      <w:tr w:rsidR="00B37EA3" w:rsidTr="00B37EA3">
        <w:tc>
          <w:tcPr>
            <w:tcW w:w="3943" w:type="dxa"/>
            <w:gridSpan w:val="2"/>
          </w:tcPr>
          <w:p w:rsidR="00B37EA3" w:rsidRPr="00381F72" w:rsidRDefault="00B37EA3" w:rsidP="002133FA">
            <w:pPr>
              <w:jc w:val="both"/>
              <w:rPr>
                <w:color w:val="878786"/>
                <w:spacing w:val="-6"/>
                <w:w w:val="124"/>
                <w:sz w:val="18"/>
                <w:szCs w:val="18"/>
                <w:lang w:val="mk-MK"/>
              </w:rPr>
            </w:pPr>
            <w:r w:rsidRPr="00381F72">
              <w:rPr>
                <w:color w:val="878786"/>
                <w:spacing w:val="-6"/>
                <w:w w:val="124"/>
                <w:sz w:val="18"/>
                <w:szCs w:val="18"/>
                <w:lang w:val="mk-MK"/>
              </w:rPr>
              <w:t xml:space="preserve">          Е-пошгта</w:t>
            </w:r>
          </w:p>
        </w:tc>
        <w:tc>
          <w:tcPr>
            <w:tcW w:w="6767" w:type="dxa"/>
            <w:gridSpan w:val="5"/>
          </w:tcPr>
          <w:p w:rsidR="00B13922" w:rsidRDefault="00FA42AE" w:rsidP="005909F7">
            <w:pPr>
              <w:jc w:val="both"/>
              <w:rPr>
                <w:sz w:val="20"/>
                <w:szCs w:val="20"/>
                <w:lang w:val="mk-MK"/>
              </w:rPr>
            </w:pPr>
            <w:hyperlink r:id="rId21" w:history="1">
              <w:r w:rsidR="00B37EA3" w:rsidRPr="009913D7">
                <w:rPr>
                  <w:rStyle w:val="Hyperlink"/>
                  <w:sz w:val="20"/>
                  <w:szCs w:val="20"/>
                </w:rPr>
                <w:t>komspi@komspi.mk</w:t>
              </w:r>
            </w:hyperlink>
            <w:r w:rsidR="00B37EA3" w:rsidRPr="009913D7">
              <w:rPr>
                <w:sz w:val="20"/>
                <w:szCs w:val="20"/>
              </w:rPr>
              <w:t xml:space="preserve">; </w:t>
            </w:r>
          </w:p>
          <w:p w:rsidR="00B37EA3" w:rsidRPr="009913D7" w:rsidRDefault="00FA42AE" w:rsidP="005909F7">
            <w:pPr>
              <w:jc w:val="both"/>
              <w:rPr>
                <w:sz w:val="20"/>
                <w:szCs w:val="20"/>
              </w:rPr>
            </w:pPr>
            <w:hyperlink r:id="rId22" w:history="1">
              <w:r w:rsidR="00B37EA3" w:rsidRPr="009913D7">
                <w:rPr>
                  <w:rStyle w:val="Hyperlink"/>
                  <w:sz w:val="20"/>
                  <w:szCs w:val="20"/>
                </w:rPr>
                <w:t>pecetashevski@komspi.mk</w:t>
              </w:r>
            </w:hyperlink>
            <w:r w:rsidR="00B37EA3" w:rsidRPr="009913D7">
              <w:rPr>
                <w:sz w:val="20"/>
                <w:szCs w:val="20"/>
              </w:rPr>
              <w:t xml:space="preserve">; </w:t>
            </w:r>
            <w:hyperlink r:id="rId23" w:history="1">
              <w:r w:rsidR="00B37EA3" w:rsidRPr="009913D7">
                <w:rPr>
                  <w:rStyle w:val="Hyperlink"/>
                  <w:sz w:val="20"/>
                  <w:szCs w:val="20"/>
                </w:rPr>
                <w:t>oliverserafimovski@komspi.mk</w:t>
              </w:r>
            </w:hyperlink>
            <w:r w:rsidR="00B37EA3" w:rsidRPr="009913D7">
              <w:rPr>
                <w:sz w:val="20"/>
                <w:szCs w:val="20"/>
              </w:rPr>
              <w:t xml:space="preserve">: </w:t>
            </w:r>
          </w:p>
        </w:tc>
      </w:tr>
      <w:tr w:rsidR="00B37EA3" w:rsidTr="00B37EA3">
        <w:tc>
          <w:tcPr>
            <w:tcW w:w="3943" w:type="dxa"/>
            <w:gridSpan w:val="2"/>
          </w:tcPr>
          <w:p w:rsidR="00B37EA3" w:rsidRPr="00381F72" w:rsidRDefault="00B37EA3" w:rsidP="002133FA">
            <w:pPr>
              <w:jc w:val="both"/>
              <w:rPr>
                <w:color w:val="878786"/>
                <w:spacing w:val="-6"/>
                <w:w w:val="124"/>
                <w:sz w:val="18"/>
                <w:szCs w:val="18"/>
                <w:lang w:val="mk-MK"/>
              </w:rPr>
            </w:pPr>
            <w:r w:rsidRPr="00381F72">
              <w:rPr>
                <w:color w:val="878786"/>
                <w:spacing w:val="-6"/>
                <w:w w:val="124"/>
                <w:sz w:val="18"/>
                <w:szCs w:val="18"/>
                <w:lang w:val="mk-MK"/>
              </w:rPr>
              <w:t>Телефон</w:t>
            </w:r>
          </w:p>
        </w:tc>
        <w:tc>
          <w:tcPr>
            <w:tcW w:w="6767" w:type="dxa"/>
            <w:gridSpan w:val="5"/>
          </w:tcPr>
          <w:p w:rsidR="00B37EA3" w:rsidRPr="009913D7" w:rsidRDefault="00B37EA3" w:rsidP="005909F7">
            <w:pPr>
              <w:jc w:val="both"/>
              <w:rPr>
                <w:sz w:val="20"/>
                <w:szCs w:val="20"/>
                <w:lang w:val="mk-MK"/>
              </w:rPr>
            </w:pPr>
            <w:r w:rsidRPr="009913D7">
              <w:rPr>
                <w:sz w:val="20"/>
                <w:szCs w:val="20"/>
              </w:rPr>
              <w:t xml:space="preserve">02/3118-038; 070/303-739 </w:t>
            </w:r>
            <w:r w:rsidRPr="009913D7">
              <w:rPr>
                <w:sz w:val="20"/>
                <w:szCs w:val="20"/>
                <w:lang w:val="mk-MK"/>
              </w:rPr>
              <w:t>и 071/229-214</w:t>
            </w:r>
          </w:p>
        </w:tc>
      </w:tr>
      <w:tr w:rsidR="00B13922" w:rsidTr="00B37EA3">
        <w:trPr>
          <w:trHeight w:val="486"/>
        </w:trPr>
        <w:tc>
          <w:tcPr>
            <w:tcW w:w="1803" w:type="dxa"/>
            <w:vMerge w:val="restart"/>
          </w:tcPr>
          <w:p w:rsidR="00B13922" w:rsidRPr="00381F72" w:rsidRDefault="00B13922" w:rsidP="002133FA">
            <w:pPr>
              <w:jc w:val="both"/>
              <w:rPr>
                <w:color w:val="878786"/>
                <w:spacing w:val="-6"/>
                <w:w w:val="124"/>
                <w:sz w:val="18"/>
                <w:szCs w:val="18"/>
                <w:lang w:val="mk-MK"/>
              </w:rPr>
            </w:pPr>
            <w:r w:rsidRPr="00381F72">
              <w:rPr>
                <w:color w:val="878786"/>
                <w:spacing w:val="-6"/>
                <w:w w:val="124"/>
                <w:sz w:val="18"/>
                <w:szCs w:val="18"/>
                <w:lang w:val="mk-MK"/>
              </w:rPr>
              <w:t xml:space="preserve">          Други</w:t>
            </w:r>
          </w:p>
          <w:p w:rsidR="00B13922" w:rsidRPr="00381F72" w:rsidRDefault="00B13922" w:rsidP="002133FA">
            <w:pPr>
              <w:pStyle w:val="ListParagraph"/>
              <w:ind w:left="360"/>
              <w:jc w:val="both"/>
              <w:rPr>
                <w:color w:val="878786"/>
                <w:spacing w:val="-6"/>
                <w:w w:val="124"/>
                <w:sz w:val="18"/>
                <w:szCs w:val="18"/>
                <w:lang w:val="mk-MK"/>
              </w:rPr>
            </w:pPr>
            <w:r w:rsidRPr="00381F72">
              <w:rPr>
                <w:color w:val="878786"/>
                <w:spacing w:val="-6"/>
                <w:w w:val="124"/>
                <w:sz w:val="18"/>
                <w:szCs w:val="18"/>
                <w:lang w:val="mk-MK"/>
              </w:rPr>
              <w:t>Инволвирани учесници</w:t>
            </w:r>
          </w:p>
          <w:p w:rsidR="00B13922" w:rsidRPr="00381F72" w:rsidRDefault="00B13922" w:rsidP="002133FA">
            <w:pPr>
              <w:pStyle w:val="ListParagraph"/>
              <w:ind w:left="360"/>
              <w:jc w:val="both"/>
              <w:rPr>
                <w:color w:val="878786"/>
                <w:spacing w:val="-6"/>
                <w:w w:val="124"/>
                <w:sz w:val="18"/>
                <w:szCs w:val="18"/>
                <w:lang w:val="mk-MK"/>
              </w:rPr>
            </w:pPr>
          </w:p>
          <w:p w:rsidR="00B13922" w:rsidRPr="00381F72" w:rsidRDefault="00B13922" w:rsidP="002133FA">
            <w:pPr>
              <w:pStyle w:val="ListParagraph"/>
              <w:ind w:left="360"/>
              <w:jc w:val="both"/>
              <w:rPr>
                <w:color w:val="878786"/>
                <w:spacing w:val="-6"/>
                <w:w w:val="124"/>
                <w:sz w:val="18"/>
                <w:szCs w:val="18"/>
                <w:lang w:val="mk-MK"/>
              </w:rPr>
            </w:pPr>
          </w:p>
        </w:tc>
        <w:tc>
          <w:tcPr>
            <w:tcW w:w="2140" w:type="dxa"/>
          </w:tcPr>
          <w:p w:rsidR="00B13922" w:rsidRPr="00381F72" w:rsidRDefault="00B13922" w:rsidP="002133FA">
            <w:pPr>
              <w:jc w:val="both"/>
              <w:rPr>
                <w:color w:val="878786"/>
                <w:spacing w:val="-6"/>
                <w:w w:val="124"/>
                <w:sz w:val="18"/>
                <w:szCs w:val="18"/>
                <w:lang w:val="mk-MK"/>
              </w:rPr>
            </w:pPr>
            <w:r w:rsidRPr="00381F72">
              <w:rPr>
                <w:color w:val="878786"/>
                <w:spacing w:val="-6"/>
                <w:w w:val="124"/>
                <w:sz w:val="18"/>
                <w:szCs w:val="18"/>
                <w:lang w:val="mk-MK"/>
              </w:rPr>
              <w:t>Влада</w:t>
            </w:r>
          </w:p>
        </w:tc>
        <w:tc>
          <w:tcPr>
            <w:tcW w:w="6767" w:type="dxa"/>
            <w:gridSpan w:val="5"/>
          </w:tcPr>
          <w:p w:rsidR="00B13922" w:rsidRPr="009913D7" w:rsidRDefault="00B13922" w:rsidP="005909F7">
            <w:pPr>
              <w:jc w:val="both"/>
              <w:rPr>
                <w:sz w:val="20"/>
                <w:szCs w:val="20"/>
                <w:lang w:val="mk-MK"/>
              </w:rPr>
            </w:pPr>
            <w:r w:rsidRPr="009913D7">
              <w:rPr>
                <w:sz w:val="20"/>
                <w:szCs w:val="20"/>
                <w:lang w:val="mk-MK"/>
              </w:rPr>
              <w:t xml:space="preserve">Министерство за информатичко општество и администрација; </w:t>
            </w:r>
          </w:p>
          <w:p w:rsidR="00B13922" w:rsidRPr="009913D7" w:rsidRDefault="00B13922" w:rsidP="005909F7">
            <w:pPr>
              <w:jc w:val="both"/>
              <w:rPr>
                <w:sz w:val="20"/>
                <w:szCs w:val="20"/>
                <w:lang w:val="mk-MK"/>
              </w:rPr>
            </w:pPr>
            <w:r w:rsidRPr="009913D7">
              <w:rPr>
                <w:sz w:val="20"/>
                <w:szCs w:val="20"/>
                <w:lang w:val="mk-MK"/>
              </w:rPr>
              <w:t xml:space="preserve">Министерство за правда и </w:t>
            </w:r>
          </w:p>
          <w:p w:rsidR="00B13922" w:rsidRPr="009913D7" w:rsidRDefault="00B13922" w:rsidP="005909F7">
            <w:pPr>
              <w:jc w:val="both"/>
              <w:rPr>
                <w:sz w:val="20"/>
                <w:szCs w:val="20"/>
                <w:lang w:val="mk-MK"/>
              </w:rPr>
            </w:pPr>
            <w:r w:rsidRPr="009913D7">
              <w:rPr>
                <w:sz w:val="20"/>
                <w:szCs w:val="20"/>
                <w:lang w:val="mk-MK"/>
              </w:rPr>
              <w:t>Министерство за финансии</w:t>
            </w:r>
          </w:p>
        </w:tc>
      </w:tr>
      <w:tr w:rsidR="00B13922" w:rsidTr="00B37EA3">
        <w:trPr>
          <w:trHeight w:val="625"/>
        </w:trPr>
        <w:tc>
          <w:tcPr>
            <w:tcW w:w="1803" w:type="dxa"/>
            <w:vMerge/>
          </w:tcPr>
          <w:p w:rsidR="00B13922" w:rsidRPr="00381F72" w:rsidRDefault="00B13922" w:rsidP="002133FA">
            <w:pPr>
              <w:jc w:val="both"/>
              <w:rPr>
                <w:color w:val="878786"/>
                <w:spacing w:val="-6"/>
                <w:w w:val="124"/>
                <w:sz w:val="18"/>
                <w:szCs w:val="18"/>
                <w:lang w:val="mk-MK"/>
              </w:rPr>
            </w:pPr>
          </w:p>
        </w:tc>
        <w:tc>
          <w:tcPr>
            <w:tcW w:w="2140" w:type="dxa"/>
          </w:tcPr>
          <w:p w:rsidR="00B13922" w:rsidRPr="00381F72" w:rsidRDefault="00B13922" w:rsidP="002133FA">
            <w:pPr>
              <w:pStyle w:val="ListParagraph"/>
              <w:ind w:left="0"/>
              <w:jc w:val="both"/>
              <w:rPr>
                <w:color w:val="878786"/>
                <w:spacing w:val="-6"/>
                <w:w w:val="124"/>
                <w:sz w:val="18"/>
                <w:szCs w:val="18"/>
                <w:lang w:val="mk-MK"/>
              </w:rPr>
            </w:pPr>
            <w:r w:rsidRPr="00381F72">
              <w:rPr>
                <w:color w:val="878786"/>
                <w:spacing w:val="-6"/>
                <w:w w:val="124"/>
                <w:sz w:val="18"/>
                <w:szCs w:val="18"/>
                <w:lang w:val="mk-MK"/>
              </w:rPr>
              <w:t xml:space="preserve">ЦСО, приватен сектор,работни групи,мултилатерали  </w:t>
            </w:r>
          </w:p>
        </w:tc>
        <w:tc>
          <w:tcPr>
            <w:tcW w:w="6767" w:type="dxa"/>
            <w:gridSpan w:val="5"/>
          </w:tcPr>
          <w:p w:rsidR="00B13922" w:rsidRPr="009913D7" w:rsidRDefault="00B13922" w:rsidP="005909F7">
            <w:pPr>
              <w:jc w:val="both"/>
              <w:rPr>
                <w:sz w:val="20"/>
                <w:szCs w:val="20"/>
                <w:lang w:val="mk-MK"/>
              </w:rPr>
            </w:pPr>
            <w:r w:rsidRPr="009913D7">
              <w:rPr>
                <w:sz w:val="20"/>
                <w:szCs w:val="20"/>
                <w:lang w:val="mk-MK"/>
              </w:rPr>
              <w:t>Центар за граѓански комуникации;</w:t>
            </w:r>
          </w:p>
          <w:p w:rsidR="00B13922" w:rsidRPr="009913D7" w:rsidRDefault="00B13922" w:rsidP="005909F7">
            <w:pPr>
              <w:jc w:val="both"/>
              <w:rPr>
                <w:sz w:val="20"/>
                <w:szCs w:val="20"/>
                <w:lang w:val="mk-MK"/>
              </w:rPr>
            </w:pPr>
            <w:r w:rsidRPr="009913D7">
              <w:rPr>
                <w:sz w:val="20"/>
                <w:szCs w:val="20"/>
                <w:lang w:val="mk-MK"/>
              </w:rPr>
              <w:t>Фондација отворено општество-Македонија и</w:t>
            </w:r>
          </w:p>
          <w:p w:rsidR="00B13922" w:rsidRPr="009913D7" w:rsidRDefault="00B13922" w:rsidP="005909F7">
            <w:pPr>
              <w:jc w:val="both"/>
              <w:rPr>
                <w:sz w:val="20"/>
                <w:szCs w:val="20"/>
                <w:lang w:val="mk-MK"/>
              </w:rPr>
            </w:pPr>
            <w:r w:rsidRPr="009913D7">
              <w:rPr>
                <w:sz w:val="20"/>
                <w:szCs w:val="20"/>
                <w:lang w:val="mk-MK"/>
              </w:rPr>
              <w:t>Здружение за еманципација, солидарност и еднаквост на женитена РМ (ЕСЕ)</w:t>
            </w:r>
          </w:p>
        </w:tc>
      </w:tr>
      <w:tr w:rsidR="00B13922" w:rsidTr="00B37EA3">
        <w:tc>
          <w:tcPr>
            <w:tcW w:w="3943" w:type="dxa"/>
            <w:gridSpan w:val="2"/>
          </w:tcPr>
          <w:p w:rsidR="00B13922" w:rsidRPr="00381F72" w:rsidRDefault="00B13922" w:rsidP="002133FA">
            <w:pPr>
              <w:jc w:val="both"/>
              <w:rPr>
                <w:color w:val="878786"/>
                <w:spacing w:val="-6"/>
                <w:w w:val="124"/>
                <w:sz w:val="18"/>
                <w:szCs w:val="18"/>
                <w:lang w:val="mk-MK"/>
              </w:rPr>
            </w:pPr>
            <w:r w:rsidRPr="00381F72">
              <w:rPr>
                <w:color w:val="878786"/>
                <w:spacing w:val="-6"/>
                <w:w w:val="124"/>
                <w:sz w:val="18"/>
                <w:szCs w:val="18"/>
                <w:lang w:val="mk-MK"/>
              </w:rPr>
              <w:t>Главна цел</w:t>
            </w:r>
          </w:p>
        </w:tc>
        <w:tc>
          <w:tcPr>
            <w:tcW w:w="6767" w:type="dxa"/>
            <w:gridSpan w:val="5"/>
          </w:tcPr>
          <w:p w:rsidR="00B13922" w:rsidRPr="009913D7" w:rsidRDefault="00B13922" w:rsidP="005909F7">
            <w:pPr>
              <w:jc w:val="both"/>
              <w:rPr>
                <w:sz w:val="20"/>
                <w:szCs w:val="20"/>
                <w:lang w:val="mk-MK"/>
              </w:rPr>
            </w:pPr>
            <w:r w:rsidRPr="009913D7">
              <w:rPr>
                <w:sz w:val="20"/>
                <w:szCs w:val="20"/>
                <w:lang w:val="mk-MK"/>
              </w:rPr>
              <w:t>Унапредување и олеснување на пристапот до информации</w:t>
            </w:r>
          </w:p>
        </w:tc>
      </w:tr>
      <w:tr w:rsidR="00B13922" w:rsidTr="00B37EA3">
        <w:tc>
          <w:tcPr>
            <w:tcW w:w="3943" w:type="dxa"/>
            <w:gridSpan w:val="2"/>
          </w:tcPr>
          <w:p w:rsidR="00B13922" w:rsidRPr="00381F72" w:rsidRDefault="00B13922" w:rsidP="002133FA">
            <w:pPr>
              <w:jc w:val="both"/>
              <w:rPr>
                <w:color w:val="878786"/>
                <w:spacing w:val="-6"/>
                <w:w w:val="124"/>
                <w:sz w:val="18"/>
                <w:szCs w:val="18"/>
                <w:lang w:val="mk-MK"/>
              </w:rPr>
            </w:pPr>
            <w:r w:rsidRPr="00381F72">
              <w:rPr>
                <w:color w:val="878786"/>
                <w:spacing w:val="-6"/>
                <w:w w:val="124"/>
                <w:sz w:val="18"/>
                <w:szCs w:val="18"/>
                <w:lang w:val="mk-MK"/>
              </w:rPr>
              <w:t xml:space="preserve">Краток опис на заложбата (макс 140 </w:t>
            </w:r>
            <w:r w:rsidRPr="00381F72">
              <w:rPr>
                <w:color w:val="878786"/>
                <w:spacing w:val="-6"/>
                <w:w w:val="124"/>
                <w:sz w:val="18"/>
                <w:szCs w:val="18"/>
                <w:lang w:val="mk-MK"/>
              </w:rPr>
              <w:lastRenderedPageBreak/>
              <w:t>карактери)</w:t>
            </w:r>
          </w:p>
        </w:tc>
        <w:tc>
          <w:tcPr>
            <w:tcW w:w="6767" w:type="dxa"/>
            <w:gridSpan w:val="5"/>
          </w:tcPr>
          <w:p w:rsidR="00B13922" w:rsidRPr="009913D7" w:rsidRDefault="00B13922" w:rsidP="005909F7">
            <w:pPr>
              <w:jc w:val="both"/>
              <w:rPr>
                <w:sz w:val="20"/>
                <w:szCs w:val="20"/>
              </w:rPr>
            </w:pPr>
            <w:r w:rsidRPr="009913D7">
              <w:rPr>
                <w:sz w:val="20"/>
                <w:szCs w:val="20"/>
                <w:lang w:val="mk-MK"/>
              </w:rPr>
              <w:lastRenderedPageBreak/>
              <w:t xml:space="preserve">Подобрување на пристапот до информациите од јавен карактер, </w:t>
            </w:r>
            <w:r w:rsidRPr="009913D7">
              <w:rPr>
                <w:sz w:val="20"/>
                <w:szCs w:val="20"/>
                <w:lang w:val="mk-MK"/>
              </w:rPr>
              <w:lastRenderedPageBreak/>
              <w:t>информираност на граѓаните, како и подобрување на Законот за СПИЈК е клучен за имплементација на законот и уставното загарантирано право (член 16 од Уставот на Р.М.)</w:t>
            </w:r>
          </w:p>
          <w:p w:rsidR="00B13922" w:rsidRPr="009913D7" w:rsidRDefault="00B13922" w:rsidP="005909F7">
            <w:pPr>
              <w:jc w:val="both"/>
              <w:rPr>
                <w:color w:val="FF0000"/>
                <w:sz w:val="20"/>
                <w:szCs w:val="20"/>
                <w:lang w:val="mk-MK"/>
              </w:rPr>
            </w:pPr>
          </w:p>
        </w:tc>
      </w:tr>
      <w:tr w:rsidR="00B13922" w:rsidTr="00B37EA3">
        <w:tc>
          <w:tcPr>
            <w:tcW w:w="3943" w:type="dxa"/>
            <w:gridSpan w:val="2"/>
          </w:tcPr>
          <w:p w:rsidR="00B13922" w:rsidRPr="00381F72" w:rsidRDefault="00B13922" w:rsidP="002133FA">
            <w:pPr>
              <w:jc w:val="both"/>
              <w:rPr>
                <w:color w:val="878786"/>
                <w:spacing w:val="-6"/>
                <w:w w:val="124"/>
                <w:sz w:val="18"/>
                <w:szCs w:val="18"/>
                <w:lang w:val="mk-MK"/>
              </w:rPr>
            </w:pPr>
            <w:r w:rsidRPr="00381F72">
              <w:rPr>
                <w:color w:val="878786"/>
                <w:spacing w:val="-6"/>
                <w:w w:val="124"/>
                <w:sz w:val="18"/>
                <w:szCs w:val="18"/>
                <w:lang w:val="mk-MK"/>
              </w:rPr>
              <w:lastRenderedPageBreak/>
              <w:t>Релевантност</w:t>
            </w:r>
          </w:p>
          <w:p w:rsidR="00B13922" w:rsidRPr="00381F72" w:rsidRDefault="00B13922" w:rsidP="002133FA">
            <w:pPr>
              <w:jc w:val="both"/>
              <w:rPr>
                <w:color w:val="878786"/>
                <w:spacing w:val="-6"/>
                <w:w w:val="124"/>
                <w:sz w:val="18"/>
                <w:szCs w:val="18"/>
                <w:lang w:val="mk-MK"/>
              </w:rPr>
            </w:pPr>
            <w:r w:rsidRPr="00381F72">
              <w:rPr>
                <w:color w:val="878786"/>
                <w:spacing w:val="-6"/>
                <w:w w:val="124"/>
                <w:sz w:val="18"/>
                <w:szCs w:val="18"/>
                <w:lang w:val="mk-MK"/>
              </w:rPr>
              <w:t>Накратко опишете го начинот на кој оваа заложба е релевантна за понатамошно унапредување на вредностите на ОВП,</w:t>
            </w:r>
          </w:p>
          <w:p w:rsidR="00B13922" w:rsidRPr="00381F72" w:rsidRDefault="00B13922" w:rsidP="002133FA">
            <w:pPr>
              <w:pStyle w:val="ListParagraph"/>
              <w:ind w:left="0"/>
              <w:jc w:val="both"/>
              <w:rPr>
                <w:color w:val="878786"/>
                <w:spacing w:val="-6"/>
                <w:w w:val="124"/>
                <w:sz w:val="18"/>
                <w:szCs w:val="18"/>
                <w:lang w:val="mk-MK"/>
              </w:rPr>
            </w:pPr>
            <w:r w:rsidRPr="00381F72">
              <w:rPr>
                <w:color w:val="878786"/>
                <w:spacing w:val="-6"/>
                <w:w w:val="124"/>
                <w:sz w:val="18"/>
                <w:szCs w:val="18"/>
                <w:lang w:val="mk-MK"/>
              </w:rPr>
              <w:t>на пристап до информации, јавна одговорност, граѓанско учество, и технологија и иновации за отвореност и одговорност. (Детален опис на овие вредности е достапна во Забелешка за насоки во врска со Извештајот за ОВП)</w:t>
            </w:r>
          </w:p>
        </w:tc>
        <w:tc>
          <w:tcPr>
            <w:tcW w:w="6767" w:type="dxa"/>
            <w:gridSpan w:val="5"/>
          </w:tcPr>
          <w:p w:rsidR="00B13922" w:rsidRPr="009913D7" w:rsidRDefault="00B13922" w:rsidP="005909F7">
            <w:pPr>
              <w:jc w:val="both"/>
              <w:rPr>
                <w:sz w:val="20"/>
                <w:szCs w:val="20"/>
                <w:lang w:val="mk-MK"/>
              </w:rPr>
            </w:pPr>
            <w:r w:rsidRPr="009913D7">
              <w:rPr>
                <w:sz w:val="20"/>
                <w:szCs w:val="20"/>
                <w:lang w:val="mk-MK"/>
              </w:rPr>
              <w:t>Со имплементирање на заложбите од Приоритетот 3. Слобода на информации ќе се намали ограниченоста на пристапот до информации, како што се молкот на администрацијата како главна причина за ограничување на пристапот до информациите од јавен карактер, неинформираноста на граѓаните за нивното загарантирано право на пристап до информации од јавен карактер, имателите на информации од јавен карактер, како едни од главните чинители за спроведување на заложбите, ќе ја зголемат својата транспарентност во работењето, со тоа што информациите со кои располагаат ќе ги објавуваат на своите веб локации и огласни табли, со што документите кои ги поседуваат ќе бидат полесно достапни до граѓаните, односно барателите на информации од јавен карактер. Граѓанскиот сектор со своите активности ја подобрува имплементацијата на Законот за СПИЈК, одржувајќи обуки за граѓаните, невладиниот сектор и новинарите, а истовремено преку изготвените апликативни веб решенија на граѓаните им го олеснува поднесувањето на барања за слободен пристап до информациите од јавен карактер до имателите на информации.</w:t>
            </w:r>
          </w:p>
        </w:tc>
      </w:tr>
      <w:tr w:rsidR="00B13922" w:rsidTr="00B37EA3">
        <w:tc>
          <w:tcPr>
            <w:tcW w:w="3943" w:type="dxa"/>
            <w:gridSpan w:val="2"/>
            <w:tcBorders>
              <w:bottom w:val="single" w:sz="4" w:space="0" w:color="auto"/>
            </w:tcBorders>
          </w:tcPr>
          <w:p w:rsidR="00B13922" w:rsidRPr="00381F72" w:rsidRDefault="00B13922" w:rsidP="002133FA">
            <w:pPr>
              <w:jc w:val="both"/>
              <w:rPr>
                <w:color w:val="878786"/>
                <w:spacing w:val="-6"/>
                <w:w w:val="124"/>
                <w:sz w:val="18"/>
                <w:szCs w:val="18"/>
                <w:lang w:val="mk-MK"/>
              </w:rPr>
            </w:pPr>
            <w:r w:rsidRPr="00381F72">
              <w:rPr>
                <w:color w:val="878786"/>
                <w:spacing w:val="-6"/>
                <w:w w:val="124"/>
                <w:sz w:val="18"/>
                <w:szCs w:val="18"/>
                <w:lang w:val="mk-MK"/>
              </w:rPr>
              <w:t>Амбиција</w:t>
            </w:r>
          </w:p>
          <w:p w:rsidR="00B13922" w:rsidRPr="00381F72" w:rsidRDefault="00B13922" w:rsidP="002133FA">
            <w:pPr>
              <w:pStyle w:val="ListParagraph"/>
              <w:ind w:left="0"/>
              <w:jc w:val="both"/>
              <w:rPr>
                <w:color w:val="878786"/>
                <w:spacing w:val="-6"/>
                <w:w w:val="124"/>
                <w:sz w:val="18"/>
                <w:szCs w:val="18"/>
                <w:lang w:val="mk-MK"/>
              </w:rPr>
            </w:pPr>
            <w:r w:rsidRPr="00381F72">
              <w:rPr>
                <w:color w:val="878786"/>
                <w:spacing w:val="-6"/>
                <w:w w:val="124"/>
                <w:sz w:val="18"/>
                <w:szCs w:val="18"/>
                <w:lang w:val="mk-MK"/>
              </w:rPr>
              <w:t>Накратко опишете ги планираните резултати за политика на посветеност и тоа како таа или ќе ја направи владата поотворена или ќе ја подобри Владата преку поголема отвореност.</w:t>
            </w:r>
          </w:p>
        </w:tc>
        <w:tc>
          <w:tcPr>
            <w:tcW w:w="6767" w:type="dxa"/>
            <w:gridSpan w:val="5"/>
            <w:tcBorders>
              <w:bottom w:val="single" w:sz="4" w:space="0" w:color="auto"/>
            </w:tcBorders>
          </w:tcPr>
          <w:p w:rsidR="00B13922" w:rsidRPr="00381F72" w:rsidRDefault="00B13922" w:rsidP="002133FA">
            <w:pPr>
              <w:pStyle w:val="ListParagraph"/>
              <w:ind w:left="360"/>
              <w:jc w:val="both"/>
              <w:rPr>
                <w:color w:val="878786"/>
                <w:spacing w:val="-6"/>
                <w:w w:val="124"/>
                <w:sz w:val="18"/>
                <w:szCs w:val="18"/>
                <w:lang w:val="mk-MK"/>
              </w:rPr>
            </w:pPr>
            <w:r w:rsidRPr="009913D7">
              <w:rPr>
                <w:sz w:val="20"/>
                <w:szCs w:val="20"/>
                <w:lang w:val="mk-MK"/>
              </w:rPr>
              <w:t>Комисијата како носител на Приоритетот 3. Слобода на информации, но и како еден од  имплементаторите на Законот за СПИЈК, преку спроведување не само на заложбите и активностите од Акцискиот план за отворено владино партнерство, туку и преку целосно имплементирање на Законот, во иднина сака да ги спроведе во целост зацртаните цели за целосна отвореност и достапност на информациите од јавен карактер кои ги поседуваат сите иматели на информации од јавен карактер, на начин достапен за јавноста (интернет страница, огласна табла и дгруго) – член 9 од ЗСПИЈК. Со ова имателите на информации од јавен карактер ќе бидат транспарентни во објавувањето на информациите од јавен карактер, отворени за соработка со барателите-граѓаните, со што ќе се избегне молчењето на администрацијата, како причина за ограничување на пристапот до информациите од јавен карактер.</w:t>
            </w:r>
          </w:p>
        </w:tc>
      </w:tr>
      <w:tr w:rsidR="00B13922" w:rsidTr="002133FA">
        <w:tc>
          <w:tcPr>
            <w:tcW w:w="10710" w:type="dxa"/>
            <w:gridSpan w:val="7"/>
            <w:shd w:val="clear" w:color="auto" w:fill="BFBFBF" w:themeFill="background1" w:themeFillShade="BF"/>
          </w:tcPr>
          <w:p w:rsidR="00B13922" w:rsidRPr="00381F72" w:rsidRDefault="00B13922" w:rsidP="002133FA">
            <w:pPr>
              <w:jc w:val="both"/>
              <w:rPr>
                <w:color w:val="878786"/>
                <w:spacing w:val="-6"/>
                <w:w w:val="124"/>
                <w:sz w:val="18"/>
                <w:szCs w:val="18"/>
                <w:lang w:val="mk-MK"/>
              </w:rPr>
            </w:pPr>
          </w:p>
        </w:tc>
      </w:tr>
      <w:tr w:rsidR="00B13922" w:rsidTr="00B37EA3">
        <w:trPr>
          <w:trHeight w:val="435"/>
        </w:trPr>
        <w:tc>
          <w:tcPr>
            <w:tcW w:w="3960" w:type="dxa"/>
            <w:gridSpan w:val="3"/>
            <w:vMerge w:val="restart"/>
          </w:tcPr>
          <w:p w:rsidR="00B13922" w:rsidRPr="00381F72" w:rsidRDefault="00B13922" w:rsidP="002133FA">
            <w:pPr>
              <w:jc w:val="both"/>
              <w:rPr>
                <w:color w:val="878786"/>
                <w:spacing w:val="-6"/>
                <w:w w:val="124"/>
                <w:sz w:val="18"/>
                <w:szCs w:val="18"/>
                <w:lang w:val="mk-MK"/>
              </w:rPr>
            </w:pPr>
          </w:p>
          <w:p w:rsidR="00B13922" w:rsidRPr="00381F72" w:rsidRDefault="00B13922" w:rsidP="002133FA">
            <w:pPr>
              <w:jc w:val="both"/>
              <w:rPr>
                <w:color w:val="878786"/>
                <w:spacing w:val="-6"/>
                <w:w w:val="124"/>
                <w:sz w:val="18"/>
                <w:szCs w:val="18"/>
                <w:lang w:val="mk-MK"/>
              </w:rPr>
            </w:pPr>
            <w:r w:rsidRPr="00381F72">
              <w:rPr>
                <w:color w:val="878786"/>
                <w:spacing w:val="-6"/>
                <w:w w:val="124"/>
                <w:sz w:val="18"/>
                <w:szCs w:val="18"/>
                <w:lang w:val="mk-MK"/>
              </w:rPr>
              <w:t>Ниво на проект</w:t>
            </w:r>
          </w:p>
          <w:p w:rsidR="00B13922" w:rsidRPr="00381F72" w:rsidRDefault="00B13922" w:rsidP="002133FA">
            <w:pPr>
              <w:jc w:val="both"/>
              <w:rPr>
                <w:color w:val="878786"/>
                <w:spacing w:val="-6"/>
                <w:w w:val="124"/>
                <w:sz w:val="18"/>
                <w:szCs w:val="18"/>
                <w:lang w:val="mk-MK"/>
              </w:rPr>
            </w:pPr>
          </w:p>
        </w:tc>
        <w:tc>
          <w:tcPr>
            <w:tcW w:w="1627" w:type="dxa"/>
          </w:tcPr>
          <w:p w:rsidR="00B13922" w:rsidRPr="00381F72" w:rsidRDefault="00B13922" w:rsidP="002133FA">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B13922" w:rsidRPr="00381F72" w:rsidRDefault="00B13922" w:rsidP="002133FA">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B13922" w:rsidRPr="00381F72" w:rsidRDefault="00B13922" w:rsidP="002133FA">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B13922" w:rsidRPr="00381F72" w:rsidRDefault="00B13922" w:rsidP="002133FA">
            <w:pPr>
              <w:jc w:val="both"/>
              <w:rPr>
                <w:color w:val="878786"/>
                <w:spacing w:val="-6"/>
                <w:w w:val="124"/>
                <w:sz w:val="18"/>
                <w:szCs w:val="18"/>
                <w:lang w:val="mk-MK"/>
              </w:rPr>
            </w:pPr>
            <w:r>
              <w:rPr>
                <w:color w:val="878786"/>
                <w:spacing w:val="-6"/>
                <w:w w:val="124"/>
                <w:sz w:val="18"/>
                <w:szCs w:val="18"/>
                <w:lang w:val="mk-MK"/>
              </w:rPr>
              <w:t>завршено</w:t>
            </w:r>
          </w:p>
        </w:tc>
      </w:tr>
      <w:tr w:rsidR="00B13922" w:rsidTr="00C5008F">
        <w:trPr>
          <w:trHeight w:val="367"/>
        </w:trPr>
        <w:tc>
          <w:tcPr>
            <w:tcW w:w="3960" w:type="dxa"/>
            <w:gridSpan w:val="3"/>
            <w:vMerge/>
          </w:tcPr>
          <w:p w:rsidR="00B13922" w:rsidRPr="00381F72" w:rsidRDefault="00B13922" w:rsidP="002133FA">
            <w:pPr>
              <w:jc w:val="both"/>
              <w:rPr>
                <w:color w:val="878786"/>
                <w:spacing w:val="-6"/>
                <w:w w:val="124"/>
                <w:sz w:val="18"/>
                <w:szCs w:val="18"/>
                <w:lang w:val="mk-MK"/>
              </w:rPr>
            </w:pPr>
          </w:p>
        </w:tc>
        <w:tc>
          <w:tcPr>
            <w:tcW w:w="1627" w:type="dxa"/>
          </w:tcPr>
          <w:p w:rsidR="00B13922" w:rsidRPr="00381F72" w:rsidRDefault="00B13922" w:rsidP="002133FA">
            <w:pPr>
              <w:jc w:val="both"/>
              <w:rPr>
                <w:color w:val="878786"/>
                <w:spacing w:val="-6"/>
                <w:w w:val="124"/>
                <w:sz w:val="18"/>
                <w:szCs w:val="18"/>
                <w:lang w:val="mk-MK"/>
              </w:rPr>
            </w:pPr>
          </w:p>
        </w:tc>
        <w:tc>
          <w:tcPr>
            <w:tcW w:w="1724" w:type="dxa"/>
            <w:shd w:val="clear" w:color="auto" w:fill="548DD4" w:themeFill="text2" w:themeFillTint="99"/>
          </w:tcPr>
          <w:p w:rsidR="00B13922" w:rsidRPr="00381F72" w:rsidRDefault="00B13922" w:rsidP="002133FA">
            <w:pPr>
              <w:jc w:val="both"/>
              <w:rPr>
                <w:color w:val="878786"/>
                <w:spacing w:val="-6"/>
                <w:w w:val="124"/>
                <w:sz w:val="18"/>
                <w:szCs w:val="18"/>
                <w:lang w:val="mk-MK"/>
              </w:rPr>
            </w:pPr>
          </w:p>
        </w:tc>
        <w:tc>
          <w:tcPr>
            <w:tcW w:w="1564" w:type="dxa"/>
          </w:tcPr>
          <w:p w:rsidR="00B13922" w:rsidRPr="00381F72" w:rsidRDefault="00B13922" w:rsidP="002133FA">
            <w:pPr>
              <w:jc w:val="both"/>
              <w:rPr>
                <w:color w:val="878786"/>
                <w:spacing w:val="-6"/>
                <w:w w:val="124"/>
                <w:sz w:val="18"/>
                <w:szCs w:val="18"/>
                <w:lang w:val="mk-MK"/>
              </w:rPr>
            </w:pPr>
          </w:p>
        </w:tc>
        <w:tc>
          <w:tcPr>
            <w:tcW w:w="1835" w:type="dxa"/>
          </w:tcPr>
          <w:p w:rsidR="00B13922" w:rsidRPr="00381F72" w:rsidRDefault="00B13922" w:rsidP="002133FA">
            <w:pPr>
              <w:jc w:val="both"/>
              <w:rPr>
                <w:color w:val="878786"/>
                <w:spacing w:val="-6"/>
                <w:w w:val="124"/>
                <w:sz w:val="18"/>
                <w:szCs w:val="18"/>
                <w:lang w:val="mk-MK"/>
              </w:rPr>
            </w:pPr>
          </w:p>
        </w:tc>
      </w:tr>
      <w:tr w:rsidR="00C5008F" w:rsidTr="00B37EA3">
        <w:tc>
          <w:tcPr>
            <w:tcW w:w="3960" w:type="dxa"/>
            <w:gridSpan w:val="3"/>
          </w:tcPr>
          <w:p w:rsidR="00C5008F" w:rsidRPr="00381F72" w:rsidRDefault="00C5008F" w:rsidP="002133FA">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C5008F" w:rsidRPr="00381F72" w:rsidRDefault="00C5008F" w:rsidP="002133FA">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C5008F" w:rsidRPr="009913D7" w:rsidRDefault="00C5008F" w:rsidP="005909F7">
            <w:pPr>
              <w:jc w:val="both"/>
              <w:rPr>
                <w:b/>
                <w:sz w:val="20"/>
                <w:szCs w:val="20"/>
                <w:lang w:val="mk-MK"/>
              </w:rPr>
            </w:pPr>
            <w:r w:rsidRPr="009913D7">
              <w:rPr>
                <w:b/>
                <w:sz w:val="20"/>
                <w:szCs w:val="20"/>
                <w:lang w:val="mk-MK"/>
              </w:rPr>
              <w:t>Мерка 9. Изменување и дополнувања на Законот за слободен пристап до информации до јавен карактер</w:t>
            </w:r>
          </w:p>
          <w:p w:rsidR="00C5008F" w:rsidRPr="009913D7" w:rsidRDefault="00C5008F" w:rsidP="005909F7">
            <w:pPr>
              <w:jc w:val="both"/>
              <w:rPr>
                <w:b/>
                <w:sz w:val="20"/>
                <w:szCs w:val="20"/>
                <w:lang w:val="mk-MK"/>
              </w:rPr>
            </w:pPr>
          </w:p>
          <w:p w:rsidR="00C5008F" w:rsidRPr="009913D7" w:rsidRDefault="00C5008F" w:rsidP="00C5008F">
            <w:pPr>
              <w:numPr>
                <w:ilvl w:val="0"/>
                <w:numId w:val="3"/>
              </w:numPr>
              <w:jc w:val="both"/>
              <w:rPr>
                <w:sz w:val="20"/>
                <w:szCs w:val="20"/>
                <w:lang w:val="mk-MK"/>
              </w:rPr>
            </w:pPr>
            <w:r w:rsidRPr="009913D7">
              <w:rPr>
                <w:sz w:val="20"/>
                <w:szCs w:val="20"/>
                <w:lang w:val="mk-MK"/>
              </w:rPr>
              <w:t>Министерството за правда во наредниот период ќе се произнесе за потребата од менување на Законот за слободен пристап до информации од јавен карактер.</w:t>
            </w:r>
          </w:p>
          <w:p w:rsidR="00C5008F" w:rsidRPr="009913D7" w:rsidRDefault="00C5008F" w:rsidP="005909F7">
            <w:pPr>
              <w:jc w:val="both"/>
              <w:rPr>
                <w:sz w:val="20"/>
                <w:szCs w:val="20"/>
                <w:lang w:val="mk-MK"/>
              </w:rPr>
            </w:pPr>
          </w:p>
          <w:p w:rsidR="00C5008F" w:rsidRPr="009913D7" w:rsidRDefault="00C5008F" w:rsidP="005909F7">
            <w:pPr>
              <w:jc w:val="both"/>
              <w:rPr>
                <w:b/>
                <w:sz w:val="20"/>
                <w:szCs w:val="20"/>
                <w:lang w:val="mk-MK"/>
              </w:rPr>
            </w:pPr>
            <w:r w:rsidRPr="009913D7">
              <w:rPr>
                <w:b/>
                <w:sz w:val="20"/>
                <w:szCs w:val="20"/>
                <w:lang w:val="mk-MK"/>
              </w:rPr>
              <w:t>Мерка 4: Редовно објавување и ажурирање на Листа на информации кај имателите</w:t>
            </w:r>
          </w:p>
          <w:p w:rsidR="00C5008F" w:rsidRPr="009913D7" w:rsidRDefault="00C5008F" w:rsidP="005909F7">
            <w:pPr>
              <w:jc w:val="both"/>
              <w:rPr>
                <w:sz w:val="20"/>
                <w:szCs w:val="20"/>
              </w:rPr>
            </w:pPr>
          </w:p>
          <w:p w:rsidR="00C5008F" w:rsidRPr="009913D7" w:rsidRDefault="00C5008F" w:rsidP="00C5008F">
            <w:pPr>
              <w:numPr>
                <w:ilvl w:val="0"/>
                <w:numId w:val="3"/>
              </w:numPr>
              <w:jc w:val="both"/>
              <w:rPr>
                <w:sz w:val="20"/>
                <w:szCs w:val="20"/>
              </w:rPr>
            </w:pPr>
            <w:r w:rsidRPr="009913D7">
              <w:rPr>
                <w:sz w:val="20"/>
                <w:szCs w:val="20"/>
                <w:lang w:val="mk-MK"/>
              </w:rPr>
              <w:t>Сите иматели на информации треба своите информации од јавен карактер кои ги поседуваат и со кои располагаат треба да ги објават на своите веб локации</w:t>
            </w:r>
          </w:p>
          <w:p w:rsidR="00C5008F" w:rsidRPr="009913D7" w:rsidRDefault="00C5008F" w:rsidP="005909F7">
            <w:pPr>
              <w:ind w:left="180"/>
              <w:rPr>
                <w:sz w:val="20"/>
                <w:szCs w:val="20"/>
                <w:lang w:val="mk-MK"/>
              </w:rPr>
            </w:pPr>
          </w:p>
        </w:tc>
      </w:tr>
      <w:tr w:rsidR="00C5008F" w:rsidTr="00B37EA3">
        <w:tc>
          <w:tcPr>
            <w:tcW w:w="3960" w:type="dxa"/>
            <w:gridSpan w:val="3"/>
          </w:tcPr>
          <w:p w:rsidR="00C5008F" w:rsidRPr="00381F72" w:rsidRDefault="00C5008F" w:rsidP="002133FA">
            <w:pPr>
              <w:jc w:val="both"/>
              <w:rPr>
                <w:color w:val="878786"/>
                <w:spacing w:val="-6"/>
                <w:w w:val="124"/>
                <w:sz w:val="18"/>
                <w:szCs w:val="18"/>
                <w:lang w:val="mk-MK"/>
              </w:rPr>
            </w:pPr>
            <w:r w:rsidRPr="00381F72">
              <w:rPr>
                <w:color w:val="878786"/>
                <w:spacing w:val="-6"/>
                <w:w w:val="124"/>
                <w:sz w:val="18"/>
                <w:szCs w:val="18"/>
                <w:lang w:val="mk-MK"/>
              </w:rPr>
              <w:lastRenderedPageBreak/>
              <w:t>Краен датум</w:t>
            </w:r>
          </w:p>
        </w:tc>
        <w:tc>
          <w:tcPr>
            <w:tcW w:w="6750" w:type="dxa"/>
            <w:gridSpan w:val="4"/>
          </w:tcPr>
          <w:p w:rsidR="00C5008F" w:rsidRPr="009913D7" w:rsidRDefault="00C5008F" w:rsidP="005909F7">
            <w:pPr>
              <w:rPr>
                <w:sz w:val="20"/>
                <w:szCs w:val="20"/>
                <w:lang w:val="mk-MK"/>
              </w:rPr>
            </w:pPr>
            <w:r w:rsidRPr="009913D7">
              <w:rPr>
                <w:sz w:val="20"/>
                <w:szCs w:val="20"/>
                <w:lang w:val="mk-MK"/>
              </w:rPr>
              <w:t xml:space="preserve"> Септември 2015 - Декември 2016 година</w:t>
            </w:r>
          </w:p>
        </w:tc>
      </w:tr>
      <w:tr w:rsidR="00C5008F" w:rsidTr="00B37EA3">
        <w:tc>
          <w:tcPr>
            <w:tcW w:w="3960" w:type="dxa"/>
            <w:gridSpan w:val="3"/>
          </w:tcPr>
          <w:p w:rsidR="00C5008F" w:rsidRPr="00381F72" w:rsidRDefault="00C5008F" w:rsidP="002133FA">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C5008F" w:rsidRPr="009913D7" w:rsidRDefault="00C5008F" w:rsidP="00C5008F">
            <w:pPr>
              <w:numPr>
                <w:ilvl w:val="0"/>
                <w:numId w:val="4"/>
              </w:numPr>
              <w:rPr>
                <w:sz w:val="20"/>
                <w:szCs w:val="20"/>
                <w:lang w:val="mk-MK"/>
              </w:rPr>
            </w:pPr>
            <w:r w:rsidRPr="009913D7">
              <w:rPr>
                <w:sz w:val="20"/>
                <w:szCs w:val="20"/>
                <w:lang w:val="mk-MK"/>
              </w:rPr>
              <w:t>Утврдена е потребата од измени на Законот за СПИЈК. До Министерството за правда се доставени предлози за измени од сите чинители на работната група.</w:t>
            </w:r>
          </w:p>
          <w:p w:rsidR="00C5008F" w:rsidRPr="009913D7" w:rsidRDefault="00C5008F" w:rsidP="00C5008F">
            <w:pPr>
              <w:numPr>
                <w:ilvl w:val="0"/>
                <w:numId w:val="4"/>
              </w:numPr>
              <w:jc w:val="both"/>
              <w:rPr>
                <w:sz w:val="20"/>
                <w:szCs w:val="20"/>
                <w:lang w:val="mk-MK"/>
              </w:rPr>
            </w:pPr>
            <w:r w:rsidRPr="009913D7">
              <w:rPr>
                <w:sz w:val="20"/>
                <w:szCs w:val="20"/>
                <w:lang w:val="mk-MK"/>
              </w:rPr>
              <w:t>Комисијата за ЗПСПИЈК преку обуките кои ги одржува за одговорните и службените лица за посредување со информациите од јавен карактер, континуирано им посочува на службените лица како да го применуваат Законот за СПИЈК, постојано укажува на кој начин треба да се објавува и ажурира Листата на информации  кај имателите (на нивните веб локации или огласните табли во институциите). Имателите на информации на своите веб локации да изготват банери или линкови во кои ќе бидат поставени сите информации од јавен карактер кои ги поседуваат и со кои располагаат.</w:t>
            </w:r>
          </w:p>
          <w:p w:rsidR="00C5008F" w:rsidRPr="009913D7" w:rsidRDefault="00C5008F" w:rsidP="005909F7">
            <w:pPr>
              <w:pStyle w:val="ListParagraph"/>
              <w:ind w:left="360"/>
              <w:jc w:val="both"/>
              <w:rPr>
                <w:bCs/>
                <w:sz w:val="20"/>
                <w:szCs w:val="20"/>
                <w:lang w:val="mk-MK"/>
              </w:rPr>
            </w:pPr>
          </w:p>
          <w:p w:rsidR="00C5008F" w:rsidRPr="009913D7" w:rsidRDefault="00C5008F" w:rsidP="005909F7">
            <w:pPr>
              <w:pStyle w:val="ListParagraph"/>
              <w:ind w:left="360"/>
              <w:jc w:val="both"/>
              <w:rPr>
                <w:bCs/>
                <w:sz w:val="20"/>
                <w:szCs w:val="20"/>
                <w:lang w:val="mk-MK"/>
              </w:rPr>
            </w:pPr>
          </w:p>
          <w:p w:rsidR="00C5008F" w:rsidRPr="009913D7" w:rsidRDefault="00C5008F" w:rsidP="005909F7">
            <w:pPr>
              <w:pStyle w:val="ListParagraph"/>
              <w:ind w:left="360"/>
              <w:jc w:val="both"/>
              <w:rPr>
                <w:bCs/>
                <w:sz w:val="20"/>
                <w:szCs w:val="20"/>
                <w:lang w:val="mk-MK"/>
              </w:rPr>
            </w:pPr>
          </w:p>
        </w:tc>
      </w:tr>
      <w:tr w:rsidR="00C5008F" w:rsidTr="002133FA">
        <w:tc>
          <w:tcPr>
            <w:tcW w:w="10710" w:type="dxa"/>
            <w:gridSpan w:val="7"/>
          </w:tcPr>
          <w:p w:rsidR="00C5008F" w:rsidRDefault="00C5008F" w:rsidP="002133FA">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r w:rsidR="00C5008F" w:rsidTr="005909F7">
        <w:trPr>
          <w:trHeight w:val="435"/>
        </w:trPr>
        <w:tc>
          <w:tcPr>
            <w:tcW w:w="3960" w:type="dxa"/>
            <w:gridSpan w:val="3"/>
            <w:vMerge w:val="restart"/>
          </w:tcPr>
          <w:p w:rsidR="00C5008F" w:rsidRPr="00381F72" w:rsidRDefault="00C5008F" w:rsidP="005909F7">
            <w:pPr>
              <w:jc w:val="both"/>
              <w:rPr>
                <w:color w:val="878786"/>
                <w:spacing w:val="-6"/>
                <w:w w:val="124"/>
                <w:sz w:val="18"/>
                <w:szCs w:val="18"/>
                <w:lang w:val="mk-MK"/>
              </w:rPr>
            </w:pPr>
          </w:p>
          <w:p w:rsidR="00C5008F" w:rsidRPr="00381F72" w:rsidRDefault="00C5008F" w:rsidP="005909F7">
            <w:pPr>
              <w:jc w:val="both"/>
              <w:rPr>
                <w:color w:val="878786"/>
                <w:spacing w:val="-6"/>
                <w:w w:val="124"/>
                <w:sz w:val="18"/>
                <w:szCs w:val="18"/>
                <w:lang w:val="mk-MK"/>
              </w:rPr>
            </w:pPr>
            <w:r w:rsidRPr="00381F72">
              <w:rPr>
                <w:color w:val="878786"/>
                <w:spacing w:val="-6"/>
                <w:w w:val="124"/>
                <w:sz w:val="18"/>
                <w:szCs w:val="18"/>
                <w:lang w:val="mk-MK"/>
              </w:rPr>
              <w:t>Ниво на проект</w:t>
            </w:r>
          </w:p>
          <w:p w:rsidR="00C5008F" w:rsidRPr="00381F72" w:rsidRDefault="00C5008F" w:rsidP="005909F7">
            <w:pPr>
              <w:jc w:val="both"/>
              <w:rPr>
                <w:color w:val="878786"/>
                <w:spacing w:val="-6"/>
                <w:w w:val="124"/>
                <w:sz w:val="18"/>
                <w:szCs w:val="18"/>
                <w:lang w:val="mk-MK"/>
              </w:rPr>
            </w:pPr>
          </w:p>
        </w:tc>
        <w:tc>
          <w:tcPr>
            <w:tcW w:w="1627" w:type="dxa"/>
          </w:tcPr>
          <w:p w:rsidR="00C5008F" w:rsidRPr="00381F72" w:rsidRDefault="00C5008F" w:rsidP="005909F7">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C5008F" w:rsidRPr="00381F72" w:rsidRDefault="00C5008F" w:rsidP="005909F7">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C5008F" w:rsidRPr="00381F72" w:rsidRDefault="00C5008F" w:rsidP="005909F7">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C5008F" w:rsidRPr="00381F72" w:rsidRDefault="00C5008F" w:rsidP="005909F7">
            <w:pPr>
              <w:jc w:val="both"/>
              <w:rPr>
                <w:color w:val="878786"/>
                <w:spacing w:val="-6"/>
                <w:w w:val="124"/>
                <w:sz w:val="18"/>
                <w:szCs w:val="18"/>
                <w:lang w:val="mk-MK"/>
              </w:rPr>
            </w:pPr>
            <w:r>
              <w:rPr>
                <w:color w:val="878786"/>
                <w:spacing w:val="-6"/>
                <w:w w:val="124"/>
                <w:sz w:val="18"/>
                <w:szCs w:val="18"/>
                <w:lang w:val="mk-MK"/>
              </w:rPr>
              <w:t>завршено</w:t>
            </w:r>
          </w:p>
        </w:tc>
      </w:tr>
      <w:tr w:rsidR="00C5008F" w:rsidTr="00C5008F">
        <w:trPr>
          <w:trHeight w:val="367"/>
        </w:trPr>
        <w:tc>
          <w:tcPr>
            <w:tcW w:w="3960" w:type="dxa"/>
            <w:gridSpan w:val="3"/>
            <w:vMerge/>
          </w:tcPr>
          <w:p w:rsidR="00C5008F" w:rsidRPr="00381F72" w:rsidRDefault="00C5008F" w:rsidP="005909F7">
            <w:pPr>
              <w:jc w:val="both"/>
              <w:rPr>
                <w:color w:val="878786"/>
                <w:spacing w:val="-6"/>
                <w:w w:val="124"/>
                <w:sz w:val="18"/>
                <w:szCs w:val="18"/>
                <w:lang w:val="mk-MK"/>
              </w:rPr>
            </w:pPr>
          </w:p>
        </w:tc>
        <w:tc>
          <w:tcPr>
            <w:tcW w:w="1627" w:type="dxa"/>
          </w:tcPr>
          <w:p w:rsidR="00C5008F" w:rsidRPr="00381F72" w:rsidRDefault="00C5008F" w:rsidP="005909F7">
            <w:pPr>
              <w:jc w:val="both"/>
              <w:rPr>
                <w:color w:val="878786"/>
                <w:spacing w:val="-6"/>
                <w:w w:val="124"/>
                <w:sz w:val="18"/>
                <w:szCs w:val="18"/>
                <w:lang w:val="mk-MK"/>
              </w:rPr>
            </w:pPr>
          </w:p>
        </w:tc>
        <w:tc>
          <w:tcPr>
            <w:tcW w:w="1724" w:type="dxa"/>
          </w:tcPr>
          <w:p w:rsidR="00C5008F" w:rsidRPr="00381F72" w:rsidRDefault="00C5008F" w:rsidP="005909F7">
            <w:pPr>
              <w:jc w:val="both"/>
              <w:rPr>
                <w:color w:val="878786"/>
                <w:spacing w:val="-6"/>
                <w:w w:val="124"/>
                <w:sz w:val="18"/>
                <w:szCs w:val="18"/>
                <w:lang w:val="mk-MK"/>
              </w:rPr>
            </w:pPr>
          </w:p>
        </w:tc>
        <w:tc>
          <w:tcPr>
            <w:tcW w:w="1564" w:type="dxa"/>
            <w:shd w:val="clear" w:color="auto" w:fill="548DD4" w:themeFill="text2" w:themeFillTint="99"/>
          </w:tcPr>
          <w:p w:rsidR="00C5008F" w:rsidRPr="00381F72" w:rsidRDefault="00C5008F" w:rsidP="005909F7">
            <w:pPr>
              <w:jc w:val="both"/>
              <w:rPr>
                <w:color w:val="878786"/>
                <w:spacing w:val="-6"/>
                <w:w w:val="124"/>
                <w:sz w:val="18"/>
                <w:szCs w:val="18"/>
                <w:lang w:val="mk-MK"/>
              </w:rPr>
            </w:pPr>
          </w:p>
        </w:tc>
        <w:tc>
          <w:tcPr>
            <w:tcW w:w="1835" w:type="dxa"/>
          </w:tcPr>
          <w:p w:rsidR="00C5008F" w:rsidRPr="00381F72" w:rsidRDefault="00C5008F" w:rsidP="005909F7">
            <w:pPr>
              <w:jc w:val="both"/>
              <w:rPr>
                <w:color w:val="878786"/>
                <w:spacing w:val="-6"/>
                <w:w w:val="124"/>
                <w:sz w:val="18"/>
                <w:szCs w:val="18"/>
                <w:lang w:val="mk-MK"/>
              </w:rPr>
            </w:pPr>
          </w:p>
        </w:tc>
      </w:tr>
      <w:tr w:rsidR="00C5008F" w:rsidTr="005909F7">
        <w:tc>
          <w:tcPr>
            <w:tcW w:w="3960" w:type="dxa"/>
            <w:gridSpan w:val="3"/>
          </w:tcPr>
          <w:p w:rsidR="00C5008F" w:rsidRPr="00381F72" w:rsidRDefault="00C5008F" w:rsidP="005909F7">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C5008F" w:rsidRPr="00381F72" w:rsidRDefault="00C5008F" w:rsidP="005909F7">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C5008F" w:rsidRPr="009913D7" w:rsidRDefault="00C5008F" w:rsidP="005909F7">
            <w:pPr>
              <w:jc w:val="both"/>
              <w:rPr>
                <w:b/>
                <w:sz w:val="20"/>
                <w:szCs w:val="20"/>
                <w:lang w:val="mk-MK"/>
              </w:rPr>
            </w:pPr>
            <w:r w:rsidRPr="009913D7">
              <w:rPr>
                <w:b/>
                <w:sz w:val="20"/>
                <w:szCs w:val="20"/>
                <w:lang w:val="mk-MK"/>
              </w:rPr>
              <w:t>Мерка 1. Подигање на свеста кај јавноста за правото на слободен пристап до информации од јавен карактер преку креирана и спроведена медиумска презентација и едукативна кампања</w:t>
            </w:r>
          </w:p>
          <w:p w:rsidR="00C5008F" w:rsidRPr="009913D7" w:rsidRDefault="00C5008F" w:rsidP="005909F7">
            <w:pPr>
              <w:jc w:val="both"/>
              <w:rPr>
                <w:sz w:val="20"/>
                <w:szCs w:val="20"/>
                <w:lang w:val="mk-MK"/>
              </w:rPr>
            </w:pPr>
            <w:r w:rsidRPr="009913D7">
              <w:rPr>
                <w:sz w:val="20"/>
                <w:szCs w:val="20"/>
                <w:lang w:val="mk-MK"/>
              </w:rPr>
              <w:tab/>
              <w:t>Асистирање на новинари и невладини организации во спроведување на правото на пристап преку обуки-Одржани 4 обуки за новинари и БИРН истражувачката мрежа на новинари за спроведување на правото за СПИЈК (Центар за граѓански комуникации)</w:t>
            </w:r>
          </w:p>
          <w:p w:rsidR="00C5008F" w:rsidRPr="009913D7" w:rsidRDefault="00C5008F" w:rsidP="005909F7">
            <w:pPr>
              <w:jc w:val="both"/>
              <w:rPr>
                <w:sz w:val="20"/>
                <w:szCs w:val="20"/>
                <w:lang w:val="mk-MK"/>
              </w:rPr>
            </w:pPr>
          </w:p>
          <w:p w:rsidR="00C5008F" w:rsidRPr="009913D7" w:rsidRDefault="00C5008F" w:rsidP="005909F7">
            <w:pPr>
              <w:jc w:val="both"/>
              <w:rPr>
                <w:b/>
                <w:sz w:val="20"/>
                <w:szCs w:val="20"/>
                <w:lang w:val="mk-MK"/>
              </w:rPr>
            </w:pPr>
            <w:r w:rsidRPr="009913D7">
              <w:rPr>
                <w:b/>
                <w:sz w:val="20"/>
                <w:szCs w:val="20"/>
                <w:lang w:val="mk-MK"/>
              </w:rPr>
              <w:t>Мерка 5: Достапност на сите информации од јавен карактер на веб локациите на имателите</w:t>
            </w:r>
          </w:p>
          <w:p w:rsidR="00C5008F" w:rsidRPr="009913D7" w:rsidRDefault="00C5008F" w:rsidP="005909F7">
            <w:pPr>
              <w:jc w:val="both"/>
              <w:rPr>
                <w:sz w:val="20"/>
                <w:szCs w:val="20"/>
                <w:lang w:val="mk-MK"/>
              </w:rPr>
            </w:pPr>
            <w:r w:rsidRPr="009913D7">
              <w:rPr>
                <w:sz w:val="20"/>
                <w:szCs w:val="20"/>
                <w:lang w:val="mk-MK"/>
              </w:rPr>
              <w:tab/>
              <w:t xml:space="preserve">Мониторингот на интернет страниците на осумнаесет јавни институции и оценувањето на достапноста на шеснаесет клучни документи и информации што се однесуваат на работењето на опфатените институции (стратегија за работа; годишна програма за работа; буџетски календар; предбуџетска изјава; граѓански буџет; предлог буџет  и усвоен буџет; предлог и усвоени измени и дополнувања на буџетот; буџетски документи во отворен формат (xml или excel); месечни извештаи за извршување на буџетот; полугодишен извештај за извршување на буџетот; завршна сметка на буџетот; ревизорски извештај; податоци за лицето назначено за посредување со информации од јавен карактер и листа на информации од јавен карактер) кој го спроведе Здружението ЕСЕ покажа дека најголем дел имателите на информации од јавен карактер немаат објавено ниту еден од мониторираните буџетски документи или пак имаат објавено само некои. Ова укажува на тоа дека самото тоа што во  Законот за СПИЈК предвидува листа на информации од јавен карактер не е доволно за остварување на повисоко ниво на проактивност (проактивна транспарентост) кај јавните институции. Затоа потребно е групата да изнајде начин како имателите на информации да ги постават сите информации за своето работење на своите интернет страници. Комисијата укажува дека информациите што треба да </w:t>
            </w:r>
            <w:r w:rsidRPr="009913D7">
              <w:rPr>
                <w:sz w:val="20"/>
                <w:szCs w:val="20"/>
                <w:lang w:val="mk-MK"/>
              </w:rPr>
              <w:lastRenderedPageBreak/>
              <w:t>ги содржи Листата на информации од јавен карактер е утврдена со член 10 од Законот за СПИЈК и не може да се утврди минимум на информации кои истата ќе ги содржи.</w:t>
            </w:r>
          </w:p>
          <w:p w:rsidR="00C5008F" w:rsidRPr="009913D7" w:rsidRDefault="00C5008F" w:rsidP="005909F7">
            <w:pPr>
              <w:rPr>
                <w:sz w:val="20"/>
                <w:szCs w:val="20"/>
                <w:lang w:val="mk-MK"/>
              </w:rPr>
            </w:pPr>
          </w:p>
          <w:p w:rsidR="00C5008F" w:rsidRPr="009913D7" w:rsidRDefault="00C5008F" w:rsidP="005909F7">
            <w:pPr>
              <w:jc w:val="both"/>
              <w:rPr>
                <w:b/>
                <w:sz w:val="20"/>
                <w:szCs w:val="20"/>
                <w:lang w:val="mk-MK"/>
              </w:rPr>
            </w:pPr>
            <w:r w:rsidRPr="009913D7">
              <w:rPr>
                <w:b/>
                <w:sz w:val="20"/>
                <w:szCs w:val="20"/>
                <w:lang w:val="mk-MK"/>
              </w:rPr>
              <w:t>Мерка 7: Зголемување на соработката на Комисијата со Здруженијата на граѓани и фондации и со Општините во Р.М. преку меморандуми за соработка</w:t>
            </w:r>
          </w:p>
          <w:p w:rsidR="00C5008F" w:rsidRPr="009913D7" w:rsidRDefault="00C5008F" w:rsidP="005909F7">
            <w:pPr>
              <w:ind w:left="720"/>
              <w:jc w:val="both"/>
              <w:rPr>
                <w:sz w:val="20"/>
                <w:szCs w:val="20"/>
                <w:lang w:val="mk-MK"/>
              </w:rPr>
            </w:pPr>
            <w:r w:rsidRPr="009913D7">
              <w:rPr>
                <w:sz w:val="20"/>
                <w:szCs w:val="20"/>
                <w:lang w:val="mk-MK"/>
              </w:rPr>
              <w:t>Ќе бидат потпишани Меморандуми за соработка со Фондацијата отворено општество-Македонија, со Центарот за граѓански комуникации и со Здружението ЕСЕ, согласно Акцискиот план за ОВП.</w:t>
            </w:r>
          </w:p>
          <w:p w:rsidR="00C5008F" w:rsidRPr="009913D7" w:rsidRDefault="00C5008F" w:rsidP="00C5008F">
            <w:pPr>
              <w:rPr>
                <w:sz w:val="20"/>
                <w:szCs w:val="20"/>
                <w:lang w:val="mk-MK"/>
              </w:rPr>
            </w:pPr>
          </w:p>
        </w:tc>
      </w:tr>
      <w:tr w:rsidR="00C5008F" w:rsidTr="005909F7">
        <w:tc>
          <w:tcPr>
            <w:tcW w:w="3960" w:type="dxa"/>
            <w:gridSpan w:val="3"/>
          </w:tcPr>
          <w:p w:rsidR="00C5008F" w:rsidRPr="00381F72" w:rsidRDefault="00C5008F" w:rsidP="005909F7">
            <w:pPr>
              <w:jc w:val="both"/>
              <w:rPr>
                <w:color w:val="878786"/>
                <w:spacing w:val="-6"/>
                <w:w w:val="124"/>
                <w:sz w:val="18"/>
                <w:szCs w:val="18"/>
                <w:lang w:val="mk-MK"/>
              </w:rPr>
            </w:pPr>
            <w:r w:rsidRPr="00381F72">
              <w:rPr>
                <w:color w:val="878786"/>
                <w:spacing w:val="-6"/>
                <w:w w:val="124"/>
                <w:sz w:val="18"/>
                <w:szCs w:val="18"/>
                <w:lang w:val="mk-MK"/>
              </w:rPr>
              <w:lastRenderedPageBreak/>
              <w:t>Краен датум</w:t>
            </w:r>
          </w:p>
        </w:tc>
        <w:tc>
          <w:tcPr>
            <w:tcW w:w="6750" w:type="dxa"/>
            <w:gridSpan w:val="4"/>
          </w:tcPr>
          <w:p w:rsidR="00C5008F" w:rsidRPr="009913D7" w:rsidRDefault="00C5008F" w:rsidP="005909F7">
            <w:pPr>
              <w:rPr>
                <w:sz w:val="20"/>
                <w:szCs w:val="20"/>
                <w:lang w:val="mk-MK"/>
              </w:rPr>
            </w:pPr>
            <w:r w:rsidRPr="009913D7">
              <w:rPr>
                <w:sz w:val="20"/>
                <w:szCs w:val="20"/>
                <w:lang w:val="mk-MK"/>
              </w:rPr>
              <w:t>Декември 2016</w:t>
            </w:r>
          </w:p>
        </w:tc>
      </w:tr>
      <w:tr w:rsidR="00C5008F" w:rsidTr="005909F7">
        <w:tc>
          <w:tcPr>
            <w:tcW w:w="3960" w:type="dxa"/>
            <w:gridSpan w:val="3"/>
          </w:tcPr>
          <w:p w:rsidR="00C5008F" w:rsidRPr="00381F72" w:rsidRDefault="00C5008F" w:rsidP="005909F7">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C5008F" w:rsidRPr="009913D7" w:rsidRDefault="00C5008F" w:rsidP="00C5008F">
            <w:pPr>
              <w:numPr>
                <w:ilvl w:val="0"/>
                <w:numId w:val="4"/>
              </w:numPr>
              <w:rPr>
                <w:sz w:val="20"/>
                <w:szCs w:val="20"/>
                <w:lang w:val="mk-MK"/>
              </w:rPr>
            </w:pPr>
            <w:r w:rsidRPr="009913D7">
              <w:rPr>
                <w:sz w:val="20"/>
                <w:szCs w:val="20"/>
                <w:lang w:val="mk-MK"/>
              </w:rPr>
              <w:t>Континуирано одржување на обуки за новинарите во наредниот период, со цел нивно запознавање со Законот за слободен пристап до информациите од јавен карактер.</w:t>
            </w:r>
          </w:p>
          <w:p w:rsidR="00C5008F" w:rsidRPr="009913D7" w:rsidRDefault="00C5008F" w:rsidP="00C5008F">
            <w:pPr>
              <w:numPr>
                <w:ilvl w:val="0"/>
                <w:numId w:val="4"/>
              </w:numPr>
              <w:rPr>
                <w:sz w:val="20"/>
                <w:szCs w:val="20"/>
                <w:lang w:val="mk-MK"/>
              </w:rPr>
            </w:pPr>
            <w:r w:rsidRPr="009913D7">
              <w:rPr>
                <w:sz w:val="20"/>
                <w:szCs w:val="20"/>
                <w:lang w:val="mk-MK"/>
              </w:rPr>
              <w:t>Објавувањето на информациите од јавен карактер на веб локациите на имателите е мерка на која во континуитет ќе се работи.</w:t>
            </w:r>
          </w:p>
          <w:p w:rsidR="00C5008F" w:rsidRPr="009913D7" w:rsidRDefault="00C5008F" w:rsidP="00C5008F">
            <w:pPr>
              <w:numPr>
                <w:ilvl w:val="0"/>
                <w:numId w:val="4"/>
              </w:numPr>
              <w:jc w:val="both"/>
              <w:rPr>
                <w:sz w:val="20"/>
                <w:szCs w:val="20"/>
                <w:lang w:val="mk-MK"/>
              </w:rPr>
            </w:pPr>
            <w:r w:rsidRPr="009913D7">
              <w:rPr>
                <w:sz w:val="20"/>
                <w:szCs w:val="20"/>
                <w:lang w:val="mk-MK"/>
              </w:rPr>
              <w:t>Комисијата во наредниот период ќе потпише Меморандуми за соработка со Фондацијата отворено општество-Македонија, со Центарот за граѓански комуникации и со Здружението ЕСЕ, согласно Акцискиот план за ОВП, се со цел за продлабочување на заедничката соработка.</w:t>
            </w:r>
          </w:p>
          <w:p w:rsidR="00C5008F" w:rsidRPr="009913D7" w:rsidRDefault="00C5008F" w:rsidP="005909F7">
            <w:pPr>
              <w:ind w:left="720"/>
              <w:jc w:val="both"/>
              <w:rPr>
                <w:sz w:val="20"/>
                <w:szCs w:val="20"/>
                <w:lang w:val="mk-MK"/>
              </w:rPr>
            </w:pPr>
          </w:p>
        </w:tc>
      </w:tr>
      <w:tr w:rsidR="00C5008F" w:rsidTr="005909F7">
        <w:tc>
          <w:tcPr>
            <w:tcW w:w="10710" w:type="dxa"/>
            <w:gridSpan w:val="7"/>
          </w:tcPr>
          <w:p w:rsidR="00C5008F" w:rsidRDefault="00C5008F" w:rsidP="005909F7">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p>
        </w:tc>
      </w:tr>
      <w:tr w:rsidR="00C5008F" w:rsidTr="005909F7">
        <w:trPr>
          <w:trHeight w:val="435"/>
        </w:trPr>
        <w:tc>
          <w:tcPr>
            <w:tcW w:w="3960" w:type="dxa"/>
            <w:gridSpan w:val="3"/>
            <w:vMerge w:val="restart"/>
          </w:tcPr>
          <w:p w:rsidR="00C5008F" w:rsidRPr="00381F72" w:rsidRDefault="00C5008F" w:rsidP="005909F7">
            <w:pPr>
              <w:jc w:val="both"/>
              <w:rPr>
                <w:color w:val="878786"/>
                <w:spacing w:val="-6"/>
                <w:w w:val="124"/>
                <w:sz w:val="18"/>
                <w:szCs w:val="18"/>
                <w:lang w:val="mk-MK"/>
              </w:rPr>
            </w:pPr>
          </w:p>
          <w:p w:rsidR="00C5008F" w:rsidRPr="00381F72" w:rsidRDefault="00C5008F" w:rsidP="005909F7">
            <w:pPr>
              <w:jc w:val="both"/>
              <w:rPr>
                <w:color w:val="878786"/>
                <w:spacing w:val="-6"/>
                <w:w w:val="124"/>
                <w:sz w:val="18"/>
                <w:szCs w:val="18"/>
                <w:lang w:val="mk-MK"/>
              </w:rPr>
            </w:pPr>
            <w:r w:rsidRPr="00381F72">
              <w:rPr>
                <w:color w:val="878786"/>
                <w:spacing w:val="-6"/>
                <w:w w:val="124"/>
                <w:sz w:val="18"/>
                <w:szCs w:val="18"/>
                <w:lang w:val="mk-MK"/>
              </w:rPr>
              <w:t>Ниво на проект</w:t>
            </w:r>
          </w:p>
          <w:p w:rsidR="00C5008F" w:rsidRPr="00381F72" w:rsidRDefault="00C5008F" w:rsidP="005909F7">
            <w:pPr>
              <w:jc w:val="both"/>
              <w:rPr>
                <w:color w:val="878786"/>
                <w:spacing w:val="-6"/>
                <w:w w:val="124"/>
                <w:sz w:val="18"/>
                <w:szCs w:val="18"/>
                <w:lang w:val="mk-MK"/>
              </w:rPr>
            </w:pPr>
          </w:p>
        </w:tc>
        <w:tc>
          <w:tcPr>
            <w:tcW w:w="1627" w:type="dxa"/>
          </w:tcPr>
          <w:p w:rsidR="00C5008F" w:rsidRPr="00381F72" w:rsidRDefault="00C5008F" w:rsidP="005909F7">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C5008F" w:rsidRPr="00381F72" w:rsidRDefault="00C5008F" w:rsidP="005909F7">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C5008F" w:rsidRPr="00381F72" w:rsidRDefault="00C5008F" w:rsidP="005909F7">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C5008F" w:rsidRPr="00381F72" w:rsidRDefault="00C5008F" w:rsidP="005909F7">
            <w:pPr>
              <w:jc w:val="both"/>
              <w:rPr>
                <w:color w:val="878786"/>
                <w:spacing w:val="-6"/>
                <w:w w:val="124"/>
                <w:sz w:val="18"/>
                <w:szCs w:val="18"/>
                <w:lang w:val="mk-MK"/>
              </w:rPr>
            </w:pPr>
            <w:r>
              <w:rPr>
                <w:color w:val="878786"/>
                <w:spacing w:val="-6"/>
                <w:w w:val="124"/>
                <w:sz w:val="18"/>
                <w:szCs w:val="18"/>
                <w:lang w:val="mk-MK"/>
              </w:rPr>
              <w:t>завршено</w:t>
            </w:r>
          </w:p>
        </w:tc>
      </w:tr>
      <w:tr w:rsidR="00C5008F" w:rsidTr="00C5008F">
        <w:trPr>
          <w:trHeight w:val="367"/>
        </w:trPr>
        <w:tc>
          <w:tcPr>
            <w:tcW w:w="3960" w:type="dxa"/>
            <w:gridSpan w:val="3"/>
            <w:vMerge/>
          </w:tcPr>
          <w:p w:rsidR="00C5008F" w:rsidRPr="00381F72" w:rsidRDefault="00C5008F" w:rsidP="005909F7">
            <w:pPr>
              <w:jc w:val="both"/>
              <w:rPr>
                <w:color w:val="878786"/>
                <w:spacing w:val="-6"/>
                <w:w w:val="124"/>
                <w:sz w:val="18"/>
                <w:szCs w:val="18"/>
                <w:lang w:val="mk-MK"/>
              </w:rPr>
            </w:pPr>
          </w:p>
        </w:tc>
        <w:tc>
          <w:tcPr>
            <w:tcW w:w="1627" w:type="dxa"/>
          </w:tcPr>
          <w:p w:rsidR="00C5008F" w:rsidRPr="00381F72" w:rsidRDefault="00C5008F" w:rsidP="005909F7">
            <w:pPr>
              <w:jc w:val="both"/>
              <w:rPr>
                <w:color w:val="878786"/>
                <w:spacing w:val="-6"/>
                <w:w w:val="124"/>
                <w:sz w:val="18"/>
                <w:szCs w:val="18"/>
                <w:lang w:val="mk-MK"/>
              </w:rPr>
            </w:pPr>
          </w:p>
        </w:tc>
        <w:tc>
          <w:tcPr>
            <w:tcW w:w="1724" w:type="dxa"/>
          </w:tcPr>
          <w:p w:rsidR="00C5008F" w:rsidRPr="00381F72" w:rsidRDefault="00C5008F" w:rsidP="005909F7">
            <w:pPr>
              <w:jc w:val="both"/>
              <w:rPr>
                <w:color w:val="878786"/>
                <w:spacing w:val="-6"/>
                <w:w w:val="124"/>
                <w:sz w:val="18"/>
                <w:szCs w:val="18"/>
                <w:lang w:val="mk-MK"/>
              </w:rPr>
            </w:pPr>
          </w:p>
        </w:tc>
        <w:tc>
          <w:tcPr>
            <w:tcW w:w="1564" w:type="dxa"/>
          </w:tcPr>
          <w:p w:rsidR="00C5008F" w:rsidRPr="00381F72" w:rsidRDefault="00C5008F" w:rsidP="005909F7">
            <w:pPr>
              <w:jc w:val="both"/>
              <w:rPr>
                <w:color w:val="878786"/>
                <w:spacing w:val="-6"/>
                <w:w w:val="124"/>
                <w:sz w:val="18"/>
                <w:szCs w:val="18"/>
                <w:lang w:val="mk-MK"/>
              </w:rPr>
            </w:pPr>
          </w:p>
        </w:tc>
        <w:tc>
          <w:tcPr>
            <w:tcW w:w="1835" w:type="dxa"/>
            <w:shd w:val="clear" w:color="auto" w:fill="548DD4" w:themeFill="text2" w:themeFillTint="99"/>
          </w:tcPr>
          <w:p w:rsidR="00C5008F" w:rsidRPr="00381F72" w:rsidRDefault="00C5008F" w:rsidP="005909F7">
            <w:pPr>
              <w:jc w:val="both"/>
              <w:rPr>
                <w:color w:val="878786"/>
                <w:spacing w:val="-6"/>
                <w:w w:val="124"/>
                <w:sz w:val="18"/>
                <w:szCs w:val="18"/>
                <w:lang w:val="mk-MK"/>
              </w:rPr>
            </w:pPr>
          </w:p>
        </w:tc>
      </w:tr>
      <w:tr w:rsidR="00C5008F" w:rsidTr="005909F7">
        <w:tc>
          <w:tcPr>
            <w:tcW w:w="3960" w:type="dxa"/>
            <w:gridSpan w:val="3"/>
          </w:tcPr>
          <w:p w:rsidR="00C5008F" w:rsidRPr="00381F72" w:rsidRDefault="00C5008F" w:rsidP="005909F7">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C5008F" w:rsidRPr="00381F72" w:rsidRDefault="00C5008F" w:rsidP="005909F7">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C5008F" w:rsidRPr="009913D7" w:rsidRDefault="00C5008F" w:rsidP="005909F7">
            <w:pPr>
              <w:jc w:val="both"/>
              <w:rPr>
                <w:b/>
                <w:sz w:val="20"/>
                <w:szCs w:val="20"/>
              </w:rPr>
            </w:pPr>
            <w:r w:rsidRPr="009913D7">
              <w:rPr>
                <w:b/>
                <w:sz w:val="20"/>
                <w:szCs w:val="20"/>
                <w:lang w:val="mk-MK"/>
              </w:rPr>
              <w:t xml:space="preserve"> Мерка 1: Подигање на свеста кај јавноста за правото на слободен пристап до информации од јавен карактер преку креирана и спроведена медиумска презентација и едукативна кампања</w:t>
            </w:r>
          </w:p>
          <w:p w:rsidR="00C5008F" w:rsidRPr="009913D7" w:rsidRDefault="00C5008F" w:rsidP="005909F7">
            <w:pPr>
              <w:ind w:left="180"/>
              <w:jc w:val="both"/>
              <w:rPr>
                <w:sz w:val="20"/>
                <w:szCs w:val="20"/>
                <w:lang w:val="mk-MK"/>
              </w:rPr>
            </w:pPr>
            <w:r w:rsidRPr="009913D7">
              <w:rPr>
                <w:sz w:val="20"/>
                <w:szCs w:val="20"/>
                <w:lang w:val="mk-MK"/>
              </w:rPr>
              <w:t>-</w:t>
            </w:r>
            <w:r w:rsidRPr="009913D7">
              <w:rPr>
                <w:sz w:val="20"/>
                <w:szCs w:val="20"/>
                <w:lang w:val="mk-MK"/>
              </w:rPr>
              <w:tab/>
              <w:t>Одржани 8 дводневни обуки во повеќе градови за граѓани и претставници на Здруженија на граѓани на кои учество зеле 188 лица, Одржани три обуки за членови на НВО-ции во Крушево и Скопје во соработка со УСАИД, Национален демократски институт и Млади европски федералисти, на следниве теми: „Правото на слободен пристап до информации“ и „Барање за слободен пристап до информации – алатка за набљудување на јавните политики“.(Фондација отворено општество-Македонија)</w:t>
            </w:r>
          </w:p>
          <w:p w:rsidR="00C5008F" w:rsidRPr="009913D7" w:rsidRDefault="00C5008F" w:rsidP="005909F7">
            <w:pPr>
              <w:ind w:left="180"/>
              <w:jc w:val="both"/>
              <w:rPr>
                <w:sz w:val="20"/>
                <w:szCs w:val="20"/>
                <w:lang w:val="mk-MK"/>
              </w:rPr>
            </w:pPr>
            <w:r w:rsidRPr="009913D7">
              <w:rPr>
                <w:sz w:val="20"/>
                <w:szCs w:val="20"/>
                <w:lang w:val="mk-MK"/>
              </w:rPr>
              <w:t>-</w:t>
            </w:r>
            <w:r w:rsidRPr="009913D7">
              <w:rPr>
                <w:sz w:val="20"/>
                <w:szCs w:val="20"/>
                <w:lang w:val="mk-MK"/>
              </w:rPr>
              <w:tab/>
              <w:t xml:space="preserve">Континуирано објавување на вести кои се однесуваат на транспарентноста и отчетноста на јавните институции http://www.esem.org.mk/index.php/najznachajni-vesti </w:t>
            </w:r>
          </w:p>
          <w:p w:rsidR="00C5008F" w:rsidRPr="009913D7" w:rsidRDefault="00C5008F" w:rsidP="005909F7">
            <w:pPr>
              <w:ind w:left="180"/>
              <w:jc w:val="both"/>
              <w:rPr>
                <w:sz w:val="20"/>
                <w:szCs w:val="20"/>
                <w:lang w:val="mk-MK"/>
              </w:rPr>
            </w:pPr>
            <w:r w:rsidRPr="009913D7">
              <w:rPr>
                <w:sz w:val="20"/>
                <w:szCs w:val="20"/>
                <w:lang w:val="mk-MK"/>
              </w:rPr>
              <w:t>www.fiskalnatransparentnost.org.mk (Здружение ЕСЕ)</w:t>
            </w:r>
          </w:p>
          <w:p w:rsidR="00C5008F" w:rsidRPr="009913D7" w:rsidRDefault="00C5008F" w:rsidP="005909F7">
            <w:pPr>
              <w:ind w:left="180"/>
              <w:jc w:val="both"/>
              <w:rPr>
                <w:sz w:val="20"/>
                <w:szCs w:val="20"/>
              </w:rPr>
            </w:pPr>
            <w:r w:rsidRPr="009913D7">
              <w:rPr>
                <w:sz w:val="20"/>
                <w:szCs w:val="20"/>
                <w:lang w:val="mk-MK"/>
              </w:rPr>
              <w:t>-</w:t>
            </w:r>
            <w:r w:rsidRPr="009913D7">
              <w:rPr>
                <w:sz w:val="20"/>
                <w:szCs w:val="20"/>
                <w:lang w:val="mk-MK"/>
              </w:rPr>
              <w:tab/>
              <w:t xml:space="preserve">Комисијата посети 6 општини, во кои во соработка со Мисијата на ОБСЕ, беа одржани 6 обуки за студенти и средношколци, одржана обука на Факултетот за безбедност во Скопје, за Законот за слободен пристап до информации од јавен карактер, односно со можностите кои произлегуваат од него за барателите на информации од јавен карактер, како и со обврските и должностите кои произлегуваат од него за имателите на информации. Во соработка со Академијата за судии и јавни </w:t>
            </w:r>
            <w:r w:rsidRPr="009913D7">
              <w:rPr>
                <w:sz w:val="20"/>
                <w:szCs w:val="20"/>
                <w:lang w:val="mk-MK"/>
              </w:rPr>
              <w:lastRenderedPageBreak/>
              <w:t>обвинители „Павел Шатев“ и Дирекцијата за заштита на личните податоци, Комисијата одржа три обуки за 24 претседатели на судови, 18 обвинители од јавните обвинителства во Република Македонија, и 46 офицери за заштита на лични податоци и службени лица кои постапуваат по барањата за слободен пристап до информации од јавен карактер, од судовите и обвинителствата од сите апелациони подрачја. Организирани и одржани четири обуки во соработка со Мисијата на ОБСЕ во Скопје. Четирите обуки се дел од предвидените шест обуки согласно потпишаниот Меморандум за соработка меѓу Комисијата и Мисијата на ОБСЕ во Скопје за 2015 година, кој означува четиригодишен континуитет на воспоставената плодна соработка меѓу двете институции. Првата обука се одржа во Скопје на која присуствуваа службени и одговорни лица од скопски општини, а на втората Работилница во Гостивар беа поканети и присуствуваа одговорни и службени лица од неколку општини од западниот дел на Република Македонија. На третата организирана во Штип учествуваа претставници на администрацијата од општини од источниот дел на државата. Четвртата обука за едукација на одговорни и службени лица кои посредуваат со информации од јавен карактер беше одржана во Демир Капија. Исто така, согласно претходно потпишаниот Меморандум за соработка со Факултетот за информатички науки и компјутерско инженерство, во просториите на оваа високообразовна институција пред студентите обучувачи од Комисијата го презентираа уставно загарантираното право, нормирано во Законот за слободен пристап до информации од јавен карактер. Претставници на Комисијата за извршителите и други претставници од повеќе инстанци на судската власт во Република Македонија, одржаа предавање за „Практичната примена на Законот за слободен пристап до информации од јавен карактер од аспект на извршувањето„.</w:t>
            </w:r>
          </w:p>
          <w:p w:rsidR="00C5008F" w:rsidRPr="009913D7" w:rsidRDefault="00C5008F" w:rsidP="005909F7">
            <w:pPr>
              <w:ind w:left="180"/>
              <w:jc w:val="both"/>
              <w:rPr>
                <w:sz w:val="20"/>
                <w:szCs w:val="20"/>
                <w:lang w:val="mk-MK"/>
              </w:rPr>
            </w:pPr>
            <w:r w:rsidRPr="009913D7">
              <w:rPr>
                <w:b/>
                <w:sz w:val="20"/>
                <w:szCs w:val="20"/>
                <w:lang w:val="mk-MK"/>
              </w:rPr>
              <w:t xml:space="preserve">Мерка 3. </w:t>
            </w:r>
            <w:r w:rsidRPr="009913D7">
              <w:rPr>
                <w:b/>
                <w:sz w:val="20"/>
                <w:szCs w:val="20"/>
              </w:rPr>
              <w:t>Изработка на нова веб локација на Комисијата</w:t>
            </w:r>
          </w:p>
          <w:p w:rsidR="00C5008F" w:rsidRPr="009913D7" w:rsidRDefault="00C5008F" w:rsidP="005909F7">
            <w:pPr>
              <w:ind w:left="720"/>
              <w:jc w:val="both"/>
              <w:rPr>
                <w:b/>
                <w:sz w:val="20"/>
                <w:szCs w:val="20"/>
                <w:lang w:val="mk-MK"/>
              </w:rPr>
            </w:pPr>
            <w:r w:rsidRPr="009913D7">
              <w:rPr>
                <w:sz w:val="20"/>
                <w:szCs w:val="20"/>
                <w:lang w:val="mk-MK"/>
              </w:rPr>
              <w:t>Изработена е нова веб локација на Комисијата во соработка со Министерството за информатичко општество и администрација и истата е во функција за нејзино користење од страна на барателите и имателите на информации. На страната се поместени сите потребни информации кои се однесуваат на Законот за СПИЈК и е збогатена со нови линковски решенија на кои што на најтранспарентен начин се прикажува работата на Комисијата.</w:t>
            </w:r>
          </w:p>
          <w:p w:rsidR="00C5008F" w:rsidRPr="009913D7" w:rsidRDefault="00C5008F" w:rsidP="005909F7">
            <w:pPr>
              <w:jc w:val="both"/>
              <w:rPr>
                <w:b/>
                <w:sz w:val="20"/>
                <w:szCs w:val="20"/>
                <w:lang w:val="mk-MK"/>
              </w:rPr>
            </w:pPr>
            <w:r w:rsidRPr="009913D7">
              <w:rPr>
                <w:b/>
                <w:sz w:val="20"/>
                <w:szCs w:val="20"/>
                <w:lang w:val="mk-MK"/>
              </w:rPr>
              <w:t>Мерка 6: Унапредување на финансиските и човечките ресурси на Комисијата</w:t>
            </w:r>
          </w:p>
          <w:p w:rsidR="00C5008F" w:rsidRPr="009913D7" w:rsidRDefault="00C5008F" w:rsidP="005909F7">
            <w:pPr>
              <w:jc w:val="both"/>
              <w:rPr>
                <w:sz w:val="20"/>
                <w:szCs w:val="20"/>
                <w:lang w:val="mk-MK"/>
              </w:rPr>
            </w:pPr>
            <w:r w:rsidRPr="009913D7">
              <w:rPr>
                <w:b/>
                <w:sz w:val="20"/>
                <w:szCs w:val="20"/>
                <w:lang w:val="mk-MK"/>
              </w:rPr>
              <w:t>-</w:t>
            </w:r>
            <w:r w:rsidRPr="009913D7">
              <w:rPr>
                <w:b/>
                <w:sz w:val="20"/>
                <w:szCs w:val="20"/>
                <w:lang w:val="mk-MK"/>
              </w:rPr>
              <w:tab/>
            </w:r>
            <w:r w:rsidRPr="009913D7">
              <w:rPr>
                <w:sz w:val="20"/>
                <w:szCs w:val="20"/>
                <w:lang w:val="mk-MK"/>
              </w:rPr>
              <w:t>Буџетот на Комисијата за ЗПСПИЈК е зголемен за 500.000,00 денариво делот на плати, поради превземање на 5 лица во Комисијата.</w:t>
            </w:r>
          </w:p>
          <w:p w:rsidR="00C5008F" w:rsidRPr="009913D7" w:rsidRDefault="00C5008F" w:rsidP="005909F7">
            <w:pPr>
              <w:jc w:val="both"/>
              <w:rPr>
                <w:b/>
                <w:sz w:val="20"/>
                <w:szCs w:val="20"/>
                <w:lang w:val="mk-MK"/>
              </w:rPr>
            </w:pPr>
          </w:p>
          <w:p w:rsidR="00C5008F" w:rsidRPr="009913D7" w:rsidRDefault="00C5008F" w:rsidP="005909F7">
            <w:pPr>
              <w:jc w:val="both"/>
              <w:rPr>
                <w:b/>
                <w:sz w:val="20"/>
                <w:szCs w:val="20"/>
                <w:lang w:val="mk-MK"/>
              </w:rPr>
            </w:pPr>
            <w:r w:rsidRPr="009913D7">
              <w:rPr>
                <w:b/>
                <w:sz w:val="20"/>
                <w:szCs w:val="20"/>
                <w:lang w:val="mk-MK"/>
              </w:rPr>
              <w:t>Мерка 8: Објавување на информации за буџетска и програмска имплементација на здравствените буџети, со посебен фокус на буџетската и финансиската имплементација на превентивните програми на Министерството за здравство, добиени преку постапка за пристап до информации од јавен карактер. www.esem.org.mk</w:t>
            </w:r>
          </w:p>
          <w:p w:rsidR="00C5008F" w:rsidRPr="009913D7" w:rsidRDefault="00C5008F" w:rsidP="005909F7">
            <w:pPr>
              <w:ind w:left="180"/>
              <w:jc w:val="both"/>
              <w:rPr>
                <w:sz w:val="20"/>
                <w:szCs w:val="20"/>
              </w:rPr>
            </w:pPr>
            <w:r w:rsidRPr="009913D7">
              <w:rPr>
                <w:sz w:val="20"/>
                <w:szCs w:val="20"/>
              </w:rPr>
              <w:t>-</w:t>
            </w:r>
            <w:r w:rsidRPr="009913D7">
              <w:rPr>
                <w:sz w:val="20"/>
                <w:szCs w:val="20"/>
              </w:rPr>
              <w:tab/>
              <w:t>Согласно мерката 8, Министерството за здравство изготви апликација во која се поместени сите потребни информации од јавен карактер кои што беа предмет на барања за добивање на информации од јавен карактер од страна на Здружението ЕСЕ.</w:t>
            </w:r>
          </w:p>
        </w:tc>
      </w:tr>
      <w:tr w:rsidR="00C5008F" w:rsidTr="005909F7">
        <w:tc>
          <w:tcPr>
            <w:tcW w:w="3960" w:type="dxa"/>
            <w:gridSpan w:val="3"/>
          </w:tcPr>
          <w:p w:rsidR="00C5008F" w:rsidRPr="00381F72" w:rsidRDefault="00C5008F" w:rsidP="005909F7">
            <w:pPr>
              <w:jc w:val="both"/>
              <w:rPr>
                <w:color w:val="878786"/>
                <w:spacing w:val="-6"/>
                <w:w w:val="124"/>
                <w:sz w:val="18"/>
                <w:szCs w:val="18"/>
                <w:lang w:val="mk-MK"/>
              </w:rPr>
            </w:pPr>
            <w:r w:rsidRPr="00381F72">
              <w:rPr>
                <w:color w:val="878786"/>
                <w:spacing w:val="-6"/>
                <w:w w:val="124"/>
                <w:sz w:val="18"/>
                <w:szCs w:val="18"/>
                <w:lang w:val="mk-MK"/>
              </w:rPr>
              <w:lastRenderedPageBreak/>
              <w:t>Краен датум</w:t>
            </w:r>
          </w:p>
        </w:tc>
        <w:tc>
          <w:tcPr>
            <w:tcW w:w="6750" w:type="dxa"/>
            <w:gridSpan w:val="4"/>
          </w:tcPr>
          <w:p w:rsidR="00C5008F" w:rsidRPr="009913D7" w:rsidRDefault="00C5008F" w:rsidP="005909F7">
            <w:pPr>
              <w:rPr>
                <w:sz w:val="20"/>
                <w:szCs w:val="20"/>
                <w:lang w:val="mk-MK"/>
              </w:rPr>
            </w:pPr>
            <w:r w:rsidRPr="009913D7">
              <w:rPr>
                <w:sz w:val="20"/>
                <w:szCs w:val="20"/>
                <w:lang w:val="mk-MK"/>
              </w:rPr>
              <w:t>Декември 2014  - Април 2015</w:t>
            </w:r>
          </w:p>
        </w:tc>
      </w:tr>
      <w:tr w:rsidR="00C5008F" w:rsidTr="005909F7">
        <w:tc>
          <w:tcPr>
            <w:tcW w:w="3960" w:type="dxa"/>
            <w:gridSpan w:val="3"/>
          </w:tcPr>
          <w:p w:rsidR="00C5008F" w:rsidRPr="00381F72" w:rsidRDefault="00C5008F" w:rsidP="005909F7">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C5008F" w:rsidRPr="009913D7" w:rsidRDefault="00C5008F" w:rsidP="005909F7">
            <w:pPr>
              <w:jc w:val="both"/>
              <w:rPr>
                <w:b/>
                <w:sz w:val="20"/>
                <w:szCs w:val="20"/>
                <w:lang w:val="mk-MK"/>
              </w:rPr>
            </w:pPr>
            <w:r w:rsidRPr="009913D7">
              <w:rPr>
                <w:b/>
                <w:sz w:val="20"/>
                <w:szCs w:val="20"/>
                <w:lang w:val="mk-MK"/>
              </w:rPr>
              <w:t xml:space="preserve"> /</w:t>
            </w:r>
          </w:p>
        </w:tc>
      </w:tr>
      <w:tr w:rsidR="00C5008F" w:rsidTr="005909F7">
        <w:tc>
          <w:tcPr>
            <w:tcW w:w="10710" w:type="dxa"/>
            <w:gridSpan w:val="7"/>
          </w:tcPr>
          <w:p w:rsidR="00C5008F" w:rsidRDefault="00C5008F" w:rsidP="005909F7">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w:t>
            </w:r>
            <w:r>
              <w:rPr>
                <w:color w:val="878786"/>
                <w:spacing w:val="-6"/>
                <w:w w:val="124"/>
                <w:sz w:val="18"/>
                <w:szCs w:val="18"/>
                <w:lang w:val="mk-MK"/>
              </w:rPr>
              <w:lastRenderedPageBreak/>
              <w:t xml:space="preserve">спроведување на </w:t>
            </w:r>
            <w:r w:rsidRPr="00026994">
              <w:rPr>
                <w:color w:val="878786"/>
                <w:spacing w:val="-6"/>
                <w:w w:val="124"/>
                <w:sz w:val="18"/>
                <w:szCs w:val="18"/>
                <w:lang w:val="mk-MK"/>
              </w:rPr>
              <w:t>обврската.)</w:t>
            </w:r>
            <w:r w:rsidR="00C63F1A">
              <w:rPr>
                <w:color w:val="878786"/>
                <w:spacing w:val="-6"/>
                <w:w w:val="124"/>
                <w:sz w:val="18"/>
                <w:szCs w:val="18"/>
                <w:lang w:val="mk-MK"/>
              </w:rPr>
              <w:t>/</w:t>
            </w:r>
          </w:p>
        </w:tc>
      </w:tr>
    </w:tbl>
    <w:p w:rsidR="002133FA" w:rsidRDefault="002133FA" w:rsidP="00852AE9">
      <w:pPr>
        <w:jc w:val="both"/>
        <w:rPr>
          <w:b/>
          <w:lang w:val="mk-MK"/>
        </w:rPr>
      </w:pPr>
    </w:p>
    <w:tbl>
      <w:tblPr>
        <w:tblStyle w:val="TableGrid"/>
        <w:tblW w:w="0" w:type="auto"/>
        <w:tblLook w:val="04A0"/>
      </w:tblPr>
      <w:tblGrid>
        <w:gridCol w:w="1803"/>
        <w:gridCol w:w="2140"/>
        <w:gridCol w:w="17"/>
        <w:gridCol w:w="1627"/>
        <w:gridCol w:w="1724"/>
        <w:gridCol w:w="1564"/>
        <w:gridCol w:w="1835"/>
      </w:tblGrid>
      <w:tr w:rsidR="002133FA" w:rsidTr="002133FA">
        <w:tc>
          <w:tcPr>
            <w:tcW w:w="10710" w:type="dxa"/>
            <w:gridSpan w:val="7"/>
            <w:shd w:val="clear" w:color="auto" w:fill="262626" w:themeFill="text1" w:themeFillTint="D9"/>
          </w:tcPr>
          <w:p w:rsidR="002133FA" w:rsidRDefault="002133FA" w:rsidP="002133FA">
            <w:pPr>
              <w:jc w:val="center"/>
              <w:rPr>
                <w:b/>
                <w:lang w:val="mk-MK"/>
              </w:rPr>
            </w:pPr>
            <w:r w:rsidRPr="002F1864">
              <w:rPr>
                <w:rFonts w:eastAsia="Times New Roman" w:cs="Times New Roman"/>
                <w:color w:val="EEECE1" w:themeColor="background2"/>
                <w:spacing w:val="-12"/>
                <w:w w:val="123"/>
                <w:sz w:val="20"/>
                <w:szCs w:val="20"/>
                <w:lang w:val="mk-MK"/>
              </w:rPr>
              <w:t>Шаблон за завршување на заложбите</w:t>
            </w:r>
          </w:p>
        </w:tc>
      </w:tr>
      <w:tr w:rsidR="002133FA" w:rsidTr="002133FA">
        <w:tc>
          <w:tcPr>
            <w:tcW w:w="10710" w:type="dxa"/>
            <w:gridSpan w:val="7"/>
          </w:tcPr>
          <w:p w:rsidR="002133FA" w:rsidRPr="002133FA" w:rsidRDefault="002133FA" w:rsidP="002133FA">
            <w:pPr>
              <w:pStyle w:val="ListParagraph"/>
              <w:numPr>
                <w:ilvl w:val="0"/>
                <w:numId w:val="2"/>
              </w:numPr>
              <w:jc w:val="center"/>
              <w:rPr>
                <w:b/>
                <w:color w:val="262626" w:themeColor="text1" w:themeTint="D9"/>
                <w:lang w:val="mk-MK"/>
              </w:rPr>
            </w:pPr>
            <w:r>
              <w:rPr>
                <w:b/>
                <w:color w:val="262626" w:themeColor="text1" w:themeTint="D9"/>
                <w:lang w:val="mk-MK"/>
              </w:rPr>
              <w:t>Превенција и сузбивање на корупција и промовирање на принципите за добро управување</w:t>
            </w:r>
          </w:p>
        </w:tc>
      </w:tr>
      <w:tr w:rsidR="00C63F1A" w:rsidTr="00C63F1A">
        <w:tc>
          <w:tcPr>
            <w:tcW w:w="3943" w:type="dxa"/>
            <w:gridSpan w:val="2"/>
          </w:tcPr>
          <w:p w:rsidR="00C63F1A" w:rsidRPr="00381F72" w:rsidRDefault="00C63F1A" w:rsidP="002133FA">
            <w:pPr>
              <w:jc w:val="both"/>
              <w:rPr>
                <w:color w:val="878786"/>
                <w:spacing w:val="-6"/>
                <w:w w:val="124"/>
                <w:sz w:val="18"/>
                <w:szCs w:val="18"/>
                <w:lang w:val="mk-MK"/>
              </w:rPr>
            </w:pPr>
            <w:r w:rsidRPr="00381F72">
              <w:rPr>
                <w:color w:val="878786"/>
                <w:spacing w:val="-6"/>
                <w:w w:val="124"/>
                <w:sz w:val="18"/>
                <w:szCs w:val="18"/>
                <w:lang w:val="mk-MK"/>
              </w:rPr>
              <w:t>Водечка агенција за спроведување</w:t>
            </w:r>
          </w:p>
        </w:tc>
        <w:tc>
          <w:tcPr>
            <w:tcW w:w="6767" w:type="dxa"/>
            <w:gridSpan w:val="5"/>
          </w:tcPr>
          <w:p w:rsidR="00C63F1A" w:rsidRPr="009913D7" w:rsidRDefault="00C63F1A" w:rsidP="005909F7">
            <w:pPr>
              <w:rPr>
                <w:sz w:val="20"/>
                <w:szCs w:val="20"/>
              </w:rPr>
            </w:pPr>
            <w:r w:rsidRPr="009913D7">
              <w:rPr>
                <w:sz w:val="20"/>
                <w:szCs w:val="20"/>
                <w:lang w:val="mk-MK"/>
              </w:rPr>
              <w:t>Државна комисија за спречување на корупцијата</w:t>
            </w:r>
          </w:p>
        </w:tc>
      </w:tr>
      <w:tr w:rsidR="00C63F1A" w:rsidTr="00C63F1A">
        <w:tc>
          <w:tcPr>
            <w:tcW w:w="3943" w:type="dxa"/>
            <w:gridSpan w:val="2"/>
          </w:tcPr>
          <w:p w:rsidR="00C63F1A" w:rsidRPr="00381F72" w:rsidRDefault="00C63F1A" w:rsidP="002133FA">
            <w:pPr>
              <w:jc w:val="both"/>
              <w:rPr>
                <w:color w:val="878786"/>
                <w:spacing w:val="-6"/>
                <w:w w:val="124"/>
                <w:sz w:val="18"/>
                <w:szCs w:val="18"/>
                <w:lang w:val="mk-MK"/>
              </w:rPr>
            </w:pPr>
            <w:r w:rsidRPr="00381F72">
              <w:rPr>
                <w:color w:val="878786"/>
                <w:spacing w:val="-6"/>
                <w:w w:val="124"/>
                <w:sz w:val="18"/>
                <w:szCs w:val="18"/>
                <w:lang w:val="mk-MK"/>
              </w:rPr>
              <w:t>Име на одговорно лице од агенција за спроведување</w:t>
            </w:r>
          </w:p>
        </w:tc>
        <w:tc>
          <w:tcPr>
            <w:tcW w:w="6767" w:type="dxa"/>
            <w:gridSpan w:val="5"/>
          </w:tcPr>
          <w:p w:rsidR="00C63F1A" w:rsidRPr="009913D7" w:rsidRDefault="00C63F1A" w:rsidP="005909F7">
            <w:pPr>
              <w:rPr>
                <w:sz w:val="20"/>
                <w:szCs w:val="20"/>
                <w:lang w:val="mk-MK"/>
              </w:rPr>
            </w:pPr>
            <w:r w:rsidRPr="009913D7">
              <w:rPr>
                <w:sz w:val="20"/>
                <w:szCs w:val="20"/>
                <w:lang w:val="mk-MK"/>
              </w:rPr>
              <w:t>Владимир Георгиев, заменик координатор</w:t>
            </w:r>
          </w:p>
        </w:tc>
      </w:tr>
      <w:tr w:rsidR="00C63F1A" w:rsidTr="00C63F1A">
        <w:tc>
          <w:tcPr>
            <w:tcW w:w="3943" w:type="dxa"/>
            <w:gridSpan w:val="2"/>
          </w:tcPr>
          <w:p w:rsidR="00C63F1A" w:rsidRPr="00381F72" w:rsidRDefault="00C63F1A" w:rsidP="002133FA">
            <w:pPr>
              <w:jc w:val="both"/>
              <w:rPr>
                <w:color w:val="878786"/>
                <w:spacing w:val="-6"/>
                <w:w w:val="124"/>
                <w:sz w:val="18"/>
                <w:szCs w:val="18"/>
                <w:lang w:val="mk-MK"/>
              </w:rPr>
            </w:pPr>
            <w:r w:rsidRPr="00381F72">
              <w:rPr>
                <w:color w:val="878786"/>
                <w:spacing w:val="-6"/>
                <w:w w:val="124"/>
                <w:sz w:val="18"/>
                <w:szCs w:val="18"/>
                <w:lang w:val="mk-MK"/>
              </w:rPr>
              <w:t>Назив, Одделение</w:t>
            </w:r>
          </w:p>
        </w:tc>
        <w:tc>
          <w:tcPr>
            <w:tcW w:w="6767" w:type="dxa"/>
            <w:gridSpan w:val="5"/>
          </w:tcPr>
          <w:p w:rsidR="00C63F1A" w:rsidRPr="009913D7" w:rsidRDefault="00C63F1A" w:rsidP="005909F7">
            <w:pPr>
              <w:rPr>
                <w:sz w:val="20"/>
                <w:szCs w:val="20"/>
                <w:lang w:val="mk-MK"/>
              </w:rPr>
            </w:pPr>
            <w:r w:rsidRPr="009913D7">
              <w:rPr>
                <w:sz w:val="20"/>
                <w:szCs w:val="20"/>
                <w:lang w:val="mk-MK"/>
              </w:rPr>
              <w:t>Државен советник, Секретаријат на ДКСК</w:t>
            </w:r>
          </w:p>
        </w:tc>
      </w:tr>
      <w:tr w:rsidR="00C63F1A" w:rsidTr="00C63F1A">
        <w:tc>
          <w:tcPr>
            <w:tcW w:w="3943" w:type="dxa"/>
            <w:gridSpan w:val="2"/>
          </w:tcPr>
          <w:p w:rsidR="00C63F1A" w:rsidRPr="00381F72" w:rsidRDefault="00C63F1A" w:rsidP="002133FA">
            <w:pPr>
              <w:jc w:val="both"/>
              <w:rPr>
                <w:color w:val="878786"/>
                <w:spacing w:val="-6"/>
                <w:w w:val="124"/>
                <w:sz w:val="18"/>
                <w:szCs w:val="18"/>
                <w:lang w:val="mk-MK"/>
              </w:rPr>
            </w:pPr>
            <w:r w:rsidRPr="00381F72">
              <w:rPr>
                <w:color w:val="878786"/>
                <w:spacing w:val="-6"/>
                <w:w w:val="124"/>
                <w:sz w:val="18"/>
                <w:szCs w:val="18"/>
                <w:lang w:val="mk-MK"/>
              </w:rPr>
              <w:t xml:space="preserve">          Е-пошгта</w:t>
            </w:r>
          </w:p>
        </w:tc>
        <w:tc>
          <w:tcPr>
            <w:tcW w:w="6767" w:type="dxa"/>
            <w:gridSpan w:val="5"/>
          </w:tcPr>
          <w:p w:rsidR="00C63F1A" w:rsidRPr="009913D7" w:rsidRDefault="00C63F1A" w:rsidP="005909F7">
            <w:pPr>
              <w:rPr>
                <w:sz w:val="20"/>
                <w:szCs w:val="20"/>
              </w:rPr>
            </w:pPr>
            <w:r w:rsidRPr="009913D7">
              <w:rPr>
                <w:sz w:val="20"/>
                <w:szCs w:val="20"/>
              </w:rPr>
              <w:t>vgeorgiev@dksk.org.mk</w:t>
            </w:r>
          </w:p>
        </w:tc>
      </w:tr>
      <w:tr w:rsidR="00C63F1A" w:rsidTr="00C63F1A">
        <w:tc>
          <w:tcPr>
            <w:tcW w:w="3943" w:type="dxa"/>
            <w:gridSpan w:val="2"/>
          </w:tcPr>
          <w:p w:rsidR="00C63F1A" w:rsidRPr="00381F72" w:rsidRDefault="00C63F1A" w:rsidP="002133FA">
            <w:pPr>
              <w:jc w:val="both"/>
              <w:rPr>
                <w:color w:val="878786"/>
                <w:spacing w:val="-6"/>
                <w:w w:val="124"/>
                <w:sz w:val="18"/>
                <w:szCs w:val="18"/>
                <w:lang w:val="mk-MK"/>
              </w:rPr>
            </w:pPr>
            <w:r w:rsidRPr="00381F72">
              <w:rPr>
                <w:color w:val="878786"/>
                <w:spacing w:val="-6"/>
                <w:w w:val="124"/>
                <w:sz w:val="18"/>
                <w:szCs w:val="18"/>
                <w:lang w:val="mk-MK"/>
              </w:rPr>
              <w:t>Телефон</w:t>
            </w:r>
          </w:p>
        </w:tc>
        <w:tc>
          <w:tcPr>
            <w:tcW w:w="6767" w:type="dxa"/>
            <w:gridSpan w:val="5"/>
          </w:tcPr>
          <w:p w:rsidR="00C63F1A" w:rsidRPr="009913D7" w:rsidRDefault="00C63F1A" w:rsidP="005909F7">
            <w:pPr>
              <w:rPr>
                <w:sz w:val="20"/>
                <w:szCs w:val="20"/>
              </w:rPr>
            </w:pPr>
            <w:r w:rsidRPr="009913D7">
              <w:rPr>
                <w:sz w:val="20"/>
                <w:szCs w:val="20"/>
              </w:rPr>
              <w:t>070 342 782</w:t>
            </w:r>
          </w:p>
        </w:tc>
      </w:tr>
      <w:tr w:rsidR="00C63F1A" w:rsidTr="00C63F1A">
        <w:trPr>
          <w:trHeight w:val="486"/>
        </w:trPr>
        <w:tc>
          <w:tcPr>
            <w:tcW w:w="1803" w:type="dxa"/>
            <w:vMerge w:val="restart"/>
          </w:tcPr>
          <w:p w:rsidR="00C63F1A" w:rsidRPr="00381F72" w:rsidRDefault="00C63F1A" w:rsidP="002133FA">
            <w:pPr>
              <w:jc w:val="both"/>
              <w:rPr>
                <w:color w:val="878786"/>
                <w:spacing w:val="-6"/>
                <w:w w:val="124"/>
                <w:sz w:val="18"/>
                <w:szCs w:val="18"/>
                <w:lang w:val="mk-MK"/>
              </w:rPr>
            </w:pPr>
            <w:r w:rsidRPr="00381F72">
              <w:rPr>
                <w:color w:val="878786"/>
                <w:spacing w:val="-6"/>
                <w:w w:val="124"/>
                <w:sz w:val="18"/>
                <w:szCs w:val="18"/>
                <w:lang w:val="mk-MK"/>
              </w:rPr>
              <w:t xml:space="preserve">          Други</w:t>
            </w:r>
          </w:p>
          <w:p w:rsidR="00C63F1A" w:rsidRPr="00381F72" w:rsidRDefault="00C63F1A" w:rsidP="002133FA">
            <w:pPr>
              <w:pStyle w:val="ListParagraph"/>
              <w:ind w:left="360"/>
              <w:jc w:val="both"/>
              <w:rPr>
                <w:color w:val="878786"/>
                <w:spacing w:val="-6"/>
                <w:w w:val="124"/>
                <w:sz w:val="18"/>
                <w:szCs w:val="18"/>
                <w:lang w:val="mk-MK"/>
              </w:rPr>
            </w:pPr>
            <w:r w:rsidRPr="00381F72">
              <w:rPr>
                <w:color w:val="878786"/>
                <w:spacing w:val="-6"/>
                <w:w w:val="124"/>
                <w:sz w:val="18"/>
                <w:szCs w:val="18"/>
                <w:lang w:val="mk-MK"/>
              </w:rPr>
              <w:t>Инволвирани учесници</w:t>
            </w:r>
          </w:p>
          <w:p w:rsidR="00C63F1A" w:rsidRPr="00381F72" w:rsidRDefault="00C63F1A" w:rsidP="002133FA">
            <w:pPr>
              <w:pStyle w:val="ListParagraph"/>
              <w:ind w:left="360"/>
              <w:jc w:val="both"/>
              <w:rPr>
                <w:color w:val="878786"/>
                <w:spacing w:val="-6"/>
                <w:w w:val="124"/>
                <w:sz w:val="18"/>
                <w:szCs w:val="18"/>
                <w:lang w:val="mk-MK"/>
              </w:rPr>
            </w:pPr>
          </w:p>
          <w:p w:rsidR="00C63F1A" w:rsidRPr="00381F72" w:rsidRDefault="00C63F1A" w:rsidP="002133FA">
            <w:pPr>
              <w:pStyle w:val="ListParagraph"/>
              <w:ind w:left="360"/>
              <w:jc w:val="both"/>
              <w:rPr>
                <w:color w:val="878786"/>
                <w:spacing w:val="-6"/>
                <w:w w:val="124"/>
                <w:sz w:val="18"/>
                <w:szCs w:val="18"/>
                <w:lang w:val="mk-MK"/>
              </w:rPr>
            </w:pPr>
          </w:p>
        </w:tc>
        <w:tc>
          <w:tcPr>
            <w:tcW w:w="2140" w:type="dxa"/>
          </w:tcPr>
          <w:p w:rsidR="00C63F1A" w:rsidRPr="00381F72" w:rsidRDefault="00C63F1A" w:rsidP="002133FA">
            <w:pPr>
              <w:jc w:val="both"/>
              <w:rPr>
                <w:color w:val="878786"/>
                <w:spacing w:val="-6"/>
                <w:w w:val="124"/>
                <w:sz w:val="18"/>
                <w:szCs w:val="18"/>
                <w:lang w:val="mk-MK"/>
              </w:rPr>
            </w:pPr>
            <w:r w:rsidRPr="00381F72">
              <w:rPr>
                <w:color w:val="878786"/>
                <w:spacing w:val="-6"/>
                <w:w w:val="124"/>
                <w:sz w:val="18"/>
                <w:szCs w:val="18"/>
                <w:lang w:val="mk-MK"/>
              </w:rPr>
              <w:t>Влада</w:t>
            </w:r>
          </w:p>
        </w:tc>
        <w:tc>
          <w:tcPr>
            <w:tcW w:w="6767" w:type="dxa"/>
            <w:gridSpan w:val="5"/>
          </w:tcPr>
          <w:p w:rsidR="00C63F1A" w:rsidRPr="009913D7" w:rsidRDefault="00C63F1A" w:rsidP="005909F7">
            <w:pPr>
              <w:rPr>
                <w:sz w:val="20"/>
                <w:szCs w:val="20"/>
                <w:lang w:val="mk-MK"/>
              </w:rPr>
            </w:pPr>
            <w:r w:rsidRPr="009913D7">
              <w:rPr>
                <w:sz w:val="20"/>
                <w:szCs w:val="20"/>
                <w:lang w:val="mk-MK"/>
              </w:rPr>
              <w:t>Државна комисија за спречување на корупцијата</w:t>
            </w:r>
          </w:p>
          <w:p w:rsidR="00C63F1A" w:rsidRPr="009913D7" w:rsidRDefault="00C63F1A" w:rsidP="005909F7">
            <w:pPr>
              <w:rPr>
                <w:sz w:val="20"/>
                <w:szCs w:val="20"/>
                <w:lang w:val="mk-MK"/>
              </w:rPr>
            </w:pPr>
            <w:r w:rsidRPr="009913D7">
              <w:rPr>
                <w:sz w:val="20"/>
                <w:szCs w:val="20"/>
                <w:lang w:val="mk-MK"/>
              </w:rPr>
              <w:t>Министерство за правда, други надлежни институции и органи, општини</w:t>
            </w:r>
          </w:p>
        </w:tc>
      </w:tr>
      <w:tr w:rsidR="00C63F1A" w:rsidTr="00C63F1A">
        <w:trPr>
          <w:trHeight w:val="625"/>
        </w:trPr>
        <w:tc>
          <w:tcPr>
            <w:tcW w:w="1803" w:type="dxa"/>
            <w:vMerge/>
          </w:tcPr>
          <w:p w:rsidR="00C63F1A" w:rsidRPr="00381F72" w:rsidRDefault="00C63F1A" w:rsidP="002133FA">
            <w:pPr>
              <w:jc w:val="both"/>
              <w:rPr>
                <w:color w:val="878786"/>
                <w:spacing w:val="-6"/>
                <w:w w:val="124"/>
                <w:sz w:val="18"/>
                <w:szCs w:val="18"/>
                <w:lang w:val="mk-MK"/>
              </w:rPr>
            </w:pPr>
          </w:p>
        </w:tc>
        <w:tc>
          <w:tcPr>
            <w:tcW w:w="2140" w:type="dxa"/>
          </w:tcPr>
          <w:p w:rsidR="00C63F1A" w:rsidRPr="00381F72" w:rsidRDefault="00C63F1A" w:rsidP="002133FA">
            <w:pPr>
              <w:pStyle w:val="ListParagraph"/>
              <w:ind w:left="0"/>
              <w:jc w:val="both"/>
              <w:rPr>
                <w:color w:val="878786"/>
                <w:spacing w:val="-6"/>
                <w:w w:val="124"/>
                <w:sz w:val="18"/>
                <w:szCs w:val="18"/>
                <w:lang w:val="mk-MK"/>
              </w:rPr>
            </w:pPr>
            <w:r w:rsidRPr="00381F72">
              <w:rPr>
                <w:color w:val="878786"/>
                <w:spacing w:val="-6"/>
                <w:w w:val="124"/>
                <w:sz w:val="18"/>
                <w:szCs w:val="18"/>
                <w:lang w:val="mk-MK"/>
              </w:rPr>
              <w:t xml:space="preserve">ЦСО, приватен сектор,работни групи,мултилатерали  </w:t>
            </w:r>
          </w:p>
        </w:tc>
        <w:tc>
          <w:tcPr>
            <w:tcW w:w="6767" w:type="dxa"/>
            <w:gridSpan w:val="5"/>
          </w:tcPr>
          <w:p w:rsidR="00C63F1A" w:rsidRPr="009913D7" w:rsidRDefault="00C63F1A" w:rsidP="005909F7">
            <w:pPr>
              <w:rPr>
                <w:sz w:val="20"/>
                <w:szCs w:val="20"/>
                <w:lang w:val="mk-MK"/>
              </w:rPr>
            </w:pPr>
            <w:r w:rsidRPr="009913D7">
              <w:rPr>
                <w:sz w:val="20"/>
                <w:szCs w:val="20"/>
                <w:lang w:val="mk-MK"/>
              </w:rPr>
              <w:t xml:space="preserve">Граѓански организации: </w:t>
            </w:r>
            <w:r w:rsidRPr="009913D7">
              <w:rPr>
                <w:sz w:val="20"/>
                <w:szCs w:val="20"/>
              </w:rPr>
              <w:t xml:space="preserve">Центар за истражување и креирање политики - ЦИКП, </w:t>
            </w:r>
            <w:r w:rsidRPr="009913D7">
              <w:rPr>
                <w:color w:val="000000"/>
                <w:sz w:val="20"/>
                <w:szCs w:val="20"/>
              </w:rPr>
              <w:t>Македонски центар за меѓународна соработка(</w:t>
            </w:r>
            <w:r w:rsidRPr="009913D7">
              <w:rPr>
                <w:sz w:val="20"/>
                <w:szCs w:val="20"/>
                <w:lang w:val="mk-MK"/>
              </w:rPr>
              <w:t>МЦМС</w:t>
            </w:r>
            <w:r w:rsidRPr="009913D7">
              <w:rPr>
                <w:sz w:val="20"/>
                <w:szCs w:val="20"/>
              </w:rPr>
              <w:t>)</w:t>
            </w:r>
            <w:r w:rsidRPr="009913D7">
              <w:rPr>
                <w:sz w:val="20"/>
                <w:szCs w:val="20"/>
                <w:lang w:val="mk-MK"/>
              </w:rPr>
              <w:t xml:space="preserve">,Коалиција - Сите за правично судење, ТИ Македонија, Институт за економски стратегии и меѓународни односи Охрид,  </w:t>
            </w:r>
            <w:r w:rsidRPr="009913D7">
              <w:rPr>
                <w:sz w:val="20"/>
                <w:szCs w:val="20"/>
              </w:rPr>
              <w:t xml:space="preserve">Институт за демократија – Социетас Цивилис </w:t>
            </w:r>
            <w:r w:rsidRPr="009913D7">
              <w:rPr>
                <w:sz w:val="20"/>
                <w:szCs w:val="20"/>
                <w:lang w:val="mk-MK"/>
              </w:rPr>
              <w:t>(</w:t>
            </w:r>
            <w:r w:rsidRPr="009913D7">
              <w:rPr>
                <w:sz w:val="20"/>
                <w:szCs w:val="20"/>
              </w:rPr>
              <w:t>ИДСЦС</w:t>
            </w:r>
            <w:r w:rsidRPr="009913D7">
              <w:rPr>
                <w:sz w:val="20"/>
                <w:szCs w:val="20"/>
                <w:lang w:val="mk-MK"/>
              </w:rPr>
              <w:t xml:space="preserve">), Фондација за интернет и општество - МЕТАМОРФОЗИС, </w:t>
            </w:r>
          </w:p>
          <w:p w:rsidR="00C63F1A" w:rsidRPr="009913D7" w:rsidRDefault="00C63F1A" w:rsidP="005909F7">
            <w:pPr>
              <w:rPr>
                <w:sz w:val="20"/>
                <w:szCs w:val="20"/>
                <w:lang w:val="mk-MK"/>
              </w:rPr>
            </w:pPr>
            <w:r w:rsidRPr="009913D7">
              <w:rPr>
                <w:sz w:val="20"/>
                <w:szCs w:val="20"/>
                <w:lang w:val="mk-MK"/>
              </w:rPr>
              <w:t>УНДП, ОБСЕ</w:t>
            </w:r>
          </w:p>
          <w:p w:rsidR="00C63F1A" w:rsidRPr="009913D7" w:rsidRDefault="00C63F1A" w:rsidP="005909F7">
            <w:pPr>
              <w:rPr>
                <w:sz w:val="20"/>
                <w:szCs w:val="20"/>
                <w:lang w:val="mk-MK"/>
              </w:rPr>
            </w:pPr>
          </w:p>
        </w:tc>
      </w:tr>
      <w:tr w:rsidR="00C63F1A" w:rsidTr="00C63F1A">
        <w:tc>
          <w:tcPr>
            <w:tcW w:w="3943" w:type="dxa"/>
            <w:gridSpan w:val="2"/>
          </w:tcPr>
          <w:p w:rsidR="00C63F1A" w:rsidRPr="00381F72" w:rsidRDefault="00C63F1A" w:rsidP="002133FA">
            <w:pPr>
              <w:jc w:val="both"/>
              <w:rPr>
                <w:color w:val="878786"/>
                <w:spacing w:val="-6"/>
                <w:w w:val="124"/>
                <w:sz w:val="18"/>
                <w:szCs w:val="18"/>
                <w:lang w:val="mk-MK"/>
              </w:rPr>
            </w:pPr>
            <w:r w:rsidRPr="00381F72">
              <w:rPr>
                <w:color w:val="878786"/>
                <w:spacing w:val="-6"/>
                <w:w w:val="124"/>
                <w:sz w:val="18"/>
                <w:szCs w:val="18"/>
                <w:lang w:val="mk-MK"/>
              </w:rPr>
              <w:t>Главна цел</w:t>
            </w:r>
          </w:p>
        </w:tc>
        <w:tc>
          <w:tcPr>
            <w:tcW w:w="6767" w:type="dxa"/>
            <w:gridSpan w:val="5"/>
          </w:tcPr>
          <w:p w:rsidR="00C63F1A" w:rsidRPr="009913D7" w:rsidRDefault="00C63F1A" w:rsidP="00C63F1A">
            <w:pPr>
              <w:numPr>
                <w:ilvl w:val="0"/>
                <w:numId w:val="5"/>
              </w:numPr>
              <w:jc w:val="both"/>
              <w:rPr>
                <w:sz w:val="20"/>
                <w:szCs w:val="20"/>
                <w:lang w:val="mk-MK"/>
              </w:rPr>
            </w:pPr>
            <w:r w:rsidRPr="009913D7">
              <w:rPr>
                <w:sz w:val="20"/>
                <w:szCs w:val="20"/>
                <w:lang w:val="mk-MK"/>
              </w:rPr>
              <w:t>Подобрување на отчетноста и одговорноста на институциите преку подигната свест на јавната администрација  за пријавување на незаконито или недозволиво постапување</w:t>
            </w:r>
          </w:p>
          <w:p w:rsidR="00C63F1A" w:rsidRPr="009913D7" w:rsidRDefault="00C63F1A" w:rsidP="00C63F1A">
            <w:pPr>
              <w:numPr>
                <w:ilvl w:val="0"/>
                <w:numId w:val="5"/>
              </w:numPr>
              <w:jc w:val="both"/>
              <w:rPr>
                <w:sz w:val="20"/>
                <w:szCs w:val="20"/>
                <w:lang w:val="mk-MK"/>
              </w:rPr>
            </w:pPr>
            <w:r w:rsidRPr="009913D7">
              <w:rPr>
                <w:sz w:val="20"/>
                <w:szCs w:val="20"/>
                <w:lang w:val="mk-MK"/>
              </w:rPr>
              <w:t>Подобрување на транспарентноста, отчетноста и одговорноста на институциите на централно и локално ниво</w:t>
            </w:r>
          </w:p>
          <w:p w:rsidR="00C63F1A" w:rsidRPr="009913D7" w:rsidRDefault="00C63F1A" w:rsidP="00C63F1A">
            <w:pPr>
              <w:pStyle w:val="ListParagraph"/>
              <w:numPr>
                <w:ilvl w:val="0"/>
                <w:numId w:val="5"/>
              </w:numPr>
              <w:rPr>
                <w:sz w:val="20"/>
                <w:szCs w:val="20"/>
              </w:rPr>
            </w:pPr>
            <w:r w:rsidRPr="009913D7">
              <w:rPr>
                <w:sz w:val="20"/>
                <w:szCs w:val="20"/>
                <w:lang w:val="mk-MK"/>
              </w:rPr>
              <w:t>Јакнење на капацитетите на граѓанските организации и нивна подобрена улога во следењето на работата на институциите и подобрен вкупен квалитет на испораката на услуги</w:t>
            </w:r>
          </w:p>
        </w:tc>
      </w:tr>
      <w:tr w:rsidR="00C63F1A" w:rsidTr="00C63F1A">
        <w:tc>
          <w:tcPr>
            <w:tcW w:w="3943" w:type="dxa"/>
            <w:gridSpan w:val="2"/>
          </w:tcPr>
          <w:p w:rsidR="00C63F1A" w:rsidRPr="00381F72" w:rsidRDefault="00C63F1A" w:rsidP="002133FA">
            <w:pPr>
              <w:jc w:val="both"/>
              <w:rPr>
                <w:color w:val="878786"/>
                <w:spacing w:val="-6"/>
                <w:w w:val="124"/>
                <w:sz w:val="18"/>
                <w:szCs w:val="18"/>
                <w:lang w:val="mk-MK"/>
              </w:rPr>
            </w:pPr>
            <w:r w:rsidRPr="00381F72">
              <w:rPr>
                <w:color w:val="878786"/>
                <w:spacing w:val="-6"/>
                <w:w w:val="124"/>
                <w:sz w:val="18"/>
                <w:szCs w:val="18"/>
                <w:lang w:val="mk-MK"/>
              </w:rPr>
              <w:t>Краток опис на заложбата (макс 140 карактери)</w:t>
            </w:r>
          </w:p>
        </w:tc>
        <w:tc>
          <w:tcPr>
            <w:tcW w:w="6767" w:type="dxa"/>
            <w:gridSpan w:val="5"/>
          </w:tcPr>
          <w:p w:rsidR="00C63F1A" w:rsidRPr="009913D7" w:rsidRDefault="00C63F1A" w:rsidP="005909F7">
            <w:pPr>
              <w:rPr>
                <w:sz w:val="20"/>
                <w:szCs w:val="20"/>
              </w:rPr>
            </w:pPr>
            <w:r w:rsidRPr="009913D7">
              <w:rPr>
                <w:sz w:val="20"/>
                <w:szCs w:val="20"/>
              </w:rPr>
              <w:t>З</w:t>
            </w:r>
            <w:r w:rsidRPr="009913D7">
              <w:rPr>
                <w:sz w:val="20"/>
                <w:szCs w:val="20"/>
                <w:lang w:val="mk-MK"/>
              </w:rPr>
              <w:t>големена транспарентност и отчетност на институциите, јакнење на свеста за пријавување незаконито и недозволиво постапување и јакнење на улогата и капацитетите на јавноста за следење на работата на институциите</w:t>
            </w:r>
          </w:p>
          <w:p w:rsidR="00C63F1A" w:rsidRPr="009913D7" w:rsidRDefault="00C63F1A" w:rsidP="005909F7">
            <w:pPr>
              <w:rPr>
                <w:sz w:val="20"/>
                <w:szCs w:val="20"/>
                <w:lang w:val="mk-MK"/>
              </w:rPr>
            </w:pPr>
          </w:p>
        </w:tc>
      </w:tr>
      <w:tr w:rsidR="00C63F1A" w:rsidTr="00C63F1A">
        <w:tc>
          <w:tcPr>
            <w:tcW w:w="3943" w:type="dxa"/>
            <w:gridSpan w:val="2"/>
          </w:tcPr>
          <w:p w:rsidR="00C63F1A" w:rsidRPr="00381F72" w:rsidRDefault="00C63F1A" w:rsidP="002133FA">
            <w:pPr>
              <w:jc w:val="both"/>
              <w:rPr>
                <w:color w:val="878786"/>
                <w:spacing w:val="-6"/>
                <w:w w:val="124"/>
                <w:sz w:val="18"/>
                <w:szCs w:val="18"/>
                <w:lang w:val="mk-MK"/>
              </w:rPr>
            </w:pPr>
            <w:r w:rsidRPr="00381F72">
              <w:rPr>
                <w:color w:val="878786"/>
                <w:spacing w:val="-6"/>
                <w:w w:val="124"/>
                <w:sz w:val="18"/>
                <w:szCs w:val="18"/>
                <w:lang w:val="mk-MK"/>
              </w:rPr>
              <w:t>Релевантност</w:t>
            </w:r>
          </w:p>
          <w:p w:rsidR="00C63F1A" w:rsidRPr="00381F72" w:rsidRDefault="00C63F1A" w:rsidP="002133FA">
            <w:pPr>
              <w:jc w:val="both"/>
              <w:rPr>
                <w:color w:val="878786"/>
                <w:spacing w:val="-6"/>
                <w:w w:val="124"/>
                <w:sz w:val="18"/>
                <w:szCs w:val="18"/>
                <w:lang w:val="mk-MK"/>
              </w:rPr>
            </w:pPr>
            <w:r w:rsidRPr="00381F72">
              <w:rPr>
                <w:color w:val="878786"/>
                <w:spacing w:val="-6"/>
                <w:w w:val="124"/>
                <w:sz w:val="18"/>
                <w:szCs w:val="18"/>
                <w:lang w:val="mk-MK"/>
              </w:rPr>
              <w:t>Накратко опишете го начинот на кој оваа заложба е релевантна за понатамошно унапредување на вредностите на ОВП,</w:t>
            </w:r>
          </w:p>
          <w:p w:rsidR="00C63F1A" w:rsidRPr="00381F72" w:rsidRDefault="00C63F1A" w:rsidP="002133FA">
            <w:pPr>
              <w:pStyle w:val="ListParagraph"/>
              <w:ind w:left="0"/>
              <w:jc w:val="both"/>
              <w:rPr>
                <w:color w:val="878786"/>
                <w:spacing w:val="-6"/>
                <w:w w:val="124"/>
                <w:sz w:val="18"/>
                <w:szCs w:val="18"/>
                <w:lang w:val="mk-MK"/>
              </w:rPr>
            </w:pPr>
            <w:r w:rsidRPr="00381F72">
              <w:rPr>
                <w:color w:val="878786"/>
                <w:spacing w:val="-6"/>
                <w:w w:val="124"/>
                <w:sz w:val="18"/>
                <w:szCs w:val="18"/>
                <w:lang w:val="mk-MK"/>
              </w:rPr>
              <w:t>на пристап до информации, јавна одговорност, граѓанско учество, и технологија и иновации за отвореност и одговорност. (Детален опис на овие вредности е достапна во Забелешка за насоки во врска со Извештајот за ОВП)</w:t>
            </w:r>
          </w:p>
        </w:tc>
        <w:tc>
          <w:tcPr>
            <w:tcW w:w="6767" w:type="dxa"/>
            <w:gridSpan w:val="5"/>
          </w:tcPr>
          <w:p w:rsidR="00C63F1A" w:rsidRPr="009913D7" w:rsidRDefault="00C63F1A" w:rsidP="00C63F1A">
            <w:pPr>
              <w:jc w:val="both"/>
              <w:rPr>
                <w:sz w:val="20"/>
                <w:szCs w:val="20"/>
                <w:lang w:val="mk-MK"/>
              </w:rPr>
            </w:pPr>
            <w:r w:rsidRPr="009913D7">
              <w:rPr>
                <w:sz w:val="20"/>
                <w:szCs w:val="20"/>
                <w:lang w:val="mk-MK"/>
              </w:rPr>
              <w:t>Заложбата опфаќа девет мерки насочени кон поголемо граѓанско учество во следење на работењето на институциите на централно и локално ниво што во крајна линија ќе придонесе за јакнење на транспарентноста, отвореноста, отчетноста и интегритетот на јавната администрација.</w:t>
            </w:r>
          </w:p>
          <w:p w:rsidR="00C63F1A" w:rsidRPr="009913D7" w:rsidRDefault="00C63F1A" w:rsidP="00C63F1A">
            <w:pPr>
              <w:jc w:val="both"/>
              <w:rPr>
                <w:sz w:val="20"/>
                <w:szCs w:val="20"/>
                <w:lang w:val="mk-MK"/>
              </w:rPr>
            </w:pPr>
            <w:r w:rsidRPr="009913D7">
              <w:rPr>
                <w:sz w:val="20"/>
                <w:szCs w:val="20"/>
                <w:lang w:val="mk-MK"/>
              </w:rPr>
              <w:t>Поединечните мерки од оваа заложба имаат за цел унапредување на отвореното владино партнерство преку воспоставување на одржлив и континуиран пристап на одговорност и отвореност на институциите кон невладиниот сектор и граѓаните преку градење на механизми за нивна вклученост во превенцијата на корупцијата  и во промовирањето на принципите на добро владеење.</w:t>
            </w:r>
          </w:p>
          <w:p w:rsidR="00C63F1A" w:rsidRPr="009913D7" w:rsidRDefault="00C63F1A" w:rsidP="00C63F1A">
            <w:pPr>
              <w:jc w:val="both"/>
              <w:rPr>
                <w:rFonts w:cs="Arial"/>
                <w:sz w:val="20"/>
                <w:szCs w:val="20"/>
                <w:lang w:val="mk-MK"/>
              </w:rPr>
            </w:pPr>
            <w:r w:rsidRPr="009913D7">
              <w:rPr>
                <w:sz w:val="20"/>
                <w:szCs w:val="20"/>
                <w:lang w:val="mk-MK"/>
              </w:rPr>
              <w:t xml:space="preserve">Афирмирањето на ИКТ алатките што овозможуваат </w:t>
            </w:r>
            <w:r w:rsidRPr="009913D7">
              <w:rPr>
                <w:rFonts w:cs="Arial"/>
                <w:sz w:val="20"/>
                <w:szCs w:val="20"/>
              </w:rPr>
              <w:t xml:space="preserve">подобра интеракција помеѓу </w:t>
            </w:r>
            <w:r w:rsidRPr="009913D7">
              <w:rPr>
                <w:rFonts w:cs="Arial"/>
                <w:sz w:val="20"/>
                <w:szCs w:val="20"/>
                <w:lang w:val="mk-MK"/>
              </w:rPr>
              <w:t>општинските органи</w:t>
            </w:r>
            <w:r w:rsidRPr="009913D7">
              <w:rPr>
                <w:rFonts w:cs="Arial"/>
                <w:sz w:val="20"/>
                <w:szCs w:val="20"/>
              </w:rPr>
              <w:t xml:space="preserve"> и граѓаните </w:t>
            </w:r>
            <w:r w:rsidRPr="009913D7">
              <w:rPr>
                <w:rFonts w:cs="Arial"/>
                <w:sz w:val="20"/>
                <w:szCs w:val="20"/>
                <w:lang w:val="mk-MK"/>
              </w:rPr>
              <w:t xml:space="preserve">исто така ќе придонесат кон  унапредување на </w:t>
            </w:r>
            <w:r w:rsidRPr="009913D7">
              <w:rPr>
                <w:rFonts w:cs="Arial"/>
                <w:sz w:val="20"/>
                <w:szCs w:val="20"/>
              </w:rPr>
              <w:t>транспарентност</w:t>
            </w:r>
            <w:r w:rsidRPr="009913D7">
              <w:rPr>
                <w:rFonts w:cs="Arial"/>
                <w:sz w:val="20"/>
                <w:szCs w:val="20"/>
                <w:lang w:val="mk-MK"/>
              </w:rPr>
              <w:t>а</w:t>
            </w:r>
            <w:r w:rsidRPr="009913D7">
              <w:rPr>
                <w:rFonts w:cs="Arial"/>
                <w:sz w:val="20"/>
                <w:szCs w:val="20"/>
              </w:rPr>
              <w:t xml:space="preserve"> и отчетност</w:t>
            </w:r>
            <w:r w:rsidRPr="009913D7">
              <w:rPr>
                <w:rFonts w:cs="Arial"/>
                <w:sz w:val="20"/>
                <w:szCs w:val="20"/>
                <w:lang w:val="mk-MK"/>
              </w:rPr>
              <w:t>а</w:t>
            </w:r>
            <w:r w:rsidRPr="009913D7">
              <w:rPr>
                <w:rFonts w:cs="Arial"/>
                <w:sz w:val="20"/>
                <w:szCs w:val="20"/>
              </w:rPr>
              <w:t xml:space="preserve"> на </w:t>
            </w:r>
            <w:r w:rsidRPr="009913D7">
              <w:rPr>
                <w:rFonts w:cs="Arial"/>
                <w:sz w:val="20"/>
                <w:szCs w:val="20"/>
                <w:lang w:val="mk-MK"/>
              </w:rPr>
              <w:t>општините.</w:t>
            </w:r>
          </w:p>
          <w:p w:rsidR="00C63F1A" w:rsidRPr="00381F72" w:rsidRDefault="00C63F1A" w:rsidP="002133FA">
            <w:pPr>
              <w:pStyle w:val="ListParagraph"/>
              <w:ind w:left="360"/>
              <w:jc w:val="both"/>
              <w:rPr>
                <w:color w:val="878786"/>
                <w:spacing w:val="-6"/>
                <w:w w:val="124"/>
                <w:sz w:val="18"/>
                <w:szCs w:val="18"/>
                <w:lang w:val="mk-MK"/>
              </w:rPr>
            </w:pPr>
          </w:p>
        </w:tc>
      </w:tr>
      <w:tr w:rsidR="00C63F1A" w:rsidTr="00C63F1A">
        <w:tc>
          <w:tcPr>
            <w:tcW w:w="3943" w:type="dxa"/>
            <w:gridSpan w:val="2"/>
            <w:tcBorders>
              <w:bottom w:val="single" w:sz="4" w:space="0" w:color="auto"/>
            </w:tcBorders>
          </w:tcPr>
          <w:p w:rsidR="00C63F1A" w:rsidRPr="00381F72" w:rsidRDefault="00C63F1A" w:rsidP="002133FA">
            <w:pPr>
              <w:jc w:val="both"/>
              <w:rPr>
                <w:color w:val="878786"/>
                <w:spacing w:val="-6"/>
                <w:w w:val="124"/>
                <w:sz w:val="18"/>
                <w:szCs w:val="18"/>
                <w:lang w:val="mk-MK"/>
              </w:rPr>
            </w:pPr>
            <w:r w:rsidRPr="00381F72">
              <w:rPr>
                <w:color w:val="878786"/>
                <w:spacing w:val="-6"/>
                <w:w w:val="124"/>
                <w:sz w:val="18"/>
                <w:szCs w:val="18"/>
                <w:lang w:val="mk-MK"/>
              </w:rPr>
              <w:t>Амбиција</w:t>
            </w:r>
          </w:p>
          <w:p w:rsidR="00C63F1A" w:rsidRPr="00381F72" w:rsidRDefault="00C63F1A" w:rsidP="002133FA">
            <w:pPr>
              <w:pStyle w:val="ListParagraph"/>
              <w:ind w:left="0"/>
              <w:jc w:val="both"/>
              <w:rPr>
                <w:color w:val="878786"/>
                <w:spacing w:val="-6"/>
                <w:w w:val="124"/>
                <w:sz w:val="18"/>
                <w:szCs w:val="18"/>
                <w:lang w:val="mk-MK"/>
              </w:rPr>
            </w:pPr>
            <w:r w:rsidRPr="00381F72">
              <w:rPr>
                <w:color w:val="878786"/>
                <w:spacing w:val="-6"/>
                <w:w w:val="124"/>
                <w:sz w:val="18"/>
                <w:szCs w:val="18"/>
                <w:lang w:val="mk-MK"/>
              </w:rPr>
              <w:t>Накратко опишете ги планираните резултати за политика на посветеност и тоа како таа или ќе ја направи владата поотворена или ќе ја подобри Владата преку поголема отвореност.</w:t>
            </w:r>
          </w:p>
        </w:tc>
        <w:tc>
          <w:tcPr>
            <w:tcW w:w="6767" w:type="dxa"/>
            <w:gridSpan w:val="5"/>
            <w:tcBorders>
              <w:bottom w:val="single" w:sz="4" w:space="0" w:color="auto"/>
            </w:tcBorders>
          </w:tcPr>
          <w:p w:rsidR="00C63F1A" w:rsidRPr="009913D7" w:rsidRDefault="00C63F1A" w:rsidP="00C63F1A">
            <w:pPr>
              <w:jc w:val="both"/>
              <w:rPr>
                <w:sz w:val="20"/>
                <w:szCs w:val="20"/>
                <w:lang w:val="mk-MK"/>
              </w:rPr>
            </w:pPr>
            <w:r w:rsidRPr="009913D7">
              <w:rPr>
                <w:sz w:val="20"/>
                <w:szCs w:val="20"/>
                <w:lang w:val="mk-MK"/>
              </w:rPr>
              <w:t>Мерките утврдени во оваа заложба, поединечно и како целина овозможуваат унапредување на отвореноста на институциите од централно и локално ниво преку темелно вклучување на јавноста во креирање на политиките на добро владеење, интегритет и превенција на ризиците за корупција.</w:t>
            </w:r>
          </w:p>
          <w:p w:rsidR="00C63F1A" w:rsidRPr="009913D7" w:rsidRDefault="00C63F1A" w:rsidP="00C63F1A">
            <w:pPr>
              <w:jc w:val="both"/>
              <w:rPr>
                <w:sz w:val="20"/>
                <w:szCs w:val="20"/>
                <w:lang w:val="mk-MK"/>
              </w:rPr>
            </w:pPr>
            <w:r w:rsidRPr="009913D7">
              <w:rPr>
                <w:sz w:val="20"/>
                <w:szCs w:val="20"/>
                <w:lang w:val="mk-MK"/>
              </w:rPr>
              <w:t xml:space="preserve">Законското регулирање на системска институционална заштитата на лицата </w:t>
            </w:r>
            <w:r w:rsidRPr="009913D7">
              <w:rPr>
                <w:sz w:val="20"/>
                <w:szCs w:val="20"/>
                <w:lang w:val="mk-MK"/>
              </w:rPr>
              <w:lastRenderedPageBreak/>
              <w:t>што пријавуваат сомнежи за незаконско и недозволиво постапување (</w:t>
            </w:r>
            <w:r w:rsidRPr="009913D7">
              <w:rPr>
                <w:sz w:val="20"/>
                <w:szCs w:val="20"/>
              </w:rPr>
              <w:t xml:space="preserve">whistleblowers protection) </w:t>
            </w:r>
            <w:r w:rsidRPr="009913D7">
              <w:rPr>
                <w:sz w:val="20"/>
                <w:szCs w:val="20"/>
                <w:lang w:val="mk-MK"/>
              </w:rPr>
              <w:t>ќе ги охрабри вработените во јавн</w:t>
            </w:r>
            <w:r w:rsidRPr="009913D7">
              <w:rPr>
                <w:sz w:val="20"/>
                <w:szCs w:val="20"/>
              </w:rPr>
              <w:t>a</w:t>
            </w:r>
            <w:r w:rsidRPr="009913D7">
              <w:rPr>
                <w:sz w:val="20"/>
                <w:szCs w:val="20"/>
                <w:lang w:val="mk-MK"/>
              </w:rPr>
              <w:t>т</w:t>
            </w:r>
            <w:r w:rsidRPr="009913D7">
              <w:rPr>
                <w:sz w:val="20"/>
                <w:szCs w:val="20"/>
              </w:rPr>
              <w:t>a</w:t>
            </w:r>
            <w:r w:rsidRPr="009913D7">
              <w:rPr>
                <w:sz w:val="20"/>
                <w:szCs w:val="20"/>
                <w:lang w:val="mk-MK"/>
              </w:rPr>
              <w:t xml:space="preserve"> администрација и граѓаните за пријавуваат вакви однесувања.</w:t>
            </w:r>
          </w:p>
          <w:p w:rsidR="00C63F1A" w:rsidRPr="009913D7" w:rsidRDefault="00C63F1A" w:rsidP="00C63F1A">
            <w:pPr>
              <w:jc w:val="both"/>
              <w:rPr>
                <w:sz w:val="20"/>
                <w:szCs w:val="20"/>
                <w:lang w:val="mk-MK"/>
              </w:rPr>
            </w:pPr>
            <w:r w:rsidRPr="009913D7">
              <w:rPr>
                <w:sz w:val="20"/>
                <w:szCs w:val="20"/>
                <w:lang w:val="mk-MK"/>
              </w:rPr>
              <w:t xml:space="preserve">Воспоставувањето на Регистар на избрани и именувани лица и неговото објавување на </w:t>
            </w:r>
            <w:r w:rsidRPr="009913D7">
              <w:rPr>
                <w:sz w:val="20"/>
                <w:szCs w:val="20"/>
              </w:rPr>
              <w:t>WEB</w:t>
            </w:r>
            <w:r w:rsidRPr="009913D7">
              <w:rPr>
                <w:sz w:val="20"/>
                <w:szCs w:val="20"/>
                <w:lang w:val="mk-MK"/>
              </w:rPr>
              <w:t xml:space="preserve"> страницата на ДКСК, ќе овозможи јавноста да има достапни информации за сите избрани и именувани лица од страна на Собранието на РМ , Владата на РМ, правосудните органи и локалната самоуправа.</w:t>
            </w:r>
          </w:p>
          <w:p w:rsidR="00C63F1A" w:rsidRPr="009913D7" w:rsidRDefault="00C63F1A" w:rsidP="00C63F1A">
            <w:pPr>
              <w:jc w:val="both"/>
              <w:rPr>
                <w:sz w:val="20"/>
                <w:szCs w:val="20"/>
                <w:lang w:val="mk-MK"/>
              </w:rPr>
            </w:pPr>
            <w:r w:rsidRPr="009913D7">
              <w:rPr>
                <w:sz w:val="20"/>
                <w:szCs w:val="20"/>
                <w:lang w:val="mk-MK"/>
              </w:rPr>
              <w:t>Иновативните алатки за отвореност и одговорност (преку ИТ алатки, индексот за одговорност, транспарентност и отчетност и индексот на интегритет на општините) се во функција на создавање култура на респонзивност на администрацијата и учество на граѓаните во поттикнувањето и оценувањето на работењето на општините.</w:t>
            </w:r>
          </w:p>
          <w:p w:rsidR="00C63F1A" w:rsidRPr="009913D7" w:rsidRDefault="00C63F1A" w:rsidP="00C63F1A">
            <w:pPr>
              <w:jc w:val="both"/>
              <w:rPr>
                <w:sz w:val="20"/>
                <w:szCs w:val="20"/>
                <w:lang w:val="mk-MK"/>
              </w:rPr>
            </w:pPr>
            <w:r w:rsidRPr="009913D7">
              <w:rPr>
                <w:sz w:val="20"/>
                <w:szCs w:val="20"/>
                <w:lang w:val="mk-MK"/>
              </w:rPr>
              <w:t>Дефинирањето на методологија за проценка на ризици од корупција како надградба на концептот на интегритет на институциите е во насока на зајакнување на веќе воспоставената јавната внатрешна финансиска контрола, како и на други обврски на институциите утврдени со Законот за воведување на систем за управување со квалитет и заедничка рамка за проценка на работењето (ЦАФ), што ќе придонесе кон јакнење на јавната одговорност.</w:t>
            </w:r>
          </w:p>
          <w:p w:rsidR="00C63F1A" w:rsidRPr="009913D7" w:rsidRDefault="00C63F1A" w:rsidP="00C63F1A">
            <w:pPr>
              <w:jc w:val="both"/>
              <w:rPr>
                <w:sz w:val="20"/>
                <w:szCs w:val="20"/>
                <w:lang w:val="mk-MK"/>
              </w:rPr>
            </w:pPr>
            <w:r w:rsidRPr="009913D7">
              <w:rPr>
                <w:sz w:val="20"/>
                <w:szCs w:val="20"/>
                <w:lang w:val="mk-MK"/>
              </w:rPr>
              <w:t>Особено е значајно градењето на капацитетите на граѓанските организации за мониторинг на работењето на институциите на централно и локално ниво, спроведување на тематски истражувања и организирање на конференции и работилници.</w:t>
            </w:r>
          </w:p>
          <w:p w:rsidR="00C63F1A" w:rsidRPr="00381F72" w:rsidRDefault="00C63F1A" w:rsidP="002133FA">
            <w:pPr>
              <w:pStyle w:val="ListParagraph"/>
              <w:ind w:left="360"/>
              <w:jc w:val="both"/>
              <w:rPr>
                <w:color w:val="878786"/>
                <w:spacing w:val="-6"/>
                <w:w w:val="124"/>
                <w:sz w:val="18"/>
                <w:szCs w:val="18"/>
                <w:lang w:val="mk-MK"/>
              </w:rPr>
            </w:pPr>
          </w:p>
        </w:tc>
      </w:tr>
      <w:tr w:rsidR="00C63F1A" w:rsidTr="002133FA">
        <w:tc>
          <w:tcPr>
            <w:tcW w:w="10710" w:type="dxa"/>
            <w:gridSpan w:val="7"/>
            <w:shd w:val="clear" w:color="auto" w:fill="BFBFBF" w:themeFill="background1" w:themeFillShade="BF"/>
          </w:tcPr>
          <w:p w:rsidR="00C63F1A" w:rsidRPr="00381F72" w:rsidRDefault="00C63F1A" w:rsidP="002133FA">
            <w:pPr>
              <w:jc w:val="both"/>
              <w:rPr>
                <w:color w:val="878786"/>
                <w:spacing w:val="-6"/>
                <w:w w:val="124"/>
                <w:sz w:val="18"/>
                <w:szCs w:val="18"/>
                <w:lang w:val="mk-MK"/>
              </w:rPr>
            </w:pPr>
          </w:p>
        </w:tc>
      </w:tr>
      <w:tr w:rsidR="00C63F1A" w:rsidTr="00C63F1A">
        <w:trPr>
          <w:trHeight w:val="435"/>
        </w:trPr>
        <w:tc>
          <w:tcPr>
            <w:tcW w:w="3960" w:type="dxa"/>
            <w:gridSpan w:val="3"/>
            <w:vMerge w:val="restart"/>
          </w:tcPr>
          <w:p w:rsidR="00C63F1A" w:rsidRPr="00381F72" w:rsidRDefault="00C63F1A" w:rsidP="002133FA">
            <w:pPr>
              <w:jc w:val="both"/>
              <w:rPr>
                <w:color w:val="878786"/>
                <w:spacing w:val="-6"/>
                <w:w w:val="124"/>
                <w:sz w:val="18"/>
                <w:szCs w:val="18"/>
                <w:lang w:val="mk-MK"/>
              </w:rPr>
            </w:pPr>
          </w:p>
          <w:p w:rsidR="00C63F1A" w:rsidRPr="00381F72" w:rsidRDefault="00C63F1A" w:rsidP="002133FA">
            <w:pPr>
              <w:jc w:val="both"/>
              <w:rPr>
                <w:color w:val="878786"/>
                <w:spacing w:val="-6"/>
                <w:w w:val="124"/>
                <w:sz w:val="18"/>
                <w:szCs w:val="18"/>
                <w:lang w:val="mk-MK"/>
              </w:rPr>
            </w:pPr>
            <w:r w:rsidRPr="00381F72">
              <w:rPr>
                <w:color w:val="878786"/>
                <w:spacing w:val="-6"/>
                <w:w w:val="124"/>
                <w:sz w:val="18"/>
                <w:szCs w:val="18"/>
                <w:lang w:val="mk-MK"/>
              </w:rPr>
              <w:t>Ниво на проект</w:t>
            </w:r>
          </w:p>
          <w:p w:rsidR="00C63F1A" w:rsidRPr="00381F72" w:rsidRDefault="00C63F1A" w:rsidP="002133FA">
            <w:pPr>
              <w:jc w:val="both"/>
              <w:rPr>
                <w:color w:val="878786"/>
                <w:spacing w:val="-6"/>
                <w:w w:val="124"/>
                <w:sz w:val="18"/>
                <w:szCs w:val="18"/>
                <w:lang w:val="mk-MK"/>
              </w:rPr>
            </w:pPr>
          </w:p>
        </w:tc>
        <w:tc>
          <w:tcPr>
            <w:tcW w:w="1627" w:type="dxa"/>
          </w:tcPr>
          <w:p w:rsidR="00C63F1A" w:rsidRPr="00381F72" w:rsidRDefault="00C63F1A" w:rsidP="002133FA">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C63F1A" w:rsidRPr="00381F72" w:rsidRDefault="00C63F1A" w:rsidP="002133FA">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C63F1A" w:rsidRPr="00381F72" w:rsidRDefault="00C63F1A" w:rsidP="002133FA">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C63F1A" w:rsidRPr="00381F72" w:rsidRDefault="00C63F1A" w:rsidP="002133FA">
            <w:pPr>
              <w:jc w:val="both"/>
              <w:rPr>
                <w:color w:val="878786"/>
                <w:spacing w:val="-6"/>
                <w:w w:val="124"/>
                <w:sz w:val="18"/>
                <w:szCs w:val="18"/>
                <w:lang w:val="mk-MK"/>
              </w:rPr>
            </w:pPr>
            <w:r>
              <w:rPr>
                <w:color w:val="878786"/>
                <w:spacing w:val="-6"/>
                <w:w w:val="124"/>
                <w:sz w:val="18"/>
                <w:szCs w:val="18"/>
                <w:lang w:val="mk-MK"/>
              </w:rPr>
              <w:t>завршено</w:t>
            </w:r>
          </w:p>
        </w:tc>
      </w:tr>
      <w:tr w:rsidR="00C63F1A" w:rsidTr="00787DEE">
        <w:trPr>
          <w:trHeight w:val="367"/>
        </w:trPr>
        <w:tc>
          <w:tcPr>
            <w:tcW w:w="3960" w:type="dxa"/>
            <w:gridSpan w:val="3"/>
            <w:vMerge/>
          </w:tcPr>
          <w:p w:rsidR="00C63F1A" w:rsidRPr="00381F72" w:rsidRDefault="00C63F1A" w:rsidP="002133FA">
            <w:pPr>
              <w:jc w:val="both"/>
              <w:rPr>
                <w:color w:val="878786"/>
                <w:spacing w:val="-6"/>
                <w:w w:val="124"/>
                <w:sz w:val="18"/>
                <w:szCs w:val="18"/>
                <w:lang w:val="mk-MK"/>
              </w:rPr>
            </w:pPr>
          </w:p>
        </w:tc>
        <w:tc>
          <w:tcPr>
            <w:tcW w:w="1627" w:type="dxa"/>
          </w:tcPr>
          <w:p w:rsidR="00C63F1A" w:rsidRPr="00381F72" w:rsidRDefault="00C63F1A" w:rsidP="002133FA">
            <w:pPr>
              <w:jc w:val="both"/>
              <w:rPr>
                <w:color w:val="878786"/>
                <w:spacing w:val="-6"/>
                <w:w w:val="124"/>
                <w:sz w:val="18"/>
                <w:szCs w:val="18"/>
                <w:lang w:val="mk-MK"/>
              </w:rPr>
            </w:pPr>
          </w:p>
        </w:tc>
        <w:tc>
          <w:tcPr>
            <w:tcW w:w="1724" w:type="dxa"/>
            <w:shd w:val="clear" w:color="auto" w:fill="548DD4" w:themeFill="text2" w:themeFillTint="99"/>
          </w:tcPr>
          <w:p w:rsidR="00C63F1A" w:rsidRPr="00381F72" w:rsidRDefault="00C63F1A" w:rsidP="002133FA">
            <w:pPr>
              <w:jc w:val="both"/>
              <w:rPr>
                <w:color w:val="878786"/>
                <w:spacing w:val="-6"/>
                <w:w w:val="124"/>
                <w:sz w:val="18"/>
                <w:szCs w:val="18"/>
                <w:lang w:val="mk-MK"/>
              </w:rPr>
            </w:pPr>
          </w:p>
        </w:tc>
        <w:tc>
          <w:tcPr>
            <w:tcW w:w="1564" w:type="dxa"/>
          </w:tcPr>
          <w:p w:rsidR="00C63F1A" w:rsidRPr="00381F72" w:rsidRDefault="00C63F1A" w:rsidP="002133FA">
            <w:pPr>
              <w:jc w:val="both"/>
              <w:rPr>
                <w:color w:val="878786"/>
                <w:spacing w:val="-6"/>
                <w:w w:val="124"/>
                <w:sz w:val="18"/>
                <w:szCs w:val="18"/>
                <w:lang w:val="mk-MK"/>
              </w:rPr>
            </w:pPr>
          </w:p>
        </w:tc>
        <w:tc>
          <w:tcPr>
            <w:tcW w:w="1835" w:type="dxa"/>
          </w:tcPr>
          <w:p w:rsidR="00C63F1A" w:rsidRPr="00381F72" w:rsidRDefault="00C63F1A" w:rsidP="002133FA">
            <w:pPr>
              <w:jc w:val="both"/>
              <w:rPr>
                <w:color w:val="878786"/>
                <w:spacing w:val="-6"/>
                <w:w w:val="124"/>
                <w:sz w:val="18"/>
                <w:szCs w:val="18"/>
                <w:lang w:val="mk-MK"/>
              </w:rPr>
            </w:pPr>
          </w:p>
        </w:tc>
      </w:tr>
      <w:tr w:rsidR="00787DEE" w:rsidTr="00C63F1A">
        <w:tc>
          <w:tcPr>
            <w:tcW w:w="3960" w:type="dxa"/>
            <w:gridSpan w:val="3"/>
          </w:tcPr>
          <w:p w:rsidR="00787DEE" w:rsidRPr="00381F72" w:rsidRDefault="00787DEE" w:rsidP="002133FA">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787DEE" w:rsidRPr="00381F72" w:rsidRDefault="00787DEE" w:rsidP="002133FA">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787DEE" w:rsidRPr="009913D7" w:rsidRDefault="00787DEE" w:rsidP="005909F7">
            <w:pPr>
              <w:rPr>
                <w:b/>
                <w:sz w:val="20"/>
                <w:szCs w:val="20"/>
                <w:lang w:val="mk-MK"/>
              </w:rPr>
            </w:pPr>
            <w:r w:rsidRPr="009913D7">
              <w:rPr>
                <w:b/>
                <w:sz w:val="20"/>
                <w:szCs w:val="20"/>
                <w:lang w:val="mk-MK"/>
              </w:rPr>
              <w:t xml:space="preserve">Мерка 1. Донесување измени на Законот за спречување на корупцијата во насока на воведување на систем на интегритет во јавниот и приватниот сектор и воведување системска заштита на лицата кои пријавуваат сомневање или сознание за  </w:t>
            </w:r>
            <w:r w:rsidRPr="009913D7">
              <w:rPr>
                <w:rFonts w:cs="Arial"/>
                <w:b/>
                <w:sz w:val="20"/>
                <w:szCs w:val="20"/>
                <w:lang w:val="mk-MK"/>
              </w:rPr>
              <w:t>корупција и друго незаконито или недозволиво постапување – укажувачи  (whistleblowers)</w:t>
            </w:r>
          </w:p>
          <w:p w:rsidR="00787DEE" w:rsidRPr="00787DEE" w:rsidRDefault="00787DEE" w:rsidP="00787DEE">
            <w:pPr>
              <w:pStyle w:val="PlainText"/>
              <w:tabs>
                <w:tab w:val="left" w:pos="2880"/>
                <w:tab w:val="left" w:pos="6705"/>
              </w:tabs>
              <w:spacing w:before="0" w:after="200"/>
              <w:ind w:left="0" w:firstLine="0"/>
              <w:jc w:val="both"/>
              <w:rPr>
                <w:rFonts w:asciiTheme="minorHAnsi" w:hAnsiTheme="minorHAnsi"/>
                <w:sz w:val="20"/>
                <w:szCs w:val="20"/>
                <w:lang w:val="mk-MK"/>
              </w:rPr>
            </w:pPr>
            <w:r w:rsidRPr="009913D7">
              <w:rPr>
                <w:rFonts w:asciiTheme="minorHAnsi" w:hAnsiTheme="minorHAnsi"/>
                <w:sz w:val="20"/>
                <w:szCs w:val="20"/>
                <w:lang w:val="mk-MK"/>
              </w:rPr>
              <w:t>Во месец август од страна на Министерството за правда е формирана работна група која ќе работи на изготвување на работна верзија на законско решение за воведување на  системска институционална заштитата на укажувачите  (</w:t>
            </w:r>
            <w:r w:rsidRPr="009913D7">
              <w:rPr>
                <w:rFonts w:asciiTheme="minorHAnsi" w:hAnsiTheme="minorHAnsi"/>
                <w:sz w:val="20"/>
                <w:szCs w:val="20"/>
              </w:rPr>
              <w:t>whistleblowers protection)</w:t>
            </w:r>
          </w:p>
        </w:tc>
      </w:tr>
      <w:tr w:rsidR="00787DEE" w:rsidTr="00C63F1A">
        <w:tc>
          <w:tcPr>
            <w:tcW w:w="3960" w:type="dxa"/>
            <w:gridSpan w:val="3"/>
          </w:tcPr>
          <w:p w:rsidR="00787DEE" w:rsidRPr="00381F72" w:rsidRDefault="00787DEE" w:rsidP="002133FA">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6750" w:type="dxa"/>
            <w:gridSpan w:val="4"/>
          </w:tcPr>
          <w:p w:rsidR="00787DEE" w:rsidRPr="009913D7" w:rsidRDefault="00787DEE" w:rsidP="005909F7">
            <w:pPr>
              <w:rPr>
                <w:sz w:val="20"/>
                <w:szCs w:val="20"/>
                <w:lang w:val="mk-MK"/>
              </w:rPr>
            </w:pPr>
            <w:r w:rsidRPr="009913D7">
              <w:rPr>
                <w:sz w:val="20"/>
                <w:szCs w:val="20"/>
                <w:lang w:val="mk-MK"/>
              </w:rPr>
              <w:t>Октомври 2015</w:t>
            </w:r>
          </w:p>
        </w:tc>
      </w:tr>
      <w:tr w:rsidR="00787DEE" w:rsidTr="00C63F1A">
        <w:tc>
          <w:tcPr>
            <w:tcW w:w="3960" w:type="dxa"/>
            <w:gridSpan w:val="3"/>
          </w:tcPr>
          <w:p w:rsidR="00787DEE" w:rsidRPr="00381F72" w:rsidRDefault="00787DEE" w:rsidP="002133FA">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787DEE" w:rsidRDefault="00787DEE" w:rsidP="005909F7">
            <w:pPr>
              <w:pStyle w:val="Default"/>
              <w:spacing w:after="200"/>
              <w:rPr>
                <w:rFonts w:asciiTheme="minorHAnsi" w:hAnsiTheme="minorHAnsi"/>
                <w:sz w:val="20"/>
                <w:szCs w:val="20"/>
              </w:rPr>
            </w:pPr>
            <w:r w:rsidRPr="009913D7">
              <w:rPr>
                <w:rFonts w:asciiTheme="minorHAnsi" w:hAnsiTheme="minorHAnsi"/>
                <w:sz w:val="20"/>
                <w:szCs w:val="20"/>
              </w:rPr>
              <w:t>Консултација со Совет на Европа и ЕК за законското решение за воведување системска институционална заштита на укажувачи – Ноември 2015</w:t>
            </w:r>
          </w:p>
          <w:p w:rsidR="00787DEE" w:rsidRPr="009913D7" w:rsidRDefault="00787DEE" w:rsidP="005909F7">
            <w:pPr>
              <w:pStyle w:val="Default"/>
              <w:spacing w:after="200"/>
              <w:rPr>
                <w:rFonts w:asciiTheme="minorHAnsi" w:hAnsiTheme="minorHAnsi"/>
                <w:sz w:val="20"/>
                <w:szCs w:val="20"/>
              </w:rPr>
            </w:pPr>
            <w:r w:rsidRPr="009913D7">
              <w:rPr>
                <w:rFonts w:asciiTheme="minorHAnsi" w:hAnsiTheme="minorHAnsi"/>
                <w:sz w:val="20"/>
                <w:szCs w:val="20"/>
              </w:rPr>
              <w:t>Воспоставување на механизмот за заштита на укажувачите - 2016</w:t>
            </w:r>
          </w:p>
        </w:tc>
      </w:tr>
      <w:tr w:rsidR="00787DEE" w:rsidTr="002133FA">
        <w:tc>
          <w:tcPr>
            <w:tcW w:w="10710" w:type="dxa"/>
            <w:gridSpan w:val="7"/>
          </w:tcPr>
          <w:p w:rsidR="00787DEE" w:rsidRDefault="00787DEE" w:rsidP="002133FA">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r w:rsidR="00787DEE" w:rsidTr="00787DEE">
        <w:trPr>
          <w:trHeight w:val="435"/>
        </w:trPr>
        <w:tc>
          <w:tcPr>
            <w:tcW w:w="3960" w:type="dxa"/>
            <w:gridSpan w:val="3"/>
            <w:vMerge w:val="restart"/>
          </w:tcPr>
          <w:p w:rsidR="00787DEE" w:rsidRPr="00381F72" w:rsidRDefault="00787DEE" w:rsidP="005909F7">
            <w:pPr>
              <w:jc w:val="both"/>
              <w:rPr>
                <w:color w:val="878786"/>
                <w:spacing w:val="-6"/>
                <w:w w:val="124"/>
                <w:sz w:val="18"/>
                <w:szCs w:val="18"/>
                <w:lang w:val="mk-MK"/>
              </w:rPr>
            </w:pPr>
          </w:p>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t>Ниво на проект</w:t>
            </w:r>
          </w:p>
          <w:p w:rsidR="00787DEE" w:rsidRPr="00381F72" w:rsidRDefault="00787DEE" w:rsidP="005909F7">
            <w:pPr>
              <w:jc w:val="both"/>
              <w:rPr>
                <w:color w:val="878786"/>
                <w:spacing w:val="-6"/>
                <w:w w:val="124"/>
                <w:sz w:val="18"/>
                <w:szCs w:val="18"/>
                <w:lang w:val="mk-MK"/>
              </w:rPr>
            </w:pPr>
          </w:p>
        </w:tc>
        <w:tc>
          <w:tcPr>
            <w:tcW w:w="1627"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завршено</w:t>
            </w:r>
          </w:p>
        </w:tc>
      </w:tr>
      <w:tr w:rsidR="00787DEE" w:rsidTr="00787DEE">
        <w:trPr>
          <w:trHeight w:val="367"/>
        </w:trPr>
        <w:tc>
          <w:tcPr>
            <w:tcW w:w="3960" w:type="dxa"/>
            <w:gridSpan w:val="3"/>
            <w:vMerge/>
          </w:tcPr>
          <w:p w:rsidR="00787DEE" w:rsidRPr="00381F72" w:rsidRDefault="00787DEE" w:rsidP="005909F7">
            <w:pPr>
              <w:jc w:val="both"/>
              <w:rPr>
                <w:color w:val="878786"/>
                <w:spacing w:val="-6"/>
                <w:w w:val="124"/>
                <w:sz w:val="18"/>
                <w:szCs w:val="18"/>
                <w:lang w:val="mk-MK"/>
              </w:rPr>
            </w:pPr>
          </w:p>
        </w:tc>
        <w:tc>
          <w:tcPr>
            <w:tcW w:w="1627" w:type="dxa"/>
          </w:tcPr>
          <w:p w:rsidR="00787DEE" w:rsidRPr="00381F72" w:rsidRDefault="00787DEE" w:rsidP="005909F7">
            <w:pPr>
              <w:jc w:val="both"/>
              <w:rPr>
                <w:color w:val="878786"/>
                <w:spacing w:val="-6"/>
                <w:w w:val="124"/>
                <w:sz w:val="18"/>
                <w:szCs w:val="18"/>
                <w:lang w:val="mk-MK"/>
              </w:rPr>
            </w:pPr>
          </w:p>
        </w:tc>
        <w:tc>
          <w:tcPr>
            <w:tcW w:w="1724" w:type="dxa"/>
            <w:shd w:val="clear" w:color="auto" w:fill="548DD4" w:themeFill="text2" w:themeFillTint="99"/>
          </w:tcPr>
          <w:p w:rsidR="00787DEE" w:rsidRPr="00381F72" w:rsidRDefault="00787DEE" w:rsidP="005909F7">
            <w:pPr>
              <w:jc w:val="both"/>
              <w:rPr>
                <w:color w:val="878786"/>
                <w:spacing w:val="-6"/>
                <w:w w:val="124"/>
                <w:sz w:val="18"/>
                <w:szCs w:val="18"/>
                <w:lang w:val="mk-MK"/>
              </w:rPr>
            </w:pPr>
          </w:p>
        </w:tc>
        <w:tc>
          <w:tcPr>
            <w:tcW w:w="1564" w:type="dxa"/>
          </w:tcPr>
          <w:p w:rsidR="00787DEE" w:rsidRPr="00381F72" w:rsidRDefault="00787DEE" w:rsidP="005909F7">
            <w:pPr>
              <w:jc w:val="both"/>
              <w:rPr>
                <w:color w:val="878786"/>
                <w:spacing w:val="-6"/>
                <w:w w:val="124"/>
                <w:sz w:val="18"/>
                <w:szCs w:val="18"/>
                <w:lang w:val="mk-MK"/>
              </w:rPr>
            </w:pPr>
          </w:p>
        </w:tc>
        <w:tc>
          <w:tcPr>
            <w:tcW w:w="1835" w:type="dxa"/>
          </w:tcPr>
          <w:p w:rsidR="00787DEE" w:rsidRPr="00381F72" w:rsidRDefault="00787DEE" w:rsidP="005909F7">
            <w:pPr>
              <w:jc w:val="both"/>
              <w:rPr>
                <w:color w:val="878786"/>
                <w:spacing w:val="-6"/>
                <w:w w:val="124"/>
                <w:sz w:val="18"/>
                <w:szCs w:val="18"/>
                <w:lang w:val="mk-MK"/>
              </w:rPr>
            </w:pPr>
          </w:p>
        </w:tc>
      </w:tr>
      <w:tr w:rsidR="00787DEE" w:rsidTr="00787DEE">
        <w:tc>
          <w:tcPr>
            <w:tcW w:w="3960" w:type="dxa"/>
            <w:gridSpan w:val="3"/>
          </w:tcPr>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t xml:space="preserve">Се вклучуваат специфични активности во </w:t>
            </w:r>
            <w:r w:rsidRPr="00381F72">
              <w:rPr>
                <w:color w:val="878786"/>
                <w:spacing w:val="-6"/>
                <w:w w:val="124"/>
                <w:sz w:val="18"/>
                <w:szCs w:val="18"/>
                <w:lang w:val="mk-MK"/>
              </w:rPr>
              <w:lastRenderedPageBreak/>
              <w:t>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787DEE" w:rsidRPr="009913D7" w:rsidRDefault="00787DEE" w:rsidP="005909F7">
            <w:pPr>
              <w:rPr>
                <w:b/>
                <w:sz w:val="20"/>
                <w:szCs w:val="20"/>
                <w:lang w:val="mk-MK"/>
              </w:rPr>
            </w:pPr>
            <w:r w:rsidRPr="009913D7">
              <w:rPr>
                <w:b/>
                <w:sz w:val="20"/>
                <w:szCs w:val="20"/>
                <w:lang w:val="mk-MK"/>
              </w:rPr>
              <w:lastRenderedPageBreak/>
              <w:t xml:space="preserve">Мерка 2. Спроведување на активности за подигање на свеста на јавната администрација и граѓаните за пријавување на корупција и друго </w:t>
            </w:r>
            <w:r w:rsidRPr="009913D7">
              <w:rPr>
                <w:b/>
                <w:sz w:val="20"/>
                <w:szCs w:val="20"/>
                <w:lang w:val="mk-MK"/>
              </w:rPr>
              <w:lastRenderedPageBreak/>
              <w:t>незаконито и недозволиво постапување</w:t>
            </w:r>
          </w:p>
          <w:p w:rsidR="00787DEE" w:rsidRPr="009913D7" w:rsidRDefault="00787DEE" w:rsidP="005909F7">
            <w:pPr>
              <w:rPr>
                <w:sz w:val="20"/>
                <w:szCs w:val="20"/>
                <w:lang w:val="mk-MK"/>
              </w:rPr>
            </w:pPr>
          </w:p>
          <w:p w:rsidR="00787DEE" w:rsidRPr="009913D7" w:rsidRDefault="00787DEE" w:rsidP="005909F7">
            <w:pPr>
              <w:shd w:val="clear" w:color="auto" w:fill="FFFFFF"/>
              <w:jc w:val="both"/>
              <w:rPr>
                <w:sz w:val="20"/>
                <w:szCs w:val="20"/>
                <w:lang w:val="mk-MK"/>
              </w:rPr>
            </w:pPr>
            <w:r w:rsidRPr="009913D7">
              <w:rPr>
                <w:sz w:val="20"/>
                <w:szCs w:val="20"/>
                <w:lang w:val="mk-MK"/>
              </w:rPr>
              <w:t xml:space="preserve">Во организација на ТИ Македонија во април 2015 година </w:t>
            </w:r>
            <w:r w:rsidRPr="009913D7">
              <w:rPr>
                <w:sz w:val="20"/>
                <w:szCs w:val="20"/>
              </w:rPr>
              <w:t>одржа</w:t>
            </w:r>
            <w:r w:rsidRPr="009913D7">
              <w:rPr>
                <w:sz w:val="20"/>
                <w:szCs w:val="20"/>
                <w:lang w:val="mk-MK"/>
              </w:rPr>
              <w:t xml:space="preserve">на е </w:t>
            </w:r>
            <w:r w:rsidRPr="009913D7">
              <w:rPr>
                <w:sz w:val="20"/>
                <w:szCs w:val="20"/>
              </w:rPr>
              <w:t>работилница во рамки</w:t>
            </w:r>
            <w:r w:rsidRPr="009913D7">
              <w:rPr>
                <w:sz w:val="20"/>
                <w:szCs w:val="20"/>
                <w:lang w:val="mk-MK"/>
              </w:rPr>
              <w:t>те</w:t>
            </w:r>
            <w:r w:rsidRPr="009913D7">
              <w:rPr>
                <w:sz w:val="20"/>
                <w:szCs w:val="20"/>
              </w:rPr>
              <w:t xml:space="preserve"> на проектот “Застапување и заштита на пријавувачите, вклучувајќи ги медиумите и граѓанското општество”</w:t>
            </w:r>
            <w:r w:rsidRPr="009913D7">
              <w:rPr>
                <w:sz w:val="20"/>
                <w:szCs w:val="20"/>
                <w:lang w:val="mk-MK"/>
              </w:rPr>
              <w:t>. Согласно информацијата од ТИ Македонија, в</w:t>
            </w:r>
            <w:r w:rsidRPr="009913D7">
              <w:rPr>
                <w:sz w:val="20"/>
                <w:szCs w:val="20"/>
              </w:rPr>
              <w:t>о рамки</w:t>
            </w:r>
            <w:r w:rsidRPr="009913D7">
              <w:rPr>
                <w:sz w:val="20"/>
                <w:szCs w:val="20"/>
                <w:lang w:val="mk-MK"/>
              </w:rPr>
              <w:t>те</w:t>
            </w:r>
            <w:r w:rsidRPr="009913D7">
              <w:rPr>
                <w:sz w:val="20"/>
                <w:szCs w:val="20"/>
              </w:rPr>
              <w:t xml:space="preserve"> на </w:t>
            </w:r>
            <w:r w:rsidRPr="009913D7">
              <w:rPr>
                <w:sz w:val="20"/>
                <w:szCs w:val="20"/>
                <w:lang w:val="mk-MK"/>
              </w:rPr>
              <w:t xml:space="preserve">овој </w:t>
            </w:r>
            <w:r w:rsidRPr="009913D7">
              <w:rPr>
                <w:sz w:val="20"/>
                <w:szCs w:val="20"/>
              </w:rPr>
              <w:t xml:space="preserve">проект направена е </w:t>
            </w:r>
            <w:r w:rsidRPr="009913D7">
              <w:rPr>
                <w:sz w:val="20"/>
                <w:szCs w:val="20"/>
                <w:lang w:val="mk-MK"/>
              </w:rPr>
              <w:t>а</w:t>
            </w:r>
            <w:r w:rsidRPr="009913D7">
              <w:rPr>
                <w:sz w:val="20"/>
                <w:szCs w:val="20"/>
              </w:rPr>
              <w:t xml:space="preserve">нализа на правната рамка за заштита на </w:t>
            </w:r>
            <w:r w:rsidRPr="009913D7">
              <w:rPr>
                <w:sz w:val="20"/>
                <w:szCs w:val="20"/>
                <w:lang w:val="mk-MK"/>
              </w:rPr>
              <w:t>укажувачите</w:t>
            </w:r>
            <w:r w:rsidRPr="009913D7">
              <w:rPr>
                <w:sz w:val="20"/>
                <w:szCs w:val="20"/>
              </w:rPr>
              <w:t xml:space="preserve"> во Р</w:t>
            </w:r>
            <w:r w:rsidRPr="009913D7">
              <w:rPr>
                <w:sz w:val="20"/>
                <w:szCs w:val="20"/>
                <w:lang w:val="mk-MK"/>
              </w:rPr>
              <w:t>епублика</w:t>
            </w:r>
            <w:r w:rsidRPr="009913D7">
              <w:rPr>
                <w:sz w:val="20"/>
                <w:szCs w:val="20"/>
              </w:rPr>
              <w:t xml:space="preserve"> Македонија и </w:t>
            </w:r>
            <w:r w:rsidRPr="009913D7">
              <w:rPr>
                <w:sz w:val="20"/>
                <w:szCs w:val="20"/>
                <w:lang w:val="mk-MK"/>
              </w:rPr>
              <w:t>к</w:t>
            </w:r>
            <w:r w:rsidRPr="009913D7">
              <w:rPr>
                <w:sz w:val="20"/>
                <w:szCs w:val="20"/>
              </w:rPr>
              <w:t>омпаративна анализа со земјите од регионот.</w:t>
            </w:r>
            <w:r w:rsidRPr="009913D7">
              <w:rPr>
                <w:rFonts w:cs="Arial"/>
                <w:sz w:val="20"/>
                <w:szCs w:val="20"/>
                <w:lang w:val="mk-MK"/>
              </w:rPr>
              <w:t>Н</w:t>
            </w:r>
            <w:r w:rsidRPr="009913D7">
              <w:rPr>
                <w:rFonts w:cs="Arial"/>
                <w:sz w:val="20"/>
                <w:szCs w:val="20"/>
              </w:rPr>
              <w:t>а три локации во Скопје  беа поставени билборди насловен</w:t>
            </w:r>
            <w:r w:rsidRPr="009913D7">
              <w:rPr>
                <w:rFonts w:cs="Arial"/>
                <w:sz w:val="20"/>
                <w:szCs w:val="20"/>
                <w:lang w:val="mk-MK"/>
              </w:rPr>
              <w:t>и</w:t>
            </w:r>
            <w:r w:rsidRPr="009913D7">
              <w:rPr>
                <w:rFonts w:cs="Arial"/>
                <w:sz w:val="20"/>
                <w:szCs w:val="20"/>
              </w:rPr>
              <w:t xml:space="preserve"> “</w:t>
            </w:r>
            <w:r w:rsidRPr="009913D7">
              <w:rPr>
                <w:rFonts w:cs="Arial"/>
                <w:sz w:val="20"/>
                <w:szCs w:val="20"/>
                <w:lang w:val="mk-MK"/>
              </w:rPr>
              <w:t>З</w:t>
            </w:r>
            <w:r w:rsidRPr="009913D7">
              <w:rPr>
                <w:rFonts w:cs="Arial"/>
                <w:sz w:val="20"/>
                <w:szCs w:val="20"/>
              </w:rPr>
              <w:t>а заштита на пријавувачите”.</w:t>
            </w:r>
            <w:r w:rsidRPr="009913D7">
              <w:rPr>
                <w:rFonts w:cs="Arial"/>
                <w:sz w:val="20"/>
                <w:szCs w:val="20"/>
                <w:lang w:val="mk-MK"/>
              </w:rPr>
              <w:t xml:space="preserve"> Исто така</w:t>
            </w:r>
            <w:r w:rsidRPr="009913D7">
              <w:rPr>
                <w:sz w:val="20"/>
                <w:szCs w:val="20"/>
              </w:rPr>
              <w:t xml:space="preserve"> објавени се и две истражува</w:t>
            </w:r>
            <w:r w:rsidRPr="009913D7">
              <w:rPr>
                <w:sz w:val="20"/>
                <w:szCs w:val="20"/>
                <w:lang w:val="mk-MK"/>
              </w:rPr>
              <w:t>ч</w:t>
            </w:r>
            <w:r w:rsidRPr="009913D7">
              <w:rPr>
                <w:sz w:val="20"/>
                <w:szCs w:val="20"/>
              </w:rPr>
              <w:t xml:space="preserve">ки новинарски стории. Целта на објавувањето на сториите е да се подигне свеста за улогата на </w:t>
            </w:r>
            <w:r w:rsidRPr="009913D7">
              <w:rPr>
                <w:sz w:val="20"/>
                <w:szCs w:val="20"/>
                <w:lang w:val="mk-MK"/>
              </w:rPr>
              <w:t>укажувачите (</w:t>
            </w:r>
            <w:r w:rsidRPr="009913D7">
              <w:rPr>
                <w:sz w:val="20"/>
                <w:szCs w:val="20"/>
              </w:rPr>
              <w:t>whistleblowers</w:t>
            </w:r>
            <w:r w:rsidRPr="009913D7">
              <w:rPr>
                <w:sz w:val="20"/>
                <w:szCs w:val="20"/>
                <w:lang w:val="mk-MK"/>
              </w:rPr>
              <w:t>)</w:t>
            </w:r>
            <w:r w:rsidRPr="009913D7">
              <w:rPr>
                <w:sz w:val="20"/>
                <w:szCs w:val="20"/>
              </w:rPr>
              <w:t xml:space="preserve"> и последиците што тие ги имаат од одл</w:t>
            </w:r>
            <w:r w:rsidRPr="009913D7">
              <w:rPr>
                <w:sz w:val="20"/>
                <w:szCs w:val="20"/>
                <w:lang w:val="mk-MK"/>
              </w:rPr>
              <w:t>у</w:t>
            </w:r>
            <w:r w:rsidRPr="009913D7">
              <w:rPr>
                <w:sz w:val="20"/>
                <w:szCs w:val="20"/>
              </w:rPr>
              <w:t>ката да пријават.</w:t>
            </w:r>
          </w:p>
          <w:p w:rsidR="00787DEE" w:rsidRPr="00787DEE" w:rsidRDefault="00787DEE" w:rsidP="005909F7">
            <w:pPr>
              <w:rPr>
                <w:sz w:val="20"/>
                <w:szCs w:val="20"/>
                <w:lang w:val="mk-MK"/>
              </w:rPr>
            </w:pPr>
          </w:p>
        </w:tc>
      </w:tr>
      <w:tr w:rsidR="00787DEE" w:rsidTr="00787DEE">
        <w:tc>
          <w:tcPr>
            <w:tcW w:w="3960" w:type="dxa"/>
            <w:gridSpan w:val="3"/>
          </w:tcPr>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lastRenderedPageBreak/>
              <w:t>Краен датум</w:t>
            </w:r>
          </w:p>
        </w:tc>
        <w:tc>
          <w:tcPr>
            <w:tcW w:w="6750" w:type="dxa"/>
            <w:gridSpan w:val="4"/>
          </w:tcPr>
          <w:p w:rsidR="00787DEE" w:rsidRPr="009913D7" w:rsidRDefault="00787DEE" w:rsidP="005909F7">
            <w:pPr>
              <w:rPr>
                <w:sz w:val="20"/>
                <w:szCs w:val="20"/>
                <w:lang w:val="mk-MK"/>
              </w:rPr>
            </w:pPr>
            <w:r w:rsidRPr="009913D7">
              <w:rPr>
                <w:sz w:val="20"/>
                <w:szCs w:val="20"/>
                <w:lang w:val="mk-MK"/>
              </w:rPr>
              <w:t>2016</w:t>
            </w:r>
          </w:p>
        </w:tc>
      </w:tr>
      <w:tr w:rsidR="00787DEE" w:rsidTr="00787DEE">
        <w:tc>
          <w:tcPr>
            <w:tcW w:w="3960" w:type="dxa"/>
            <w:gridSpan w:val="3"/>
          </w:tcPr>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787DEE" w:rsidRPr="009913D7" w:rsidRDefault="00787DEE" w:rsidP="005909F7">
            <w:pPr>
              <w:pStyle w:val="Default"/>
              <w:spacing w:after="200"/>
              <w:rPr>
                <w:rFonts w:asciiTheme="minorHAnsi" w:hAnsiTheme="minorHAnsi"/>
                <w:sz w:val="20"/>
                <w:szCs w:val="20"/>
              </w:rPr>
            </w:pPr>
            <w:r w:rsidRPr="009913D7">
              <w:rPr>
                <w:rFonts w:asciiTheme="minorHAnsi" w:hAnsiTheme="minorHAnsi"/>
                <w:sz w:val="20"/>
                <w:szCs w:val="20"/>
              </w:rPr>
              <w:t xml:space="preserve">По донесувањето на законското решение за воведување системска институционална заштита на укажувачите ќе следат активности за подигање на свеста за пријавување </w:t>
            </w:r>
          </w:p>
        </w:tc>
      </w:tr>
      <w:tr w:rsidR="00787DEE" w:rsidTr="005909F7">
        <w:tc>
          <w:tcPr>
            <w:tcW w:w="10710" w:type="dxa"/>
            <w:gridSpan w:val="7"/>
          </w:tcPr>
          <w:p w:rsidR="00787DEE" w:rsidRDefault="00787DEE" w:rsidP="005909F7">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r w:rsidR="00787DEE" w:rsidTr="00787DEE">
        <w:trPr>
          <w:trHeight w:val="435"/>
        </w:trPr>
        <w:tc>
          <w:tcPr>
            <w:tcW w:w="3960" w:type="dxa"/>
            <w:gridSpan w:val="3"/>
            <w:vMerge w:val="restart"/>
          </w:tcPr>
          <w:p w:rsidR="00787DEE" w:rsidRPr="00381F72" w:rsidRDefault="00787DEE" w:rsidP="005909F7">
            <w:pPr>
              <w:jc w:val="both"/>
              <w:rPr>
                <w:color w:val="878786"/>
                <w:spacing w:val="-6"/>
                <w:w w:val="124"/>
                <w:sz w:val="18"/>
                <w:szCs w:val="18"/>
                <w:lang w:val="mk-MK"/>
              </w:rPr>
            </w:pPr>
          </w:p>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t>Ниво на проект</w:t>
            </w:r>
          </w:p>
          <w:p w:rsidR="00787DEE" w:rsidRPr="00381F72" w:rsidRDefault="00787DEE" w:rsidP="005909F7">
            <w:pPr>
              <w:jc w:val="both"/>
              <w:rPr>
                <w:color w:val="878786"/>
                <w:spacing w:val="-6"/>
                <w:w w:val="124"/>
                <w:sz w:val="18"/>
                <w:szCs w:val="18"/>
                <w:lang w:val="mk-MK"/>
              </w:rPr>
            </w:pPr>
          </w:p>
        </w:tc>
        <w:tc>
          <w:tcPr>
            <w:tcW w:w="1627"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завршено</w:t>
            </w:r>
          </w:p>
        </w:tc>
      </w:tr>
      <w:tr w:rsidR="00787DEE" w:rsidTr="00787DEE">
        <w:trPr>
          <w:trHeight w:val="367"/>
        </w:trPr>
        <w:tc>
          <w:tcPr>
            <w:tcW w:w="3960" w:type="dxa"/>
            <w:gridSpan w:val="3"/>
            <w:vMerge/>
          </w:tcPr>
          <w:p w:rsidR="00787DEE" w:rsidRPr="00381F72" w:rsidRDefault="00787DEE" w:rsidP="005909F7">
            <w:pPr>
              <w:jc w:val="both"/>
              <w:rPr>
                <w:color w:val="878786"/>
                <w:spacing w:val="-6"/>
                <w:w w:val="124"/>
                <w:sz w:val="18"/>
                <w:szCs w:val="18"/>
                <w:lang w:val="mk-MK"/>
              </w:rPr>
            </w:pPr>
          </w:p>
        </w:tc>
        <w:tc>
          <w:tcPr>
            <w:tcW w:w="1627" w:type="dxa"/>
          </w:tcPr>
          <w:p w:rsidR="00787DEE" w:rsidRPr="00381F72" w:rsidRDefault="00787DEE" w:rsidP="005909F7">
            <w:pPr>
              <w:jc w:val="both"/>
              <w:rPr>
                <w:color w:val="878786"/>
                <w:spacing w:val="-6"/>
                <w:w w:val="124"/>
                <w:sz w:val="18"/>
                <w:szCs w:val="18"/>
                <w:lang w:val="mk-MK"/>
              </w:rPr>
            </w:pPr>
          </w:p>
        </w:tc>
        <w:tc>
          <w:tcPr>
            <w:tcW w:w="1724" w:type="dxa"/>
          </w:tcPr>
          <w:p w:rsidR="00787DEE" w:rsidRPr="00381F72" w:rsidRDefault="00787DEE" w:rsidP="005909F7">
            <w:pPr>
              <w:jc w:val="both"/>
              <w:rPr>
                <w:color w:val="878786"/>
                <w:spacing w:val="-6"/>
                <w:w w:val="124"/>
                <w:sz w:val="18"/>
                <w:szCs w:val="18"/>
                <w:lang w:val="mk-MK"/>
              </w:rPr>
            </w:pPr>
          </w:p>
        </w:tc>
        <w:tc>
          <w:tcPr>
            <w:tcW w:w="1564" w:type="dxa"/>
            <w:shd w:val="clear" w:color="auto" w:fill="548DD4" w:themeFill="text2" w:themeFillTint="99"/>
          </w:tcPr>
          <w:p w:rsidR="00787DEE" w:rsidRPr="00381F72" w:rsidRDefault="00787DEE" w:rsidP="005909F7">
            <w:pPr>
              <w:jc w:val="both"/>
              <w:rPr>
                <w:color w:val="878786"/>
                <w:spacing w:val="-6"/>
                <w:w w:val="124"/>
                <w:sz w:val="18"/>
                <w:szCs w:val="18"/>
                <w:lang w:val="mk-MK"/>
              </w:rPr>
            </w:pPr>
          </w:p>
        </w:tc>
        <w:tc>
          <w:tcPr>
            <w:tcW w:w="1835" w:type="dxa"/>
          </w:tcPr>
          <w:p w:rsidR="00787DEE" w:rsidRPr="00381F72" w:rsidRDefault="00787DEE" w:rsidP="005909F7">
            <w:pPr>
              <w:jc w:val="both"/>
              <w:rPr>
                <w:color w:val="878786"/>
                <w:spacing w:val="-6"/>
                <w:w w:val="124"/>
                <w:sz w:val="18"/>
                <w:szCs w:val="18"/>
                <w:lang w:val="mk-MK"/>
              </w:rPr>
            </w:pPr>
          </w:p>
        </w:tc>
      </w:tr>
      <w:tr w:rsidR="00787DEE" w:rsidTr="00787DEE">
        <w:tc>
          <w:tcPr>
            <w:tcW w:w="3960" w:type="dxa"/>
            <w:gridSpan w:val="3"/>
          </w:tcPr>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787DEE" w:rsidRPr="009913D7" w:rsidRDefault="00787DEE" w:rsidP="005909F7">
            <w:pPr>
              <w:rPr>
                <w:b/>
                <w:sz w:val="20"/>
                <w:szCs w:val="20"/>
                <w:lang w:val="mk-MK"/>
              </w:rPr>
            </w:pPr>
            <w:r w:rsidRPr="009913D7">
              <w:rPr>
                <w:b/>
                <w:sz w:val="20"/>
                <w:szCs w:val="20"/>
                <w:lang w:val="mk-MK"/>
              </w:rPr>
              <w:t>Мерка 3. Воведување на насоки на системот на интегритет и нивно натамошно пилотирање во општините и институциите на централно ниво</w:t>
            </w:r>
          </w:p>
          <w:p w:rsidR="00787DEE" w:rsidRPr="009913D7" w:rsidRDefault="00787DEE" w:rsidP="005909F7">
            <w:pPr>
              <w:jc w:val="both"/>
              <w:rPr>
                <w:rFonts w:cs="Arial"/>
                <w:sz w:val="20"/>
                <w:szCs w:val="20"/>
                <w:lang w:val="mk-MK"/>
              </w:rPr>
            </w:pPr>
          </w:p>
          <w:p w:rsidR="00787DEE" w:rsidRPr="009913D7" w:rsidRDefault="00787DEE" w:rsidP="005909F7">
            <w:pPr>
              <w:jc w:val="both"/>
              <w:rPr>
                <w:rFonts w:cs="Arial"/>
                <w:sz w:val="20"/>
                <w:szCs w:val="20"/>
                <w:lang w:val="mk-MK"/>
              </w:rPr>
            </w:pPr>
            <w:r w:rsidRPr="009913D7">
              <w:rPr>
                <w:rFonts w:cs="Arial"/>
                <w:sz w:val="20"/>
                <w:szCs w:val="20"/>
              </w:rPr>
              <w:t>Во ноември 2014 година ДКСК, ЗЕЛС и УНДП заеднички организираа јавн</w:t>
            </w:r>
            <w:r w:rsidRPr="009913D7">
              <w:rPr>
                <w:rFonts w:cs="Arial"/>
                <w:sz w:val="20"/>
                <w:szCs w:val="20"/>
                <w:lang w:val="mk-MK"/>
              </w:rPr>
              <w:t>а</w:t>
            </w:r>
            <w:r w:rsidRPr="009913D7">
              <w:rPr>
                <w:rFonts w:cs="Arial"/>
                <w:sz w:val="20"/>
                <w:szCs w:val="20"/>
              </w:rPr>
              <w:t xml:space="preserve"> дебата на тема интегритет, транспарентност и отчетност на локално ниво со учество на голем број општини и претставници на невладиниот сектор.  Целта беше да да се </w:t>
            </w:r>
            <w:r w:rsidRPr="009913D7">
              <w:rPr>
                <w:rFonts w:cs="Arial"/>
                <w:sz w:val="20"/>
                <w:szCs w:val="20"/>
                <w:lang w:val="mk-MK"/>
              </w:rPr>
              <w:t>презентираатискуствата</w:t>
            </w:r>
            <w:r w:rsidRPr="009913D7">
              <w:rPr>
                <w:rFonts w:cs="Arial"/>
                <w:sz w:val="20"/>
                <w:szCs w:val="20"/>
              </w:rPr>
              <w:t xml:space="preserve"> и предизвици</w:t>
            </w:r>
            <w:r w:rsidRPr="009913D7">
              <w:rPr>
                <w:rFonts w:cs="Arial"/>
                <w:sz w:val="20"/>
                <w:szCs w:val="20"/>
                <w:lang w:val="mk-MK"/>
              </w:rPr>
              <w:t>те</w:t>
            </w:r>
            <w:r w:rsidRPr="009913D7">
              <w:rPr>
                <w:rFonts w:cs="Arial"/>
                <w:sz w:val="20"/>
                <w:szCs w:val="20"/>
              </w:rPr>
              <w:t xml:space="preserve"> во воведувањето на </w:t>
            </w:r>
            <w:r w:rsidRPr="009913D7">
              <w:rPr>
                <w:rFonts w:cs="Arial"/>
                <w:sz w:val="20"/>
                <w:szCs w:val="20"/>
                <w:lang w:val="mk-MK"/>
              </w:rPr>
              <w:t>концептот</w:t>
            </w:r>
            <w:r w:rsidRPr="009913D7">
              <w:rPr>
                <w:rFonts w:cs="Arial"/>
                <w:sz w:val="20"/>
                <w:szCs w:val="20"/>
              </w:rPr>
              <w:t xml:space="preserve"> на интегритет и да се </w:t>
            </w:r>
            <w:r w:rsidRPr="009913D7">
              <w:rPr>
                <w:rFonts w:cs="Arial"/>
                <w:sz w:val="20"/>
                <w:szCs w:val="20"/>
                <w:lang w:val="mk-MK"/>
              </w:rPr>
              <w:t xml:space="preserve">разговара </w:t>
            </w:r>
            <w:r w:rsidRPr="009913D7">
              <w:rPr>
                <w:rFonts w:cs="Arial"/>
                <w:sz w:val="20"/>
                <w:szCs w:val="20"/>
              </w:rPr>
              <w:t>за улогата на граѓанското општество и користење</w:t>
            </w:r>
            <w:r w:rsidRPr="009913D7">
              <w:rPr>
                <w:rFonts w:cs="Arial"/>
                <w:sz w:val="20"/>
                <w:szCs w:val="20"/>
                <w:lang w:val="mk-MK"/>
              </w:rPr>
              <w:t>то</w:t>
            </w:r>
            <w:r w:rsidRPr="009913D7">
              <w:rPr>
                <w:rFonts w:cs="Arial"/>
                <w:sz w:val="20"/>
                <w:szCs w:val="20"/>
              </w:rPr>
              <w:t xml:space="preserve"> на И</w:t>
            </w:r>
            <w:r w:rsidRPr="009913D7">
              <w:rPr>
                <w:rFonts w:cs="Arial"/>
                <w:sz w:val="20"/>
                <w:szCs w:val="20"/>
                <w:lang w:val="mk-MK"/>
              </w:rPr>
              <w:t>К</w:t>
            </w:r>
            <w:r w:rsidRPr="009913D7">
              <w:rPr>
                <w:rFonts w:cs="Arial"/>
                <w:sz w:val="20"/>
                <w:szCs w:val="20"/>
              </w:rPr>
              <w:t xml:space="preserve">Т </w:t>
            </w:r>
            <w:r w:rsidRPr="009913D7">
              <w:rPr>
                <w:rFonts w:cs="Arial"/>
                <w:sz w:val="20"/>
                <w:szCs w:val="20"/>
                <w:lang w:val="mk-MK"/>
              </w:rPr>
              <w:t>алатки</w:t>
            </w:r>
            <w:r w:rsidRPr="009913D7">
              <w:rPr>
                <w:rFonts w:cs="Arial"/>
                <w:sz w:val="20"/>
                <w:szCs w:val="20"/>
              </w:rPr>
              <w:t xml:space="preserve"> за промовирање на транспарентност</w:t>
            </w:r>
            <w:r w:rsidRPr="009913D7">
              <w:rPr>
                <w:rFonts w:cs="Arial"/>
                <w:sz w:val="20"/>
                <w:szCs w:val="20"/>
                <w:lang w:val="mk-MK"/>
              </w:rPr>
              <w:t>а</w:t>
            </w:r>
            <w:r w:rsidRPr="009913D7">
              <w:rPr>
                <w:rFonts w:cs="Arial"/>
                <w:sz w:val="20"/>
                <w:szCs w:val="20"/>
              </w:rPr>
              <w:t xml:space="preserve"> и отчетност</w:t>
            </w:r>
            <w:r w:rsidRPr="009913D7">
              <w:rPr>
                <w:rFonts w:cs="Arial"/>
                <w:sz w:val="20"/>
                <w:szCs w:val="20"/>
                <w:lang w:val="mk-MK"/>
              </w:rPr>
              <w:t>а</w:t>
            </w:r>
            <w:r w:rsidRPr="009913D7">
              <w:rPr>
                <w:rFonts w:cs="Arial"/>
                <w:sz w:val="20"/>
                <w:szCs w:val="20"/>
              </w:rPr>
              <w:t xml:space="preserve"> на локално ниво. </w:t>
            </w:r>
          </w:p>
          <w:p w:rsidR="00787DEE" w:rsidRPr="009913D7" w:rsidRDefault="00787DEE" w:rsidP="005909F7">
            <w:pPr>
              <w:jc w:val="both"/>
              <w:rPr>
                <w:rFonts w:cs="Arial"/>
                <w:sz w:val="20"/>
                <w:szCs w:val="20"/>
              </w:rPr>
            </w:pPr>
          </w:p>
          <w:p w:rsidR="00787DEE" w:rsidRPr="009913D7" w:rsidRDefault="00787DEE" w:rsidP="005909F7">
            <w:pPr>
              <w:jc w:val="both"/>
              <w:rPr>
                <w:rFonts w:cs="Arial"/>
                <w:sz w:val="20"/>
                <w:szCs w:val="20"/>
              </w:rPr>
            </w:pPr>
            <w:r w:rsidRPr="009913D7">
              <w:rPr>
                <w:rFonts w:cs="Arial"/>
                <w:sz w:val="20"/>
                <w:szCs w:val="20"/>
              </w:rPr>
              <w:t xml:space="preserve">Темата за интегритет, транспарентност и отчетност на локално ниво, како и можноста за користење ИКТ технологии, иновации и отворени податоци за промовирање на транспарентност и отчетност беа дел и од одбележувањето на </w:t>
            </w:r>
            <w:r w:rsidRPr="009913D7">
              <w:rPr>
                <w:rFonts w:cs="Arial"/>
                <w:sz w:val="20"/>
                <w:szCs w:val="20"/>
                <w:lang w:val="mk-MK"/>
              </w:rPr>
              <w:t>светскиот д</w:t>
            </w:r>
            <w:r w:rsidRPr="009913D7">
              <w:rPr>
                <w:rFonts w:cs="Arial"/>
                <w:sz w:val="20"/>
                <w:szCs w:val="20"/>
              </w:rPr>
              <w:t>ен за борбата против корупцијата (9 декември 2014</w:t>
            </w:r>
            <w:r w:rsidRPr="009913D7">
              <w:rPr>
                <w:rFonts w:cs="Arial"/>
                <w:sz w:val="20"/>
                <w:szCs w:val="20"/>
                <w:lang w:val="mk-MK"/>
              </w:rPr>
              <w:t xml:space="preserve"> година</w:t>
            </w:r>
            <w:r w:rsidRPr="009913D7">
              <w:rPr>
                <w:rFonts w:cs="Arial"/>
                <w:sz w:val="20"/>
                <w:szCs w:val="20"/>
              </w:rPr>
              <w:t>) кој беше организиран во заедничка соработка меѓуДКСК</w:t>
            </w:r>
            <w:r w:rsidRPr="009913D7">
              <w:rPr>
                <w:rFonts w:cs="Arial"/>
                <w:sz w:val="20"/>
                <w:szCs w:val="20"/>
                <w:lang w:val="mk-MK"/>
              </w:rPr>
              <w:t>, УНДП</w:t>
            </w:r>
            <w:r w:rsidRPr="009913D7">
              <w:rPr>
                <w:rFonts w:cs="Arial"/>
                <w:sz w:val="20"/>
                <w:szCs w:val="20"/>
              </w:rPr>
              <w:t xml:space="preserve"> и ЗЕЛС и </w:t>
            </w:r>
            <w:r w:rsidRPr="009913D7">
              <w:rPr>
                <w:rFonts w:cs="Arial"/>
                <w:sz w:val="20"/>
                <w:szCs w:val="20"/>
                <w:lang w:val="mk-MK"/>
              </w:rPr>
              <w:t xml:space="preserve">на </w:t>
            </w:r>
            <w:r w:rsidRPr="009913D7">
              <w:rPr>
                <w:rFonts w:cs="Arial"/>
                <w:sz w:val="20"/>
                <w:szCs w:val="20"/>
              </w:rPr>
              <w:t xml:space="preserve">годишната конференција на ДКСК за </w:t>
            </w:r>
            <w:r w:rsidRPr="009913D7">
              <w:rPr>
                <w:rFonts w:cs="Arial"/>
                <w:sz w:val="20"/>
                <w:szCs w:val="20"/>
                <w:lang w:val="mk-MK"/>
              </w:rPr>
              <w:t>оценка на остварувањето на Државната програма за превенција и репресија на корупцијата и судирот на интереси 2011-2015,</w:t>
            </w:r>
            <w:r w:rsidRPr="009913D7">
              <w:rPr>
                <w:rFonts w:cs="Arial"/>
                <w:sz w:val="20"/>
                <w:szCs w:val="20"/>
              </w:rPr>
              <w:t xml:space="preserve"> одржана  </w:t>
            </w:r>
            <w:r w:rsidRPr="009913D7">
              <w:rPr>
                <w:rFonts w:cs="Arial"/>
                <w:sz w:val="20"/>
                <w:szCs w:val="20"/>
                <w:lang w:val="mk-MK"/>
              </w:rPr>
              <w:t>во</w:t>
            </w:r>
            <w:r w:rsidRPr="009913D7">
              <w:rPr>
                <w:rFonts w:cs="Arial"/>
                <w:sz w:val="20"/>
                <w:szCs w:val="20"/>
              </w:rPr>
              <w:t xml:space="preserve"> март 2015. </w:t>
            </w:r>
          </w:p>
          <w:p w:rsidR="00787DEE" w:rsidRPr="009913D7" w:rsidRDefault="00787DEE" w:rsidP="005909F7">
            <w:pPr>
              <w:jc w:val="both"/>
              <w:rPr>
                <w:rFonts w:cs="Arial"/>
                <w:sz w:val="20"/>
                <w:szCs w:val="20"/>
              </w:rPr>
            </w:pPr>
          </w:p>
          <w:p w:rsidR="00787DEE" w:rsidRPr="009913D7" w:rsidRDefault="00787DEE" w:rsidP="005909F7">
            <w:pPr>
              <w:jc w:val="both"/>
              <w:rPr>
                <w:rFonts w:cs="Arial"/>
                <w:sz w:val="20"/>
                <w:szCs w:val="20"/>
              </w:rPr>
            </w:pPr>
            <w:r w:rsidRPr="009913D7">
              <w:rPr>
                <w:rFonts w:cs="Arial"/>
                <w:sz w:val="20"/>
                <w:szCs w:val="20"/>
              </w:rPr>
              <w:t xml:space="preserve">Како дел од </w:t>
            </w:r>
            <w:r w:rsidRPr="009913D7">
              <w:rPr>
                <w:rFonts w:cs="Arial"/>
                <w:sz w:val="20"/>
                <w:szCs w:val="20"/>
                <w:lang w:val="mk-MK"/>
              </w:rPr>
              <w:t>концептот</w:t>
            </w:r>
            <w:r w:rsidRPr="009913D7">
              <w:rPr>
                <w:rFonts w:cs="Arial"/>
                <w:sz w:val="20"/>
                <w:szCs w:val="20"/>
              </w:rPr>
              <w:t xml:space="preserve"> на интегритет, ДКСК во соработка со УНДП </w:t>
            </w:r>
            <w:r w:rsidRPr="009913D7">
              <w:rPr>
                <w:rFonts w:cs="Arial"/>
                <w:sz w:val="20"/>
                <w:szCs w:val="20"/>
                <w:lang w:val="mk-MK"/>
              </w:rPr>
              <w:t xml:space="preserve">во текот на 2014 и 2015 година </w:t>
            </w:r>
            <w:r w:rsidRPr="009913D7">
              <w:rPr>
                <w:rFonts w:cs="Arial"/>
                <w:sz w:val="20"/>
                <w:szCs w:val="20"/>
              </w:rPr>
              <w:t>продолж</w:t>
            </w:r>
            <w:r w:rsidRPr="009913D7">
              <w:rPr>
                <w:rFonts w:cs="Arial"/>
                <w:sz w:val="20"/>
                <w:szCs w:val="20"/>
                <w:lang w:val="mk-MK"/>
              </w:rPr>
              <w:t>и</w:t>
            </w:r>
            <w:r w:rsidRPr="009913D7">
              <w:rPr>
                <w:rFonts w:cs="Arial"/>
                <w:sz w:val="20"/>
                <w:szCs w:val="20"/>
              </w:rPr>
              <w:t xml:space="preserve"> со промовирање на потпишување на анти-корупциска политика</w:t>
            </w:r>
            <w:r w:rsidRPr="009913D7">
              <w:rPr>
                <w:rFonts w:cs="Arial"/>
                <w:sz w:val="20"/>
                <w:szCs w:val="20"/>
                <w:lang w:val="mk-MK"/>
              </w:rPr>
              <w:t xml:space="preserve"> / политика на интегритет</w:t>
            </w:r>
            <w:r w:rsidRPr="009913D7">
              <w:rPr>
                <w:rFonts w:cs="Arial"/>
                <w:sz w:val="20"/>
                <w:szCs w:val="20"/>
              </w:rPr>
              <w:t xml:space="preserve"> на локално ниво. Досега, </w:t>
            </w:r>
            <w:r w:rsidRPr="009913D7">
              <w:rPr>
                <w:rFonts w:cs="Arial"/>
                <w:sz w:val="20"/>
                <w:szCs w:val="20"/>
                <w:lang w:val="mk-MK"/>
              </w:rPr>
              <w:t>47</w:t>
            </w:r>
            <w:r w:rsidRPr="009913D7">
              <w:rPr>
                <w:rFonts w:cs="Arial"/>
                <w:sz w:val="20"/>
                <w:szCs w:val="20"/>
              </w:rPr>
              <w:t xml:space="preserve"> општини </w:t>
            </w:r>
            <w:r w:rsidRPr="009913D7">
              <w:rPr>
                <w:rFonts w:cs="Arial"/>
                <w:sz w:val="20"/>
                <w:szCs w:val="20"/>
                <w:lang w:val="mk-MK"/>
              </w:rPr>
              <w:t xml:space="preserve">имаат </w:t>
            </w:r>
            <w:r w:rsidRPr="009913D7">
              <w:rPr>
                <w:rFonts w:cs="Arial"/>
                <w:sz w:val="20"/>
                <w:szCs w:val="20"/>
              </w:rPr>
              <w:t>потпиш</w:t>
            </w:r>
            <w:r w:rsidRPr="009913D7">
              <w:rPr>
                <w:rFonts w:cs="Arial"/>
                <w:sz w:val="20"/>
                <w:szCs w:val="20"/>
                <w:lang w:val="mk-MK"/>
              </w:rPr>
              <w:t>ано</w:t>
            </w:r>
            <w:r w:rsidRPr="009913D7">
              <w:rPr>
                <w:rFonts w:cs="Arial"/>
                <w:sz w:val="20"/>
                <w:szCs w:val="20"/>
              </w:rPr>
              <w:t xml:space="preserve"> анти-кору</w:t>
            </w:r>
            <w:r w:rsidRPr="009913D7">
              <w:rPr>
                <w:rFonts w:cs="Arial"/>
                <w:sz w:val="20"/>
                <w:szCs w:val="20"/>
                <w:lang w:val="mk-MK"/>
              </w:rPr>
              <w:t>пциската</w:t>
            </w:r>
            <w:r w:rsidRPr="009913D7">
              <w:rPr>
                <w:rFonts w:cs="Arial"/>
                <w:sz w:val="20"/>
                <w:szCs w:val="20"/>
              </w:rPr>
              <w:t xml:space="preserve"> политика</w:t>
            </w:r>
            <w:r w:rsidRPr="009913D7">
              <w:rPr>
                <w:rFonts w:cs="Arial"/>
                <w:sz w:val="20"/>
                <w:szCs w:val="20"/>
                <w:lang w:val="mk-MK"/>
              </w:rPr>
              <w:t>.</w:t>
            </w:r>
          </w:p>
          <w:p w:rsidR="00787DEE" w:rsidRPr="009913D7" w:rsidRDefault="00787DEE" w:rsidP="005909F7">
            <w:pPr>
              <w:rPr>
                <w:sz w:val="20"/>
                <w:szCs w:val="20"/>
              </w:rPr>
            </w:pPr>
          </w:p>
        </w:tc>
      </w:tr>
      <w:tr w:rsidR="00787DEE" w:rsidTr="00787DEE">
        <w:tc>
          <w:tcPr>
            <w:tcW w:w="3960" w:type="dxa"/>
            <w:gridSpan w:val="3"/>
          </w:tcPr>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6750" w:type="dxa"/>
            <w:gridSpan w:val="4"/>
          </w:tcPr>
          <w:p w:rsidR="00787DEE" w:rsidRPr="009913D7" w:rsidRDefault="00787DEE" w:rsidP="005909F7">
            <w:pPr>
              <w:rPr>
                <w:sz w:val="20"/>
                <w:szCs w:val="20"/>
                <w:lang w:val="mk-MK"/>
              </w:rPr>
            </w:pPr>
            <w:r w:rsidRPr="009913D7">
              <w:rPr>
                <w:sz w:val="20"/>
                <w:szCs w:val="20"/>
                <w:lang w:val="mk-MK"/>
              </w:rPr>
              <w:t>континуирано</w:t>
            </w:r>
          </w:p>
        </w:tc>
      </w:tr>
      <w:tr w:rsidR="00787DEE" w:rsidTr="00787DEE">
        <w:tc>
          <w:tcPr>
            <w:tcW w:w="3960" w:type="dxa"/>
            <w:gridSpan w:val="3"/>
          </w:tcPr>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787DEE" w:rsidRPr="009913D7" w:rsidRDefault="00787DEE" w:rsidP="005909F7">
            <w:pPr>
              <w:pStyle w:val="Default"/>
              <w:spacing w:after="200"/>
              <w:rPr>
                <w:rFonts w:asciiTheme="minorHAnsi" w:hAnsiTheme="minorHAnsi"/>
                <w:sz w:val="20"/>
                <w:szCs w:val="20"/>
              </w:rPr>
            </w:pPr>
            <w:r w:rsidRPr="009913D7">
              <w:rPr>
                <w:rFonts w:asciiTheme="minorHAnsi" w:hAnsiTheme="minorHAnsi"/>
                <w:sz w:val="20"/>
                <w:szCs w:val="20"/>
              </w:rPr>
              <w:t xml:space="preserve">Крајна цел е сите општини да потпишат анти-корупциска политика / политика на интегритет како прв чекор во понатамошните активности за </w:t>
            </w:r>
            <w:r w:rsidRPr="009913D7">
              <w:rPr>
                <w:rFonts w:asciiTheme="minorHAnsi" w:hAnsiTheme="minorHAnsi"/>
                <w:sz w:val="20"/>
                <w:szCs w:val="20"/>
              </w:rPr>
              <w:lastRenderedPageBreak/>
              <w:t>воведување на концептот на интегритет на локално ниво.</w:t>
            </w:r>
          </w:p>
        </w:tc>
      </w:tr>
      <w:tr w:rsidR="00787DEE" w:rsidTr="005909F7">
        <w:tc>
          <w:tcPr>
            <w:tcW w:w="10710" w:type="dxa"/>
            <w:gridSpan w:val="7"/>
          </w:tcPr>
          <w:p w:rsidR="00787DEE" w:rsidRDefault="00787DEE" w:rsidP="005909F7">
            <w:pPr>
              <w:jc w:val="both"/>
              <w:rPr>
                <w:b/>
                <w:lang w:val="mk-MK"/>
              </w:rPr>
            </w:pPr>
            <w:r w:rsidRPr="00026994">
              <w:rPr>
                <w:color w:val="878786"/>
                <w:spacing w:val="-6"/>
                <w:w w:val="124"/>
                <w:sz w:val="18"/>
                <w:szCs w:val="18"/>
                <w:lang w:val="mk-MK"/>
              </w:rPr>
              <w:lastRenderedPageBreak/>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r w:rsidR="00787DEE" w:rsidTr="00787DEE">
        <w:trPr>
          <w:trHeight w:val="435"/>
        </w:trPr>
        <w:tc>
          <w:tcPr>
            <w:tcW w:w="3960" w:type="dxa"/>
            <w:gridSpan w:val="3"/>
            <w:vMerge w:val="restart"/>
          </w:tcPr>
          <w:p w:rsidR="00787DEE" w:rsidRPr="00381F72" w:rsidRDefault="00787DEE" w:rsidP="005909F7">
            <w:pPr>
              <w:jc w:val="both"/>
              <w:rPr>
                <w:color w:val="878786"/>
                <w:spacing w:val="-6"/>
                <w:w w:val="124"/>
                <w:sz w:val="18"/>
                <w:szCs w:val="18"/>
                <w:lang w:val="mk-MK"/>
              </w:rPr>
            </w:pPr>
          </w:p>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t>Ниво на проект</w:t>
            </w:r>
          </w:p>
          <w:p w:rsidR="00787DEE" w:rsidRPr="00381F72" w:rsidRDefault="00787DEE" w:rsidP="005909F7">
            <w:pPr>
              <w:jc w:val="both"/>
              <w:rPr>
                <w:color w:val="878786"/>
                <w:spacing w:val="-6"/>
                <w:w w:val="124"/>
                <w:sz w:val="18"/>
                <w:szCs w:val="18"/>
                <w:lang w:val="mk-MK"/>
              </w:rPr>
            </w:pPr>
          </w:p>
        </w:tc>
        <w:tc>
          <w:tcPr>
            <w:tcW w:w="1627"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завршено</w:t>
            </w:r>
          </w:p>
        </w:tc>
      </w:tr>
      <w:tr w:rsidR="00787DEE" w:rsidTr="00787DEE">
        <w:trPr>
          <w:trHeight w:val="367"/>
        </w:trPr>
        <w:tc>
          <w:tcPr>
            <w:tcW w:w="3960" w:type="dxa"/>
            <w:gridSpan w:val="3"/>
            <w:vMerge/>
          </w:tcPr>
          <w:p w:rsidR="00787DEE" w:rsidRPr="00381F72" w:rsidRDefault="00787DEE" w:rsidP="005909F7">
            <w:pPr>
              <w:jc w:val="both"/>
              <w:rPr>
                <w:color w:val="878786"/>
                <w:spacing w:val="-6"/>
                <w:w w:val="124"/>
                <w:sz w:val="18"/>
                <w:szCs w:val="18"/>
                <w:lang w:val="mk-MK"/>
              </w:rPr>
            </w:pPr>
          </w:p>
        </w:tc>
        <w:tc>
          <w:tcPr>
            <w:tcW w:w="1627" w:type="dxa"/>
          </w:tcPr>
          <w:p w:rsidR="00787DEE" w:rsidRPr="00381F72" w:rsidRDefault="00787DEE" w:rsidP="005909F7">
            <w:pPr>
              <w:jc w:val="both"/>
              <w:rPr>
                <w:color w:val="878786"/>
                <w:spacing w:val="-6"/>
                <w:w w:val="124"/>
                <w:sz w:val="18"/>
                <w:szCs w:val="18"/>
                <w:lang w:val="mk-MK"/>
              </w:rPr>
            </w:pPr>
          </w:p>
        </w:tc>
        <w:tc>
          <w:tcPr>
            <w:tcW w:w="1724" w:type="dxa"/>
            <w:shd w:val="clear" w:color="auto" w:fill="548DD4" w:themeFill="text2" w:themeFillTint="99"/>
          </w:tcPr>
          <w:p w:rsidR="00787DEE" w:rsidRPr="00381F72" w:rsidRDefault="00787DEE" w:rsidP="005909F7">
            <w:pPr>
              <w:jc w:val="both"/>
              <w:rPr>
                <w:color w:val="878786"/>
                <w:spacing w:val="-6"/>
                <w:w w:val="124"/>
                <w:sz w:val="18"/>
                <w:szCs w:val="18"/>
                <w:lang w:val="mk-MK"/>
              </w:rPr>
            </w:pPr>
          </w:p>
        </w:tc>
        <w:tc>
          <w:tcPr>
            <w:tcW w:w="1564" w:type="dxa"/>
          </w:tcPr>
          <w:p w:rsidR="00787DEE" w:rsidRPr="00381F72" w:rsidRDefault="00787DEE" w:rsidP="005909F7">
            <w:pPr>
              <w:jc w:val="both"/>
              <w:rPr>
                <w:color w:val="878786"/>
                <w:spacing w:val="-6"/>
                <w:w w:val="124"/>
                <w:sz w:val="18"/>
                <w:szCs w:val="18"/>
                <w:lang w:val="mk-MK"/>
              </w:rPr>
            </w:pPr>
          </w:p>
        </w:tc>
        <w:tc>
          <w:tcPr>
            <w:tcW w:w="1835" w:type="dxa"/>
          </w:tcPr>
          <w:p w:rsidR="00787DEE" w:rsidRPr="00381F72" w:rsidRDefault="00787DEE" w:rsidP="005909F7">
            <w:pPr>
              <w:jc w:val="both"/>
              <w:rPr>
                <w:color w:val="878786"/>
                <w:spacing w:val="-6"/>
                <w:w w:val="124"/>
                <w:sz w:val="18"/>
                <w:szCs w:val="18"/>
                <w:lang w:val="mk-MK"/>
              </w:rPr>
            </w:pPr>
          </w:p>
        </w:tc>
      </w:tr>
      <w:tr w:rsidR="00787DEE" w:rsidTr="00787DEE">
        <w:tc>
          <w:tcPr>
            <w:tcW w:w="3960" w:type="dxa"/>
            <w:gridSpan w:val="3"/>
          </w:tcPr>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787DEE" w:rsidRPr="009913D7" w:rsidRDefault="00787DEE" w:rsidP="005909F7">
            <w:pPr>
              <w:jc w:val="both"/>
              <w:rPr>
                <w:b/>
                <w:sz w:val="20"/>
                <w:szCs w:val="20"/>
              </w:rPr>
            </w:pPr>
            <w:r w:rsidRPr="009913D7">
              <w:rPr>
                <w:b/>
                <w:sz w:val="20"/>
                <w:szCs w:val="20"/>
                <w:lang w:val="mk-MK"/>
              </w:rPr>
              <w:t>Мерка 4. Дефинирање на методологија за проценка на ризици од корупција како надградба на концептот на интегритет</w:t>
            </w:r>
            <w:r w:rsidRPr="009913D7">
              <w:rPr>
                <w:sz w:val="20"/>
                <w:szCs w:val="20"/>
              </w:rPr>
              <w:t>Во тек се активности за воведување на оценка на ризици за корупција (Corruption Risk Assessment), при што ќе се имаат предвид веќе воспоставениот систем на јавната внатрешна финансиска контрола, како и обврските на институциите утврдени со Законот за воведување на систем за управување со квалитет и заедничка рамка за проценка на работењето (ЦАФ).</w:t>
            </w:r>
          </w:p>
          <w:p w:rsidR="00787DEE" w:rsidRPr="009913D7" w:rsidRDefault="00787DEE" w:rsidP="005909F7">
            <w:pPr>
              <w:pStyle w:val="PlainText"/>
              <w:tabs>
                <w:tab w:val="left" w:pos="2880"/>
                <w:tab w:val="left" w:pos="6705"/>
              </w:tabs>
              <w:spacing w:before="0" w:after="200"/>
              <w:ind w:left="0" w:firstLine="0"/>
              <w:jc w:val="both"/>
              <w:rPr>
                <w:rFonts w:asciiTheme="minorHAnsi" w:hAnsiTheme="minorHAnsi"/>
                <w:color w:val="FF0000"/>
                <w:sz w:val="20"/>
                <w:szCs w:val="20"/>
                <w:lang w:val="mk-MK"/>
              </w:rPr>
            </w:pPr>
          </w:p>
          <w:p w:rsidR="00787DEE" w:rsidRPr="009913D7" w:rsidRDefault="00787DEE" w:rsidP="005909F7">
            <w:pPr>
              <w:pStyle w:val="PlainText"/>
              <w:tabs>
                <w:tab w:val="left" w:pos="2880"/>
                <w:tab w:val="left" w:pos="6705"/>
              </w:tabs>
              <w:spacing w:before="0" w:after="200"/>
              <w:ind w:left="0" w:firstLine="0"/>
              <w:jc w:val="both"/>
              <w:rPr>
                <w:rFonts w:asciiTheme="minorHAnsi" w:hAnsiTheme="minorHAnsi"/>
                <w:sz w:val="20"/>
                <w:szCs w:val="20"/>
                <w:lang w:val="mk-MK"/>
              </w:rPr>
            </w:pPr>
            <w:r w:rsidRPr="009913D7">
              <w:rPr>
                <w:rFonts w:asciiTheme="minorHAnsi" w:hAnsiTheme="minorHAnsi"/>
                <w:sz w:val="20"/>
                <w:szCs w:val="20"/>
                <w:lang w:val="mk-MK"/>
              </w:rPr>
              <w:t>Мисијата на ОБСЕ во Скопје во соработка со ДКСК во октомври 2014 година спроведоа три регионални дводневни обуки за претставници од единиците на локалната самоуправа (внатрешните ревизори и/ или раководители на Секторот буџет и финансии) како контакт лица во работните групи за предлагање на мерки за детектирање на ризиците и начини за нивно надминување. Обуките претставуваа реализација на два елементи од концептот на интегритет:</w:t>
            </w:r>
          </w:p>
          <w:p w:rsidR="00787DEE" w:rsidRPr="009913D7" w:rsidRDefault="00787DEE" w:rsidP="00787DEE">
            <w:pPr>
              <w:pStyle w:val="PlainText"/>
              <w:numPr>
                <w:ilvl w:val="0"/>
                <w:numId w:val="6"/>
              </w:numPr>
              <w:tabs>
                <w:tab w:val="left" w:pos="709"/>
                <w:tab w:val="left" w:pos="6705"/>
              </w:tabs>
              <w:spacing w:before="0" w:after="200"/>
              <w:jc w:val="both"/>
              <w:rPr>
                <w:rFonts w:asciiTheme="minorHAnsi" w:hAnsiTheme="minorHAnsi"/>
                <w:sz w:val="20"/>
                <w:szCs w:val="20"/>
                <w:lang w:val="mk-MK"/>
              </w:rPr>
            </w:pPr>
            <w:r w:rsidRPr="009913D7">
              <w:rPr>
                <w:rFonts w:asciiTheme="minorHAnsi" w:hAnsiTheme="minorHAnsi"/>
                <w:sz w:val="20"/>
                <w:szCs w:val="20"/>
                <w:lang w:val="mk-MK"/>
              </w:rPr>
              <w:t>Обука и зајакнување на функцијата на внатрешна ревизија во единиците на локалната самоуправа</w:t>
            </w:r>
          </w:p>
          <w:p w:rsidR="00787DEE" w:rsidRPr="009913D7" w:rsidRDefault="00787DEE" w:rsidP="00787DEE">
            <w:pPr>
              <w:pStyle w:val="PlainText"/>
              <w:numPr>
                <w:ilvl w:val="0"/>
                <w:numId w:val="6"/>
              </w:numPr>
              <w:tabs>
                <w:tab w:val="left" w:pos="709"/>
                <w:tab w:val="left" w:pos="6705"/>
              </w:tabs>
              <w:spacing w:before="0" w:after="200"/>
              <w:jc w:val="both"/>
              <w:rPr>
                <w:rFonts w:asciiTheme="minorHAnsi" w:hAnsiTheme="minorHAnsi"/>
                <w:sz w:val="20"/>
                <w:szCs w:val="20"/>
                <w:lang w:val="ru-RU"/>
              </w:rPr>
            </w:pPr>
            <w:r w:rsidRPr="009913D7">
              <w:rPr>
                <w:rFonts w:asciiTheme="minorHAnsi" w:hAnsiTheme="minorHAnsi"/>
                <w:sz w:val="20"/>
                <w:szCs w:val="20"/>
                <w:lang w:val="mk-MK"/>
              </w:rPr>
              <w:t>Развој на стратегии за управување со ризици од корупција</w:t>
            </w:r>
          </w:p>
          <w:p w:rsidR="00787DEE" w:rsidRPr="009913D7" w:rsidRDefault="00787DEE" w:rsidP="005909F7">
            <w:pPr>
              <w:jc w:val="both"/>
              <w:rPr>
                <w:sz w:val="20"/>
                <w:szCs w:val="20"/>
              </w:rPr>
            </w:pPr>
            <w:r w:rsidRPr="009913D7">
              <w:rPr>
                <w:sz w:val="20"/>
                <w:szCs w:val="20"/>
              </w:rPr>
              <w:t xml:space="preserve">Во </w:t>
            </w:r>
            <w:r w:rsidRPr="009913D7">
              <w:rPr>
                <w:sz w:val="20"/>
                <w:szCs w:val="20"/>
                <w:lang w:val="mk-MK"/>
              </w:rPr>
              <w:t>обуките</w:t>
            </w:r>
            <w:r w:rsidRPr="009913D7">
              <w:rPr>
                <w:sz w:val="20"/>
                <w:szCs w:val="20"/>
              </w:rPr>
              <w:t xml:space="preserve"> беа вклучени 35 лица од 20 единици на локалната самоуправа</w:t>
            </w:r>
            <w:r w:rsidRPr="009913D7">
              <w:rPr>
                <w:sz w:val="20"/>
                <w:szCs w:val="20"/>
                <w:lang w:val="mk-MK"/>
              </w:rPr>
              <w:t xml:space="preserve"> каде што веќе се воспоставени функционални </w:t>
            </w:r>
            <w:r w:rsidRPr="009913D7">
              <w:rPr>
                <w:sz w:val="20"/>
                <w:szCs w:val="20"/>
              </w:rPr>
              <w:t>единици за внатрешни ревизори во рамки на општинската администрација</w:t>
            </w:r>
            <w:r w:rsidRPr="009913D7">
              <w:rPr>
                <w:sz w:val="20"/>
                <w:szCs w:val="20"/>
                <w:lang w:val="mk-MK"/>
              </w:rPr>
              <w:t>.</w:t>
            </w:r>
            <w:r w:rsidRPr="009913D7">
              <w:rPr>
                <w:sz w:val="20"/>
                <w:szCs w:val="20"/>
              </w:rPr>
              <w:t xml:space="preserve"> Темите кои беа опфатени на обуките беа </w:t>
            </w:r>
            <w:r w:rsidRPr="009913D7">
              <w:rPr>
                <w:sz w:val="20"/>
                <w:szCs w:val="20"/>
                <w:lang w:val="ru-RU"/>
              </w:rPr>
              <w:t>вовед за моделот на интегритет, елементи на процесот на проценка на ризици, ч</w:t>
            </w:r>
            <w:r w:rsidRPr="009913D7">
              <w:rPr>
                <w:sz w:val="20"/>
                <w:szCs w:val="20"/>
              </w:rPr>
              <w:t xml:space="preserve">екори во процесот на проценка на ризици од корупција, </w:t>
            </w:r>
            <w:r w:rsidRPr="009913D7">
              <w:rPr>
                <w:sz w:val="20"/>
                <w:szCs w:val="20"/>
                <w:lang w:val="ru-RU"/>
              </w:rPr>
              <w:t xml:space="preserve">дефинирање на </w:t>
            </w:r>
            <w:r w:rsidRPr="009913D7">
              <w:rPr>
                <w:sz w:val="20"/>
                <w:szCs w:val="20"/>
              </w:rPr>
              <w:t>процесите во единиците на локалната самоуправа, изработка на мапа на процесите</w:t>
            </w:r>
            <w:r w:rsidRPr="009913D7">
              <w:rPr>
                <w:sz w:val="20"/>
                <w:szCs w:val="20"/>
                <w:lang w:val="ru-RU"/>
              </w:rPr>
              <w:t xml:space="preserve">, </w:t>
            </w:r>
            <w:r w:rsidRPr="009913D7">
              <w:rPr>
                <w:sz w:val="20"/>
                <w:szCs w:val="20"/>
              </w:rPr>
              <w:t>методологијата за проценка на ризици, правење на ранг листа на ризици, дефинирање на мерки за контрола на ризиците</w:t>
            </w:r>
            <w:r w:rsidRPr="009913D7">
              <w:rPr>
                <w:sz w:val="20"/>
                <w:szCs w:val="20"/>
                <w:lang w:val="ru-RU"/>
              </w:rPr>
              <w:t xml:space="preserve">, </w:t>
            </w:r>
            <w:r w:rsidRPr="009913D7">
              <w:rPr>
                <w:sz w:val="20"/>
                <w:szCs w:val="20"/>
              </w:rPr>
              <w:t>дефинирање на структура и прилозите кон стратегијата за управување со ризици.</w:t>
            </w:r>
          </w:p>
        </w:tc>
      </w:tr>
      <w:tr w:rsidR="00787DEE" w:rsidTr="00787DEE">
        <w:tc>
          <w:tcPr>
            <w:tcW w:w="3960" w:type="dxa"/>
            <w:gridSpan w:val="3"/>
          </w:tcPr>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6750" w:type="dxa"/>
            <w:gridSpan w:val="4"/>
          </w:tcPr>
          <w:p w:rsidR="00787DEE" w:rsidRPr="009913D7" w:rsidRDefault="00787DEE" w:rsidP="005909F7">
            <w:pPr>
              <w:rPr>
                <w:sz w:val="20"/>
                <w:szCs w:val="20"/>
                <w:lang w:val="mk-MK"/>
              </w:rPr>
            </w:pPr>
            <w:r w:rsidRPr="009913D7">
              <w:rPr>
                <w:sz w:val="20"/>
                <w:szCs w:val="20"/>
                <w:lang w:val="mk-MK"/>
              </w:rPr>
              <w:t>2016</w:t>
            </w:r>
          </w:p>
        </w:tc>
      </w:tr>
      <w:tr w:rsidR="00787DEE" w:rsidTr="00787DEE">
        <w:tc>
          <w:tcPr>
            <w:tcW w:w="3960" w:type="dxa"/>
            <w:gridSpan w:val="3"/>
          </w:tcPr>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787DEE" w:rsidRDefault="00787DEE" w:rsidP="005909F7">
            <w:pPr>
              <w:jc w:val="both"/>
              <w:rPr>
                <w:b/>
                <w:lang w:val="mk-MK"/>
              </w:rPr>
            </w:pPr>
            <w:r w:rsidRPr="00787DEE">
              <w:rPr>
                <w:sz w:val="20"/>
                <w:szCs w:val="20"/>
              </w:rPr>
              <w:t>Продолжување на активностите</w:t>
            </w:r>
          </w:p>
        </w:tc>
      </w:tr>
      <w:tr w:rsidR="00787DEE" w:rsidTr="005909F7">
        <w:tc>
          <w:tcPr>
            <w:tcW w:w="10710" w:type="dxa"/>
            <w:gridSpan w:val="7"/>
          </w:tcPr>
          <w:p w:rsidR="00787DEE" w:rsidRDefault="00787DEE" w:rsidP="005909F7">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Pr>
                <w:color w:val="878786"/>
                <w:spacing w:val="-6"/>
                <w:w w:val="124"/>
                <w:sz w:val="18"/>
                <w:szCs w:val="18"/>
                <w:lang w:val="mk-MK"/>
              </w:rPr>
              <w:t>/</w:t>
            </w:r>
          </w:p>
        </w:tc>
      </w:tr>
      <w:tr w:rsidR="00787DEE" w:rsidTr="00787DEE">
        <w:trPr>
          <w:trHeight w:val="435"/>
        </w:trPr>
        <w:tc>
          <w:tcPr>
            <w:tcW w:w="3960" w:type="dxa"/>
            <w:gridSpan w:val="3"/>
            <w:vMerge w:val="restart"/>
          </w:tcPr>
          <w:p w:rsidR="00787DEE" w:rsidRPr="00381F72" w:rsidRDefault="00787DEE" w:rsidP="005909F7">
            <w:pPr>
              <w:jc w:val="both"/>
              <w:rPr>
                <w:color w:val="878786"/>
                <w:spacing w:val="-6"/>
                <w:w w:val="124"/>
                <w:sz w:val="18"/>
                <w:szCs w:val="18"/>
                <w:lang w:val="mk-MK"/>
              </w:rPr>
            </w:pPr>
          </w:p>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t>Ниво на проект</w:t>
            </w:r>
          </w:p>
          <w:p w:rsidR="00787DEE" w:rsidRPr="00381F72" w:rsidRDefault="00787DEE" w:rsidP="005909F7">
            <w:pPr>
              <w:jc w:val="both"/>
              <w:rPr>
                <w:color w:val="878786"/>
                <w:spacing w:val="-6"/>
                <w:w w:val="124"/>
                <w:sz w:val="18"/>
                <w:szCs w:val="18"/>
                <w:lang w:val="mk-MK"/>
              </w:rPr>
            </w:pPr>
          </w:p>
        </w:tc>
        <w:tc>
          <w:tcPr>
            <w:tcW w:w="1627"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завршено</w:t>
            </w:r>
          </w:p>
        </w:tc>
      </w:tr>
      <w:tr w:rsidR="00787DEE" w:rsidTr="00787DEE">
        <w:trPr>
          <w:trHeight w:val="367"/>
        </w:trPr>
        <w:tc>
          <w:tcPr>
            <w:tcW w:w="3960" w:type="dxa"/>
            <w:gridSpan w:val="3"/>
            <w:vMerge/>
          </w:tcPr>
          <w:p w:rsidR="00787DEE" w:rsidRPr="00381F72" w:rsidRDefault="00787DEE" w:rsidP="005909F7">
            <w:pPr>
              <w:jc w:val="both"/>
              <w:rPr>
                <w:color w:val="878786"/>
                <w:spacing w:val="-6"/>
                <w:w w:val="124"/>
                <w:sz w:val="18"/>
                <w:szCs w:val="18"/>
                <w:lang w:val="mk-MK"/>
              </w:rPr>
            </w:pPr>
          </w:p>
        </w:tc>
        <w:tc>
          <w:tcPr>
            <w:tcW w:w="1627" w:type="dxa"/>
          </w:tcPr>
          <w:p w:rsidR="00787DEE" w:rsidRPr="00381F72" w:rsidRDefault="00787DEE" w:rsidP="005909F7">
            <w:pPr>
              <w:jc w:val="both"/>
              <w:rPr>
                <w:color w:val="878786"/>
                <w:spacing w:val="-6"/>
                <w:w w:val="124"/>
                <w:sz w:val="18"/>
                <w:szCs w:val="18"/>
                <w:lang w:val="mk-MK"/>
              </w:rPr>
            </w:pPr>
          </w:p>
        </w:tc>
        <w:tc>
          <w:tcPr>
            <w:tcW w:w="1724" w:type="dxa"/>
          </w:tcPr>
          <w:p w:rsidR="00787DEE" w:rsidRPr="00381F72" w:rsidRDefault="00787DEE" w:rsidP="005909F7">
            <w:pPr>
              <w:jc w:val="both"/>
              <w:rPr>
                <w:color w:val="878786"/>
                <w:spacing w:val="-6"/>
                <w:w w:val="124"/>
                <w:sz w:val="18"/>
                <w:szCs w:val="18"/>
                <w:lang w:val="mk-MK"/>
              </w:rPr>
            </w:pPr>
          </w:p>
        </w:tc>
        <w:tc>
          <w:tcPr>
            <w:tcW w:w="1564" w:type="dxa"/>
            <w:shd w:val="clear" w:color="auto" w:fill="548DD4" w:themeFill="text2" w:themeFillTint="99"/>
          </w:tcPr>
          <w:p w:rsidR="00787DEE" w:rsidRPr="00381F72" w:rsidRDefault="00787DEE" w:rsidP="005909F7">
            <w:pPr>
              <w:jc w:val="both"/>
              <w:rPr>
                <w:color w:val="878786"/>
                <w:spacing w:val="-6"/>
                <w:w w:val="124"/>
                <w:sz w:val="18"/>
                <w:szCs w:val="18"/>
                <w:lang w:val="mk-MK"/>
              </w:rPr>
            </w:pPr>
          </w:p>
        </w:tc>
        <w:tc>
          <w:tcPr>
            <w:tcW w:w="1835" w:type="dxa"/>
          </w:tcPr>
          <w:p w:rsidR="00787DEE" w:rsidRPr="00381F72" w:rsidRDefault="00787DEE" w:rsidP="005909F7">
            <w:pPr>
              <w:jc w:val="both"/>
              <w:rPr>
                <w:color w:val="878786"/>
                <w:spacing w:val="-6"/>
                <w:w w:val="124"/>
                <w:sz w:val="18"/>
                <w:szCs w:val="18"/>
                <w:lang w:val="mk-MK"/>
              </w:rPr>
            </w:pPr>
          </w:p>
        </w:tc>
      </w:tr>
      <w:tr w:rsidR="00787DEE" w:rsidTr="00787DEE">
        <w:tc>
          <w:tcPr>
            <w:tcW w:w="3960" w:type="dxa"/>
            <w:gridSpan w:val="3"/>
          </w:tcPr>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787DEE" w:rsidRPr="009913D7" w:rsidRDefault="00787DEE" w:rsidP="005909F7">
            <w:pPr>
              <w:rPr>
                <w:b/>
                <w:sz w:val="20"/>
                <w:szCs w:val="20"/>
                <w:lang w:val="mk-MK"/>
              </w:rPr>
            </w:pPr>
            <w:r w:rsidRPr="009913D7">
              <w:rPr>
                <w:b/>
                <w:sz w:val="20"/>
                <w:szCs w:val="20"/>
                <w:lang w:val="mk-MK"/>
              </w:rPr>
              <w:t>Мерка 5. Изготвување на методологија за следење на напредокот на воведувањето на системите на интегритет (индекс за интегритет) за единиците на локалната самоуправа</w:t>
            </w:r>
          </w:p>
          <w:p w:rsidR="00787DEE" w:rsidRPr="009913D7" w:rsidRDefault="00787DEE" w:rsidP="005909F7">
            <w:pPr>
              <w:rPr>
                <w:b/>
                <w:sz w:val="20"/>
                <w:szCs w:val="20"/>
                <w:lang w:val="mk-MK"/>
              </w:rPr>
            </w:pPr>
          </w:p>
          <w:p w:rsidR="00787DEE" w:rsidRPr="009913D7" w:rsidRDefault="00787DEE" w:rsidP="005909F7">
            <w:pPr>
              <w:jc w:val="both"/>
              <w:rPr>
                <w:sz w:val="20"/>
                <w:szCs w:val="20"/>
                <w:lang w:val="mk-MK"/>
              </w:rPr>
            </w:pPr>
            <w:r w:rsidRPr="009913D7">
              <w:rPr>
                <w:sz w:val="20"/>
                <w:szCs w:val="20"/>
                <w:lang w:val="mk-MK"/>
              </w:rPr>
              <w:t xml:space="preserve">За реализација на оваа мерка, ДКСК во соработка со УНДП во ноември 2014 изработи два прашалници во форма на индекси. </w:t>
            </w:r>
          </w:p>
          <w:p w:rsidR="00787DEE" w:rsidRPr="009913D7" w:rsidRDefault="00787DEE" w:rsidP="005909F7">
            <w:pPr>
              <w:jc w:val="both"/>
              <w:rPr>
                <w:sz w:val="20"/>
                <w:szCs w:val="20"/>
                <w:lang w:val="mk-MK"/>
              </w:rPr>
            </w:pPr>
          </w:p>
          <w:p w:rsidR="00787DEE" w:rsidRPr="009913D7" w:rsidRDefault="00787DEE" w:rsidP="005909F7">
            <w:pPr>
              <w:jc w:val="both"/>
              <w:rPr>
                <w:sz w:val="20"/>
                <w:szCs w:val="20"/>
                <w:lang w:val="mk-MK"/>
              </w:rPr>
            </w:pPr>
            <w:r w:rsidRPr="009913D7">
              <w:rPr>
                <w:sz w:val="20"/>
                <w:szCs w:val="20"/>
                <w:lang w:val="mk-MK"/>
              </w:rPr>
              <w:lastRenderedPageBreak/>
              <w:t xml:space="preserve">Првиот индекс се состои од 45 прашања преку кои ќе може да се оцени степенот на одговорноста, транспарентноста и отчетноста на општините за областите на јавните набавки, финансиското управување,  урбанистичкото планирање и граѓанското учество и консултации во процесот на донесување одлуки. Индексот во првата фаза беше испратен до 15 пилот општини. Логистичката поддршка и анализата на прашалниците беше реализирана од страна на ЦИКП. </w:t>
            </w:r>
          </w:p>
          <w:p w:rsidR="00787DEE" w:rsidRPr="009913D7" w:rsidRDefault="00787DEE" w:rsidP="005909F7">
            <w:pPr>
              <w:jc w:val="both"/>
              <w:rPr>
                <w:sz w:val="20"/>
                <w:szCs w:val="20"/>
                <w:lang w:val="mk-MK"/>
              </w:rPr>
            </w:pPr>
          </w:p>
          <w:p w:rsidR="00787DEE" w:rsidRPr="009913D7" w:rsidRDefault="00787DEE" w:rsidP="005909F7">
            <w:pPr>
              <w:jc w:val="both"/>
              <w:rPr>
                <w:sz w:val="20"/>
                <w:szCs w:val="20"/>
                <w:lang w:val="mk-MK"/>
              </w:rPr>
            </w:pPr>
            <w:r w:rsidRPr="009913D7">
              <w:rPr>
                <w:sz w:val="20"/>
                <w:szCs w:val="20"/>
                <w:lang w:val="mk-MK"/>
              </w:rPr>
              <w:t>Вториот индекс содржи 14 групи прашања согласно концептот на интегритет, вклучувајќи и прашања што се однесуваат на отвореноста. Индексот на интегритет беше доставен до 81 општина. Логистичка поддршка беше обезбедена преку ЗЕЛС, ЦИКП и седум ГО. Бројот на општини што доставија повратен одговор беше релативно мал, што ја наметнува потребата од дополнително промовирање на индексот.</w:t>
            </w:r>
          </w:p>
        </w:tc>
      </w:tr>
      <w:tr w:rsidR="00787DEE" w:rsidTr="00787DEE">
        <w:tc>
          <w:tcPr>
            <w:tcW w:w="3960" w:type="dxa"/>
            <w:gridSpan w:val="3"/>
          </w:tcPr>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lastRenderedPageBreak/>
              <w:t>Краен датум</w:t>
            </w:r>
          </w:p>
        </w:tc>
        <w:tc>
          <w:tcPr>
            <w:tcW w:w="6750" w:type="dxa"/>
            <w:gridSpan w:val="4"/>
          </w:tcPr>
          <w:p w:rsidR="00787DEE" w:rsidRPr="009913D7" w:rsidRDefault="00787DEE" w:rsidP="005909F7">
            <w:pPr>
              <w:rPr>
                <w:sz w:val="20"/>
                <w:szCs w:val="20"/>
                <w:lang w:val="mk-MK"/>
              </w:rPr>
            </w:pPr>
            <w:r w:rsidRPr="009913D7">
              <w:rPr>
                <w:sz w:val="20"/>
                <w:szCs w:val="20"/>
                <w:lang w:val="mk-MK"/>
              </w:rPr>
              <w:t>2016</w:t>
            </w:r>
          </w:p>
        </w:tc>
      </w:tr>
      <w:tr w:rsidR="00787DEE" w:rsidTr="00787DEE">
        <w:tc>
          <w:tcPr>
            <w:tcW w:w="3960" w:type="dxa"/>
            <w:gridSpan w:val="3"/>
          </w:tcPr>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787DEE" w:rsidRPr="009913D7" w:rsidRDefault="00787DEE" w:rsidP="005909F7">
            <w:pPr>
              <w:pStyle w:val="Default"/>
              <w:spacing w:after="200"/>
              <w:rPr>
                <w:rFonts w:asciiTheme="minorHAnsi" w:hAnsiTheme="minorHAnsi"/>
                <w:sz w:val="20"/>
                <w:szCs w:val="20"/>
              </w:rPr>
            </w:pPr>
            <w:r w:rsidRPr="009913D7">
              <w:rPr>
                <w:rFonts w:asciiTheme="minorHAnsi" w:hAnsiTheme="minorHAnsi"/>
                <w:sz w:val="20"/>
                <w:szCs w:val="20"/>
              </w:rPr>
              <w:t>Дополнително адаптирање на индексите за одговорност, транспарентност и отчетност и за интегритет и нивно промовирање во општините.</w:t>
            </w:r>
          </w:p>
        </w:tc>
      </w:tr>
      <w:tr w:rsidR="00787DEE" w:rsidTr="005909F7">
        <w:tc>
          <w:tcPr>
            <w:tcW w:w="10710" w:type="dxa"/>
            <w:gridSpan w:val="7"/>
          </w:tcPr>
          <w:p w:rsidR="00787DEE" w:rsidRDefault="00787DEE" w:rsidP="005909F7">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p>
        </w:tc>
      </w:tr>
      <w:tr w:rsidR="00787DEE" w:rsidTr="00787DEE">
        <w:trPr>
          <w:trHeight w:val="435"/>
        </w:trPr>
        <w:tc>
          <w:tcPr>
            <w:tcW w:w="3960" w:type="dxa"/>
            <w:gridSpan w:val="3"/>
            <w:vMerge w:val="restart"/>
          </w:tcPr>
          <w:p w:rsidR="00787DEE" w:rsidRPr="00381F72" w:rsidRDefault="00787DEE" w:rsidP="005909F7">
            <w:pPr>
              <w:jc w:val="both"/>
              <w:rPr>
                <w:color w:val="878786"/>
                <w:spacing w:val="-6"/>
                <w:w w:val="124"/>
                <w:sz w:val="18"/>
                <w:szCs w:val="18"/>
                <w:lang w:val="mk-MK"/>
              </w:rPr>
            </w:pPr>
          </w:p>
          <w:p w:rsidR="00787DEE" w:rsidRPr="00381F72" w:rsidRDefault="00787DEE" w:rsidP="005909F7">
            <w:pPr>
              <w:jc w:val="both"/>
              <w:rPr>
                <w:color w:val="878786"/>
                <w:spacing w:val="-6"/>
                <w:w w:val="124"/>
                <w:sz w:val="18"/>
                <w:szCs w:val="18"/>
                <w:lang w:val="mk-MK"/>
              </w:rPr>
            </w:pPr>
            <w:r w:rsidRPr="00381F72">
              <w:rPr>
                <w:color w:val="878786"/>
                <w:spacing w:val="-6"/>
                <w:w w:val="124"/>
                <w:sz w:val="18"/>
                <w:szCs w:val="18"/>
                <w:lang w:val="mk-MK"/>
              </w:rPr>
              <w:t>Ниво на проект</w:t>
            </w:r>
          </w:p>
          <w:p w:rsidR="00787DEE" w:rsidRPr="00381F72" w:rsidRDefault="00787DEE" w:rsidP="005909F7">
            <w:pPr>
              <w:jc w:val="both"/>
              <w:rPr>
                <w:color w:val="878786"/>
                <w:spacing w:val="-6"/>
                <w:w w:val="124"/>
                <w:sz w:val="18"/>
                <w:szCs w:val="18"/>
                <w:lang w:val="mk-MK"/>
              </w:rPr>
            </w:pPr>
          </w:p>
        </w:tc>
        <w:tc>
          <w:tcPr>
            <w:tcW w:w="1627"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787DEE" w:rsidRPr="00381F72" w:rsidRDefault="00787DEE" w:rsidP="005909F7">
            <w:pPr>
              <w:jc w:val="both"/>
              <w:rPr>
                <w:color w:val="878786"/>
                <w:spacing w:val="-6"/>
                <w:w w:val="124"/>
                <w:sz w:val="18"/>
                <w:szCs w:val="18"/>
                <w:lang w:val="mk-MK"/>
              </w:rPr>
            </w:pPr>
            <w:r>
              <w:rPr>
                <w:color w:val="878786"/>
                <w:spacing w:val="-6"/>
                <w:w w:val="124"/>
                <w:sz w:val="18"/>
                <w:szCs w:val="18"/>
                <w:lang w:val="mk-MK"/>
              </w:rPr>
              <w:t>завршено</w:t>
            </w:r>
          </w:p>
        </w:tc>
      </w:tr>
      <w:tr w:rsidR="00787DEE" w:rsidTr="009503F1">
        <w:trPr>
          <w:trHeight w:val="367"/>
        </w:trPr>
        <w:tc>
          <w:tcPr>
            <w:tcW w:w="3960" w:type="dxa"/>
            <w:gridSpan w:val="3"/>
            <w:vMerge/>
          </w:tcPr>
          <w:p w:rsidR="00787DEE" w:rsidRPr="00381F72" w:rsidRDefault="00787DEE" w:rsidP="005909F7">
            <w:pPr>
              <w:jc w:val="both"/>
              <w:rPr>
                <w:color w:val="878786"/>
                <w:spacing w:val="-6"/>
                <w:w w:val="124"/>
                <w:sz w:val="18"/>
                <w:szCs w:val="18"/>
                <w:lang w:val="mk-MK"/>
              </w:rPr>
            </w:pPr>
          </w:p>
        </w:tc>
        <w:tc>
          <w:tcPr>
            <w:tcW w:w="1627" w:type="dxa"/>
          </w:tcPr>
          <w:p w:rsidR="00787DEE" w:rsidRPr="00381F72" w:rsidRDefault="00787DEE" w:rsidP="005909F7">
            <w:pPr>
              <w:jc w:val="both"/>
              <w:rPr>
                <w:color w:val="878786"/>
                <w:spacing w:val="-6"/>
                <w:w w:val="124"/>
                <w:sz w:val="18"/>
                <w:szCs w:val="18"/>
                <w:lang w:val="mk-MK"/>
              </w:rPr>
            </w:pPr>
          </w:p>
        </w:tc>
        <w:tc>
          <w:tcPr>
            <w:tcW w:w="1724" w:type="dxa"/>
          </w:tcPr>
          <w:p w:rsidR="00787DEE" w:rsidRPr="00381F72" w:rsidRDefault="00787DEE" w:rsidP="005909F7">
            <w:pPr>
              <w:jc w:val="both"/>
              <w:rPr>
                <w:color w:val="878786"/>
                <w:spacing w:val="-6"/>
                <w:w w:val="124"/>
                <w:sz w:val="18"/>
                <w:szCs w:val="18"/>
                <w:lang w:val="mk-MK"/>
              </w:rPr>
            </w:pPr>
          </w:p>
        </w:tc>
        <w:tc>
          <w:tcPr>
            <w:tcW w:w="1564" w:type="dxa"/>
            <w:shd w:val="clear" w:color="auto" w:fill="548DD4" w:themeFill="text2" w:themeFillTint="99"/>
          </w:tcPr>
          <w:p w:rsidR="00787DEE" w:rsidRPr="00381F72" w:rsidRDefault="00787DEE" w:rsidP="005909F7">
            <w:pPr>
              <w:jc w:val="both"/>
              <w:rPr>
                <w:color w:val="878786"/>
                <w:spacing w:val="-6"/>
                <w:w w:val="124"/>
                <w:sz w:val="18"/>
                <w:szCs w:val="18"/>
                <w:lang w:val="mk-MK"/>
              </w:rPr>
            </w:pPr>
          </w:p>
        </w:tc>
        <w:tc>
          <w:tcPr>
            <w:tcW w:w="1835" w:type="dxa"/>
          </w:tcPr>
          <w:p w:rsidR="00787DEE" w:rsidRPr="00381F72" w:rsidRDefault="00787DEE" w:rsidP="005909F7">
            <w:pPr>
              <w:jc w:val="both"/>
              <w:rPr>
                <w:color w:val="878786"/>
                <w:spacing w:val="-6"/>
                <w:w w:val="124"/>
                <w:sz w:val="18"/>
                <w:szCs w:val="18"/>
                <w:lang w:val="mk-MK"/>
              </w:rPr>
            </w:pPr>
          </w:p>
        </w:tc>
      </w:tr>
      <w:tr w:rsidR="009503F1" w:rsidTr="00787DEE">
        <w:tc>
          <w:tcPr>
            <w:tcW w:w="3960" w:type="dxa"/>
            <w:gridSpan w:val="3"/>
          </w:tcPr>
          <w:p w:rsidR="009503F1" w:rsidRPr="00381F72" w:rsidRDefault="009503F1" w:rsidP="005909F7">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9503F1" w:rsidRPr="00381F72" w:rsidRDefault="009503F1" w:rsidP="005909F7">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9503F1" w:rsidRPr="009913D7" w:rsidRDefault="009503F1" w:rsidP="005909F7">
            <w:pPr>
              <w:rPr>
                <w:b/>
                <w:sz w:val="20"/>
                <w:szCs w:val="20"/>
                <w:lang w:val="mk-MK"/>
              </w:rPr>
            </w:pPr>
            <w:r w:rsidRPr="009913D7">
              <w:rPr>
                <w:b/>
                <w:sz w:val="20"/>
                <w:szCs w:val="20"/>
                <w:lang w:val="mk-MK"/>
              </w:rPr>
              <w:t>Мерка 7. Континуирано промовирање на примената на ИТ алатки за општествена одговорност во општините и други институции</w:t>
            </w:r>
          </w:p>
          <w:p w:rsidR="009503F1" w:rsidRPr="009913D7" w:rsidRDefault="009503F1" w:rsidP="005909F7">
            <w:pPr>
              <w:jc w:val="both"/>
              <w:rPr>
                <w:rFonts w:cs="Arial"/>
                <w:sz w:val="20"/>
                <w:szCs w:val="20"/>
                <w:lang w:val="mk-MK"/>
              </w:rPr>
            </w:pPr>
            <w:r w:rsidRPr="009913D7">
              <w:rPr>
                <w:rFonts w:cs="Arial"/>
                <w:sz w:val="20"/>
                <w:szCs w:val="20"/>
              </w:rPr>
              <w:t>УНДП во текот на 2014,како дел од иницијативите за промовирање на интергитет на локално ниво и подобра општествена одговорност, беше изработена алатката "Отворена општина" за подобра интеракција помеѓу општините и граѓаните, и промовирање на транспарентност, отвореност и отчетност на локално ниво. Алатката иницијално беше поставена во 5 општини, а потоа и во дополнителни 10</w:t>
            </w:r>
            <w:r w:rsidRPr="009913D7">
              <w:rPr>
                <w:rFonts w:cs="Arial"/>
                <w:sz w:val="20"/>
                <w:szCs w:val="20"/>
                <w:lang w:val="mk-MK"/>
              </w:rPr>
              <w:t xml:space="preserve"> општини.</w:t>
            </w:r>
          </w:p>
          <w:p w:rsidR="009503F1" w:rsidRPr="009913D7" w:rsidRDefault="009503F1" w:rsidP="005909F7">
            <w:pPr>
              <w:pStyle w:val="PlainText"/>
              <w:spacing w:before="0" w:after="200"/>
              <w:ind w:left="0" w:firstLine="0"/>
              <w:jc w:val="both"/>
              <w:rPr>
                <w:rFonts w:asciiTheme="minorHAnsi" w:hAnsiTheme="minorHAnsi" w:cs="Arial"/>
                <w:sz w:val="20"/>
                <w:szCs w:val="20"/>
              </w:rPr>
            </w:pPr>
            <w:r w:rsidRPr="009913D7">
              <w:rPr>
                <w:rFonts w:asciiTheme="minorHAnsi" w:hAnsiTheme="minorHAnsi" w:cs="Arial"/>
                <w:sz w:val="20"/>
                <w:szCs w:val="20"/>
              </w:rPr>
              <w:t xml:space="preserve">Целта на оваа иницијатива е да им овозможи на граѓаните да го дадат своето мислење заработата на општината во поглед на отвореноста, отчетноста и пресретливоста на општинската администрација. Преку искажување на своето мислење, граѓаните може да влијаат врз подобрување на квалитетот на </w:t>
            </w:r>
            <w:r w:rsidRPr="009913D7">
              <w:rPr>
                <w:rFonts w:asciiTheme="minorHAnsi" w:hAnsiTheme="minorHAnsi" w:cs="Arial"/>
                <w:sz w:val="20"/>
                <w:szCs w:val="20"/>
                <w:lang w:val="mk-MK"/>
              </w:rPr>
              <w:t>услугите</w:t>
            </w:r>
            <w:r w:rsidRPr="009913D7">
              <w:rPr>
                <w:rFonts w:asciiTheme="minorHAnsi" w:hAnsiTheme="minorHAnsi" w:cs="Arial"/>
                <w:sz w:val="20"/>
                <w:szCs w:val="20"/>
              </w:rPr>
              <w:t xml:space="preserve"> во општината.  Алатката е заснована ИТК технологија, односно во општините има поставено </w:t>
            </w:r>
            <w:r w:rsidRPr="009913D7">
              <w:rPr>
                <w:rFonts w:asciiTheme="minorHAnsi" w:hAnsiTheme="minorHAnsi" w:cs="Arial"/>
                <w:sz w:val="20"/>
                <w:szCs w:val="20"/>
                <w:lang w:val="mk-MK"/>
              </w:rPr>
              <w:t>„екран на допир“</w:t>
            </w:r>
            <w:r w:rsidRPr="009913D7">
              <w:rPr>
                <w:rFonts w:asciiTheme="minorHAnsi" w:hAnsiTheme="minorHAnsi" w:cs="Arial"/>
                <w:sz w:val="20"/>
                <w:szCs w:val="20"/>
              </w:rPr>
              <w:t xml:space="preserve">, на кој преку едноставно </w:t>
            </w:r>
            <w:r w:rsidRPr="009913D7">
              <w:rPr>
                <w:rFonts w:asciiTheme="minorHAnsi" w:hAnsiTheme="minorHAnsi" w:cs="Arial"/>
                <w:sz w:val="20"/>
                <w:szCs w:val="20"/>
                <w:lang w:val="mk-MK"/>
              </w:rPr>
              <w:t>притискање</w:t>
            </w:r>
            <w:r w:rsidRPr="009913D7">
              <w:rPr>
                <w:rFonts w:asciiTheme="minorHAnsi" w:hAnsiTheme="minorHAnsi" w:cs="Arial"/>
                <w:sz w:val="20"/>
                <w:szCs w:val="20"/>
              </w:rPr>
              <w:t xml:space="preserve"> на екранот граѓаните одговараат на прашалник и даваат мислење за отвореноста и отчетноста на општината. </w:t>
            </w:r>
          </w:p>
          <w:p w:rsidR="009503F1" w:rsidRPr="009913D7" w:rsidRDefault="009503F1" w:rsidP="005909F7">
            <w:pPr>
              <w:pStyle w:val="PlainText"/>
              <w:spacing w:before="0" w:after="200"/>
              <w:ind w:left="0" w:firstLine="0"/>
              <w:jc w:val="both"/>
              <w:rPr>
                <w:rFonts w:asciiTheme="minorHAnsi" w:hAnsiTheme="minorHAnsi" w:cs="Arial"/>
                <w:sz w:val="20"/>
                <w:szCs w:val="20"/>
              </w:rPr>
            </w:pPr>
            <w:r w:rsidRPr="009913D7">
              <w:rPr>
                <w:rFonts w:asciiTheme="minorHAnsi" w:hAnsiTheme="minorHAnsi" w:cs="Arial"/>
                <w:sz w:val="20"/>
                <w:szCs w:val="20"/>
              </w:rPr>
              <w:t xml:space="preserve">За било какви прашања во општината стои на располагање и одговорно лице. Овие прашалници се достапни и на интернет преку: </w:t>
            </w:r>
            <w:hyperlink r:id="rId24" w:history="1">
              <w:r w:rsidRPr="009913D7">
                <w:rPr>
                  <w:rStyle w:val="Hyperlink"/>
                  <w:rFonts w:asciiTheme="minorHAnsi" w:hAnsiTheme="minorHAnsi" w:cs="Arial"/>
                  <w:sz w:val="20"/>
                  <w:szCs w:val="20"/>
                </w:rPr>
                <w:t>http://www.moja-opstina.mk/</w:t>
              </w:r>
            </w:hyperlink>
            <w:r w:rsidRPr="009913D7">
              <w:rPr>
                <w:rFonts w:asciiTheme="minorHAnsi" w:hAnsiTheme="minorHAnsi" w:cs="Arial"/>
                <w:sz w:val="20"/>
                <w:szCs w:val="20"/>
              </w:rPr>
              <w:t xml:space="preserve">. </w:t>
            </w:r>
          </w:p>
          <w:p w:rsidR="009503F1" w:rsidRPr="009913D7" w:rsidRDefault="009503F1" w:rsidP="005909F7">
            <w:pPr>
              <w:pStyle w:val="PlainText"/>
              <w:spacing w:before="0" w:after="200"/>
              <w:ind w:left="0" w:firstLine="0"/>
              <w:jc w:val="both"/>
              <w:rPr>
                <w:rFonts w:asciiTheme="minorHAnsi" w:hAnsiTheme="minorHAnsi" w:cs="Arial"/>
                <w:sz w:val="20"/>
                <w:szCs w:val="20"/>
              </w:rPr>
            </w:pPr>
            <w:r w:rsidRPr="009913D7">
              <w:rPr>
                <w:rFonts w:asciiTheme="minorHAnsi" w:hAnsiTheme="minorHAnsi" w:cs="Arial"/>
                <w:sz w:val="20"/>
                <w:szCs w:val="20"/>
              </w:rPr>
              <w:t xml:space="preserve">Оваа алатка се надоврзува на неколку претходни иницијативи за развивање ИТК-базирни алатки за општествена одговорност развиени од страна на невладиниот сектор, а спроведени во соработка со општините како на пример ИКТ алатката "Мој приоритет“ спроведена во општина Велес од страна на невладината организација ФОКУС.   Се работи на понатамошно промовирање на иновативни алатка и базирани на ИКТ технологија за подобрување на интеракцијата помеѓу локалните власти и </w:t>
            </w:r>
            <w:r w:rsidRPr="009913D7">
              <w:rPr>
                <w:rFonts w:asciiTheme="minorHAnsi" w:hAnsiTheme="minorHAnsi" w:cs="Arial"/>
                <w:sz w:val="20"/>
                <w:szCs w:val="20"/>
              </w:rPr>
              <w:lastRenderedPageBreak/>
              <w:t>граѓаните.</w:t>
            </w:r>
          </w:p>
          <w:p w:rsidR="009503F1" w:rsidRPr="009503F1" w:rsidRDefault="009503F1" w:rsidP="009503F1">
            <w:pPr>
              <w:pStyle w:val="PlainText"/>
              <w:spacing w:before="0" w:after="200"/>
              <w:ind w:left="0" w:firstLine="0"/>
              <w:jc w:val="both"/>
              <w:rPr>
                <w:rFonts w:asciiTheme="minorHAnsi" w:hAnsiTheme="minorHAnsi" w:cs="Arial"/>
                <w:sz w:val="20"/>
                <w:szCs w:val="20"/>
                <w:lang w:val="mk-MK"/>
              </w:rPr>
            </w:pPr>
            <w:r w:rsidRPr="009913D7">
              <w:rPr>
                <w:rFonts w:asciiTheme="minorHAnsi" w:hAnsiTheme="minorHAnsi" w:cs="Arial"/>
                <w:sz w:val="20"/>
                <w:szCs w:val="20"/>
              </w:rPr>
              <w:t>Фидбекот од граѓаните ќе послужи за целите на подобар систем на интегритет со следење на мислењето на граѓаните исоодветно реагирање од страна на општинската администрација со цел подобра отвореност, транспареност и отчетн</w:t>
            </w:r>
            <w:r>
              <w:rPr>
                <w:rFonts w:asciiTheme="minorHAnsi" w:hAnsiTheme="minorHAnsi" w:cs="Arial"/>
                <w:sz w:val="20"/>
                <w:szCs w:val="20"/>
              </w:rPr>
              <w:t>ост.</w:t>
            </w:r>
          </w:p>
        </w:tc>
      </w:tr>
      <w:tr w:rsidR="009503F1" w:rsidTr="00787DEE">
        <w:tc>
          <w:tcPr>
            <w:tcW w:w="3960" w:type="dxa"/>
            <w:gridSpan w:val="3"/>
          </w:tcPr>
          <w:p w:rsidR="009503F1" w:rsidRPr="00381F72" w:rsidRDefault="009503F1" w:rsidP="005909F7">
            <w:pPr>
              <w:jc w:val="both"/>
              <w:rPr>
                <w:color w:val="878786"/>
                <w:spacing w:val="-6"/>
                <w:w w:val="124"/>
                <w:sz w:val="18"/>
                <w:szCs w:val="18"/>
                <w:lang w:val="mk-MK"/>
              </w:rPr>
            </w:pPr>
            <w:r w:rsidRPr="00381F72">
              <w:rPr>
                <w:color w:val="878786"/>
                <w:spacing w:val="-6"/>
                <w:w w:val="124"/>
                <w:sz w:val="18"/>
                <w:szCs w:val="18"/>
                <w:lang w:val="mk-MK"/>
              </w:rPr>
              <w:lastRenderedPageBreak/>
              <w:t>Краен датум</w:t>
            </w:r>
          </w:p>
        </w:tc>
        <w:tc>
          <w:tcPr>
            <w:tcW w:w="6750" w:type="dxa"/>
            <w:gridSpan w:val="4"/>
          </w:tcPr>
          <w:p w:rsidR="009503F1" w:rsidRPr="009913D7" w:rsidRDefault="009503F1" w:rsidP="005909F7">
            <w:pPr>
              <w:rPr>
                <w:sz w:val="20"/>
                <w:szCs w:val="20"/>
                <w:lang w:val="mk-MK"/>
              </w:rPr>
            </w:pPr>
            <w:r w:rsidRPr="009913D7">
              <w:rPr>
                <w:sz w:val="20"/>
                <w:szCs w:val="20"/>
                <w:lang w:val="mk-MK"/>
              </w:rPr>
              <w:t>континуирано</w:t>
            </w:r>
          </w:p>
        </w:tc>
      </w:tr>
      <w:tr w:rsidR="009503F1" w:rsidTr="00787DEE">
        <w:tc>
          <w:tcPr>
            <w:tcW w:w="3960" w:type="dxa"/>
            <w:gridSpan w:val="3"/>
          </w:tcPr>
          <w:p w:rsidR="009503F1" w:rsidRPr="00381F72" w:rsidRDefault="009503F1" w:rsidP="005909F7">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9503F1" w:rsidRDefault="006438AE" w:rsidP="006438AE">
            <w:pPr>
              <w:rPr>
                <w:b/>
                <w:lang w:val="mk-MK"/>
              </w:rPr>
            </w:pPr>
            <w:r w:rsidRPr="006438AE">
              <w:rPr>
                <w:sz w:val="20"/>
                <w:szCs w:val="20"/>
                <w:lang w:val="mk-MK"/>
              </w:rPr>
              <w:t>Продолжување со активностите</w:t>
            </w:r>
          </w:p>
        </w:tc>
      </w:tr>
      <w:tr w:rsidR="009503F1" w:rsidTr="005909F7">
        <w:tc>
          <w:tcPr>
            <w:tcW w:w="10710" w:type="dxa"/>
            <w:gridSpan w:val="7"/>
          </w:tcPr>
          <w:p w:rsidR="009503F1" w:rsidRDefault="009503F1" w:rsidP="005909F7">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sidR="006438AE">
              <w:rPr>
                <w:color w:val="878786"/>
                <w:spacing w:val="-6"/>
                <w:w w:val="124"/>
                <w:sz w:val="18"/>
                <w:szCs w:val="18"/>
                <w:lang w:val="mk-MK"/>
              </w:rPr>
              <w:t>/</w:t>
            </w:r>
          </w:p>
        </w:tc>
      </w:tr>
      <w:tr w:rsidR="009503F1" w:rsidTr="009503F1">
        <w:trPr>
          <w:trHeight w:val="435"/>
        </w:trPr>
        <w:tc>
          <w:tcPr>
            <w:tcW w:w="3960" w:type="dxa"/>
            <w:gridSpan w:val="3"/>
            <w:vMerge w:val="restart"/>
          </w:tcPr>
          <w:p w:rsidR="009503F1" w:rsidRPr="00381F72" w:rsidRDefault="009503F1" w:rsidP="005909F7">
            <w:pPr>
              <w:jc w:val="both"/>
              <w:rPr>
                <w:color w:val="878786"/>
                <w:spacing w:val="-6"/>
                <w:w w:val="124"/>
                <w:sz w:val="18"/>
                <w:szCs w:val="18"/>
                <w:lang w:val="mk-MK"/>
              </w:rPr>
            </w:pPr>
          </w:p>
          <w:p w:rsidR="009503F1" w:rsidRPr="00381F72" w:rsidRDefault="009503F1" w:rsidP="005909F7">
            <w:pPr>
              <w:jc w:val="both"/>
              <w:rPr>
                <w:color w:val="878786"/>
                <w:spacing w:val="-6"/>
                <w:w w:val="124"/>
                <w:sz w:val="18"/>
                <w:szCs w:val="18"/>
                <w:lang w:val="mk-MK"/>
              </w:rPr>
            </w:pPr>
            <w:r w:rsidRPr="00381F72">
              <w:rPr>
                <w:color w:val="878786"/>
                <w:spacing w:val="-6"/>
                <w:w w:val="124"/>
                <w:sz w:val="18"/>
                <w:szCs w:val="18"/>
                <w:lang w:val="mk-MK"/>
              </w:rPr>
              <w:t>Ниво на проект</w:t>
            </w:r>
          </w:p>
          <w:p w:rsidR="009503F1" w:rsidRPr="00381F72" w:rsidRDefault="009503F1" w:rsidP="005909F7">
            <w:pPr>
              <w:jc w:val="both"/>
              <w:rPr>
                <w:color w:val="878786"/>
                <w:spacing w:val="-6"/>
                <w:w w:val="124"/>
                <w:sz w:val="18"/>
                <w:szCs w:val="18"/>
                <w:lang w:val="mk-MK"/>
              </w:rPr>
            </w:pPr>
          </w:p>
        </w:tc>
        <w:tc>
          <w:tcPr>
            <w:tcW w:w="1627" w:type="dxa"/>
          </w:tcPr>
          <w:p w:rsidR="009503F1" w:rsidRPr="00381F72" w:rsidRDefault="009503F1" w:rsidP="005909F7">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9503F1" w:rsidRPr="00381F72" w:rsidRDefault="009503F1" w:rsidP="005909F7">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9503F1" w:rsidRPr="00381F72" w:rsidRDefault="009503F1" w:rsidP="005909F7">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9503F1" w:rsidRPr="00381F72" w:rsidRDefault="009503F1" w:rsidP="005909F7">
            <w:pPr>
              <w:jc w:val="both"/>
              <w:rPr>
                <w:color w:val="878786"/>
                <w:spacing w:val="-6"/>
                <w:w w:val="124"/>
                <w:sz w:val="18"/>
                <w:szCs w:val="18"/>
                <w:lang w:val="mk-MK"/>
              </w:rPr>
            </w:pPr>
            <w:r>
              <w:rPr>
                <w:color w:val="878786"/>
                <w:spacing w:val="-6"/>
                <w:w w:val="124"/>
                <w:sz w:val="18"/>
                <w:szCs w:val="18"/>
                <w:lang w:val="mk-MK"/>
              </w:rPr>
              <w:t>завршено</w:t>
            </w:r>
          </w:p>
        </w:tc>
      </w:tr>
      <w:tr w:rsidR="009503F1" w:rsidTr="006438AE">
        <w:trPr>
          <w:trHeight w:val="367"/>
        </w:trPr>
        <w:tc>
          <w:tcPr>
            <w:tcW w:w="3960" w:type="dxa"/>
            <w:gridSpan w:val="3"/>
            <w:vMerge/>
          </w:tcPr>
          <w:p w:rsidR="009503F1" w:rsidRPr="00381F72" w:rsidRDefault="009503F1" w:rsidP="005909F7">
            <w:pPr>
              <w:jc w:val="both"/>
              <w:rPr>
                <w:color w:val="878786"/>
                <w:spacing w:val="-6"/>
                <w:w w:val="124"/>
                <w:sz w:val="18"/>
                <w:szCs w:val="18"/>
                <w:lang w:val="mk-MK"/>
              </w:rPr>
            </w:pPr>
          </w:p>
        </w:tc>
        <w:tc>
          <w:tcPr>
            <w:tcW w:w="1627" w:type="dxa"/>
          </w:tcPr>
          <w:p w:rsidR="009503F1" w:rsidRPr="00381F72" w:rsidRDefault="009503F1" w:rsidP="005909F7">
            <w:pPr>
              <w:jc w:val="both"/>
              <w:rPr>
                <w:color w:val="878786"/>
                <w:spacing w:val="-6"/>
                <w:w w:val="124"/>
                <w:sz w:val="18"/>
                <w:szCs w:val="18"/>
                <w:lang w:val="mk-MK"/>
              </w:rPr>
            </w:pPr>
          </w:p>
        </w:tc>
        <w:tc>
          <w:tcPr>
            <w:tcW w:w="1724" w:type="dxa"/>
          </w:tcPr>
          <w:p w:rsidR="009503F1" w:rsidRPr="00381F72" w:rsidRDefault="009503F1" w:rsidP="005909F7">
            <w:pPr>
              <w:jc w:val="both"/>
              <w:rPr>
                <w:color w:val="878786"/>
                <w:spacing w:val="-6"/>
                <w:w w:val="124"/>
                <w:sz w:val="18"/>
                <w:szCs w:val="18"/>
                <w:lang w:val="mk-MK"/>
              </w:rPr>
            </w:pPr>
          </w:p>
        </w:tc>
        <w:tc>
          <w:tcPr>
            <w:tcW w:w="1564" w:type="dxa"/>
          </w:tcPr>
          <w:p w:rsidR="009503F1" w:rsidRPr="00381F72" w:rsidRDefault="009503F1" w:rsidP="005909F7">
            <w:pPr>
              <w:jc w:val="both"/>
              <w:rPr>
                <w:color w:val="878786"/>
                <w:spacing w:val="-6"/>
                <w:w w:val="124"/>
                <w:sz w:val="18"/>
                <w:szCs w:val="18"/>
                <w:lang w:val="mk-MK"/>
              </w:rPr>
            </w:pPr>
          </w:p>
        </w:tc>
        <w:tc>
          <w:tcPr>
            <w:tcW w:w="1835" w:type="dxa"/>
            <w:shd w:val="clear" w:color="auto" w:fill="548DD4" w:themeFill="text2" w:themeFillTint="99"/>
          </w:tcPr>
          <w:p w:rsidR="009503F1" w:rsidRPr="00381F72" w:rsidRDefault="009503F1" w:rsidP="005909F7">
            <w:pPr>
              <w:jc w:val="both"/>
              <w:rPr>
                <w:color w:val="878786"/>
                <w:spacing w:val="-6"/>
                <w:w w:val="124"/>
                <w:sz w:val="18"/>
                <w:szCs w:val="18"/>
                <w:lang w:val="mk-MK"/>
              </w:rPr>
            </w:pPr>
          </w:p>
        </w:tc>
      </w:tr>
      <w:tr w:rsidR="009503F1" w:rsidTr="009503F1">
        <w:tc>
          <w:tcPr>
            <w:tcW w:w="3960" w:type="dxa"/>
            <w:gridSpan w:val="3"/>
          </w:tcPr>
          <w:p w:rsidR="009503F1" w:rsidRPr="00381F72" w:rsidRDefault="009503F1" w:rsidP="005909F7">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9503F1" w:rsidRPr="00381F72" w:rsidRDefault="009503F1" w:rsidP="005909F7">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6438AE" w:rsidRPr="009913D7" w:rsidRDefault="006438AE" w:rsidP="006438AE">
            <w:pPr>
              <w:rPr>
                <w:b/>
                <w:sz w:val="20"/>
                <w:szCs w:val="20"/>
                <w:lang w:val="mk-MK"/>
              </w:rPr>
            </w:pPr>
            <w:r w:rsidRPr="009913D7">
              <w:rPr>
                <w:b/>
                <w:sz w:val="20"/>
                <w:szCs w:val="20"/>
                <w:lang w:val="mk-MK"/>
              </w:rPr>
              <w:t>Мерка 8. Градење на капацитетите на граѓанските организации за следење на антикоруптивни практики на локално ниво преку истражување и ЛОТОС студија</w:t>
            </w:r>
          </w:p>
          <w:p w:rsidR="006438AE" w:rsidRPr="009913D7" w:rsidRDefault="006438AE" w:rsidP="006438AE">
            <w:pPr>
              <w:rPr>
                <w:sz w:val="20"/>
                <w:szCs w:val="20"/>
                <w:lang w:val="mk-MK"/>
              </w:rPr>
            </w:pPr>
          </w:p>
          <w:p w:rsidR="009503F1" w:rsidRPr="006438AE" w:rsidRDefault="006438AE" w:rsidP="005909F7">
            <w:pPr>
              <w:jc w:val="both"/>
              <w:rPr>
                <w:sz w:val="20"/>
                <w:szCs w:val="20"/>
                <w:lang w:val="mk-MK"/>
              </w:rPr>
            </w:pPr>
            <w:r w:rsidRPr="009913D7">
              <w:rPr>
                <w:sz w:val="20"/>
                <w:szCs w:val="20"/>
                <w:lang w:val="mk-MK"/>
              </w:rPr>
              <w:t>Преку проектот ЛОТОС, Центарот за истражување и креирање политики (</w:t>
            </w:r>
            <w:r w:rsidRPr="009913D7">
              <w:rPr>
                <w:sz w:val="20"/>
                <w:szCs w:val="20"/>
              </w:rPr>
              <w:t>ЦИКП</w:t>
            </w:r>
            <w:r w:rsidRPr="009913D7">
              <w:rPr>
                <w:sz w:val="20"/>
                <w:szCs w:val="20"/>
                <w:lang w:val="mk-MK"/>
              </w:rPr>
              <w:t>)</w:t>
            </w:r>
            <w:r w:rsidRPr="009913D7">
              <w:rPr>
                <w:sz w:val="20"/>
                <w:szCs w:val="20"/>
              </w:rPr>
              <w:t xml:space="preserve"> спроведе обука за седум истражувачи од различни граѓански организации кои делуваат на локално ниво, во поглед на користење на методологија за систематско следење на механизмите за транспарентност и отчетност на локално ниво. Истражувачите ја користеа оваа методологија за следење на спроведувањето на политиките за добро владеење во 43 општини во Македонија. Извештајот за резултатите од овој едногодишен мониторинг </w:t>
            </w:r>
            <w:r w:rsidRPr="009913D7">
              <w:rPr>
                <w:sz w:val="20"/>
                <w:szCs w:val="20"/>
                <w:lang w:val="mk-MK"/>
              </w:rPr>
              <w:t xml:space="preserve">како </w:t>
            </w:r>
            <w:r w:rsidRPr="009913D7">
              <w:rPr>
                <w:rFonts w:cs="Arial"/>
                <w:sz w:val="20"/>
                <w:szCs w:val="20"/>
              </w:rPr>
              <w:t>прв систематски преглед на доброто владеење на локално ниво</w:t>
            </w:r>
            <w:r w:rsidRPr="009913D7">
              <w:rPr>
                <w:rFonts w:cs="Arial"/>
                <w:sz w:val="20"/>
                <w:szCs w:val="20"/>
                <w:lang w:val="mk-MK"/>
              </w:rPr>
              <w:t>,</w:t>
            </w:r>
            <w:r w:rsidRPr="009913D7">
              <w:rPr>
                <w:sz w:val="20"/>
                <w:szCs w:val="20"/>
                <w:lang w:val="mk-MK"/>
              </w:rPr>
              <w:t xml:space="preserve"> ЦИКП го</w:t>
            </w:r>
            <w:r w:rsidRPr="009913D7">
              <w:rPr>
                <w:sz w:val="20"/>
                <w:szCs w:val="20"/>
              </w:rPr>
              <w:t xml:space="preserve"> објави во мај </w:t>
            </w:r>
            <w:r w:rsidRPr="009913D7">
              <w:rPr>
                <w:sz w:val="20"/>
                <w:szCs w:val="20"/>
                <w:lang w:val="mk-MK"/>
              </w:rPr>
              <w:t xml:space="preserve">2015 година </w:t>
            </w:r>
            <w:r w:rsidRPr="009913D7">
              <w:rPr>
                <w:sz w:val="20"/>
                <w:szCs w:val="20"/>
              </w:rPr>
              <w:t xml:space="preserve">и </w:t>
            </w:r>
            <w:r w:rsidRPr="009913D7">
              <w:rPr>
                <w:sz w:val="20"/>
                <w:szCs w:val="20"/>
                <w:lang w:val="mk-MK"/>
              </w:rPr>
              <w:t>беше</w:t>
            </w:r>
            <w:r w:rsidRPr="009913D7">
              <w:rPr>
                <w:sz w:val="20"/>
                <w:szCs w:val="20"/>
              </w:rPr>
              <w:t xml:space="preserve"> презентира</w:t>
            </w:r>
            <w:r w:rsidRPr="009913D7">
              <w:rPr>
                <w:sz w:val="20"/>
                <w:szCs w:val="20"/>
                <w:lang w:val="mk-MK"/>
              </w:rPr>
              <w:t>н</w:t>
            </w:r>
            <w:r w:rsidRPr="009913D7">
              <w:rPr>
                <w:sz w:val="20"/>
                <w:szCs w:val="20"/>
              </w:rPr>
              <w:t xml:space="preserve"> пред претставници на општините и невладините организации.Линк до добиените резултати:  </w:t>
            </w:r>
            <w:r w:rsidRPr="009913D7">
              <w:rPr>
                <w:sz w:val="20"/>
                <w:szCs w:val="20"/>
                <w:lang w:val="sq-AL"/>
              </w:rPr>
              <w:t>lotos.crpm.org.mk/#/</w:t>
            </w:r>
          </w:p>
        </w:tc>
      </w:tr>
      <w:tr w:rsidR="009503F1" w:rsidTr="009503F1">
        <w:tc>
          <w:tcPr>
            <w:tcW w:w="3960" w:type="dxa"/>
            <w:gridSpan w:val="3"/>
          </w:tcPr>
          <w:p w:rsidR="009503F1" w:rsidRPr="00381F72" w:rsidRDefault="009503F1" w:rsidP="005909F7">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6750" w:type="dxa"/>
            <w:gridSpan w:val="4"/>
          </w:tcPr>
          <w:p w:rsidR="009503F1" w:rsidRDefault="006438AE" w:rsidP="005909F7">
            <w:pPr>
              <w:jc w:val="both"/>
              <w:rPr>
                <w:b/>
                <w:lang w:val="mk-MK"/>
              </w:rPr>
            </w:pPr>
            <w:r>
              <w:rPr>
                <w:b/>
                <w:lang w:val="mk-MK"/>
              </w:rPr>
              <w:t>/</w:t>
            </w:r>
          </w:p>
        </w:tc>
      </w:tr>
      <w:tr w:rsidR="009503F1" w:rsidTr="009503F1">
        <w:tc>
          <w:tcPr>
            <w:tcW w:w="3960" w:type="dxa"/>
            <w:gridSpan w:val="3"/>
          </w:tcPr>
          <w:p w:rsidR="009503F1" w:rsidRPr="00381F72" w:rsidRDefault="009503F1" w:rsidP="005909F7">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9503F1" w:rsidRDefault="006438AE" w:rsidP="005909F7">
            <w:pPr>
              <w:jc w:val="both"/>
              <w:rPr>
                <w:b/>
                <w:lang w:val="mk-MK"/>
              </w:rPr>
            </w:pPr>
            <w:r>
              <w:rPr>
                <w:b/>
                <w:lang w:val="mk-MK"/>
              </w:rPr>
              <w:t>/</w:t>
            </w:r>
          </w:p>
        </w:tc>
      </w:tr>
      <w:tr w:rsidR="009503F1" w:rsidTr="005909F7">
        <w:tc>
          <w:tcPr>
            <w:tcW w:w="10710" w:type="dxa"/>
            <w:gridSpan w:val="7"/>
          </w:tcPr>
          <w:p w:rsidR="009503F1" w:rsidRDefault="009503F1" w:rsidP="005909F7">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sidR="006438AE">
              <w:rPr>
                <w:color w:val="878786"/>
                <w:spacing w:val="-6"/>
                <w:w w:val="124"/>
                <w:sz w:val="18"/>
                <w:szCs w:val="18"/>
                <w:lang w:val="mk-MK"/>
              </w:rPr>
              <w:t>/</w:t>
            </w:r>
          </w:p>
        </w:tc>
      </w:tr>
      <w:tr w:rsidR="009503F1" w:rsidTr="009503F1">
        <w:trPr>
          <w:trHeight w:val="435"/>
        </w:trPr>
        <w:tc>
          <w:tcPr>
            <w:tcW w:w="3960" w:type="dxa"/>
            <w:gridSpan w:val="3"/>
            <w:vMerge w:val="restart"/>
          </w:tcPr>
          <w:p w:rsidR="009503F1" w:rsidRPr="00381F72" w:rsidRDefault="009503F1" w:rsidP="005909F7">
            <w:pPr>
              <w:jc w:val="both"/>
              <w:rPr>
                <w:color w:val="878786"/>
                <w:spacing w:val="-6"/>
                <w:w w:val="124"/>
                <w:sz w:val="18"/>
                <w:szCs w:val="18"/>
                <w:lang w:val="mk-MK"/>
              </w:rPr>
            </w:pPr>
          </w:p>
          <w:p w:rsidR="009503F1" w:rsidRPr="00381F72" w:rsidRDefault="009503F1" w:rsidP="005909F7">
            <w:pPr>
              <w:jc w:val="both"/>
              <w:rPr>
                <w:color w:val="878786"/>
                <w:spacing w:val="-6"/>
                <w:w w:val="124"/>
                <w:sz w:val="18"/>
                <w:szCs w:val="18"/>
                <w:lang w:val="mk-MK"/>
              </w:rPr>
            </w:pPr>
            <w:r w:rsidRPr="00381F72">
              <w:rPr>
                <w:color w:val="878786"/>
                <w:spacing w:val="-6"/>
                <w:w w:val="124"/>
                <w:sz w:val="18"/>
                <w:szCs w:val="18"/>
                <w:lang w:val="mk-MK"/>
              </w:rPr>
              <w:t>Ниво на проект</w:t>
            </w:r>
          </w:p>
          <w:p w:rsidR="009503F1" w:rsidRPr="00381F72" w:rsidRDefault="009503F1" w:rsidP="005909F7">
            <w:pPr>
              <w:jc w:val="both"/>
              <w:rPr>
                <w:color w:val="878786"/>
                <w:spacing w:val="-6"/>
                <w:w w:val="124"/>
                <w:sz w:val="18"/>
                <w:szCs w:val="18"/>
                <w:lang w:val="mk-MK"/>
              </w:rPr>
            </w:pPr>
          </w:p>
        </w:tc>
        <w:tc>
          <w:tcPr>
            <w:tcW w:w="1627" w:type="dxa"/>
          </w:tcPr>
          <w:p w:rsidR="009503F1" w:rsidRPr="00381F72" w:rsidRDefault="009503F1" w:rsidP="005909F7">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9503F1" w:rsidRPr="00381F72" w:rsidRDefault="009503F1" w:rsidP="005909F7">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9503F1" w:rsidRPr="00381F72" w:rsidRDefault="009503F1" w:rsidP="005909F7">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9503F1" w:rsidRPr="00381F72" w:rsidRDefault="009503F1" w:rsidP="005909F7">
            <w:pPr>
              <w:jc w:val="both"/>
              <w:rPr>
                <w:color w:val="878786"/>
                <w:spacing w:val="-6"/>
                <w:w w:val="124"/>
                <w:sz w:val="18"/>
                <w:szCs w:val="18"/>
                <w:lang w:val="mk-MK"/>
              </w:rPr>
            </w:pPr>
            <w:r>
              <w:rPr>
                <w:color w:val="878786"/>
                <w:spacing w:val="-6"/>
                <w:w w:val="124"/>
                <w:sz w:val="18"/>
                <w:szCs w:val="18"/>
                <w:lang w:val="mk-MK"/>
              </w:rPr>
              <w:t>завршено</w:t>
            </w:r>
          </w:p>
        </w:tc>
      </w:tr>
      <w:tr w:rsidR="009503F1" w:rsidTr="006438AE">
        <w:trPr>
          <w:trHeight w:val="367"/>
        </w:trPr>
        <w:tc>
          <w:tcPr>
            <w:tcW w:w="3960" w:type="dxa"/>
            <w:gridSpan w:val="3"/>
            <w:vMerge/>
          </w:tcPr>
          <w:p w:rsidR="009503F1" w:rsidRPr="00381F72" w:rsidRDefault="009503F1" w:rsidP="005909F7">
            <w:pPr>
              <w:jc w:val="both"/>
              <w:rPr>
                <w:color w:val="878786"/>
                <w:spacing w:val="-6"/>
                <w:w w:val="124"/>
                <w:sz w:val="18"/>
                <w:szCs w:val="18"/>
                <w:lang w:val="mk-MK"/>
              </w:rPr>
            </w:pPr>
          </w:p>
        </w:tc>
        <w:tc>
          <w:tcPr>
            <w:tcW w:w="1627" w:type="dxa"/>
          </w:tcPr>
          <w:p w:rsidR="009503F1" w:rsidRPr="00381F72" w:rsidRDefault="009503F1" w:rsidP="005909F7">
            <w:pPr>
              <w:jc w:val="both"/>
              <w:rPr>
                <w:color w:val="878786"/>
                <w:spacing w:val="-6"/>
                <w:w w:val="124"/>
                <w:sz w:val="18"/>
                <w:szCs w:val="18"/>
                <w:lang w:val="mk-MK"/>
              </w:rPr>
            </w:pPr>
          </w:p>
        </w:tc>
        <w:tc>
          <w:tcPr>
            <w:tcW w:w="1724" w:type="dxa"/>
          </w:tcPr>
          <w:p w:rsidR="009503F1" w:rsidRPr="00381F72" w:rsidRDefault="009503F1" w:rsidP="005909F7">
            <w:pPr>
              <w:jc w:val="both"/>
              <w:rPr>
                <w:color w:val="878786"/>
                <w:spacing w:val="-6"/>
                <w:w w:val="124"/>
                <w:sz w:val="18"/>
                <w:szCs w:val="18"/>
                <w:lang w:val="mk-MK"/>
              </w:rPr>
            </w:pPr>
          </w:p>
        </w:tc>
        <w:tc>
          <w:tcPr>
            <w:tcW w:w="1564" w:type="dxa"/>
            <w:shd w:val="clear" w:color="auto" w:fill="548DD4" w:themeFill="text2" w:themeFillTint="99"/>
          </w:tcPr>
          <w:p w:rsidR="009503F1" w:rsidRPr="00381F72" w:rsidRDefault="009503F1" w:rsidP="005909F7">
            <w:pPr>
              <w:jc w:val="both"/>
              <w:rPr>
                <w:color w:val="878786"/>
                <w:spacing w:val="-6"/>
                <w:w w:val="124"/>
                <w:sz w:val="18"/>
                <w:szCs w:val="18"/>
                <w:lang w:val="mk-MK"/>
              </w:rPr>
            </w:pPr>
          </w:p>
        </w:tc>
        <w:tc>
          <w:tcPr>
            <w:tcW w:w="1835" w:type="dxa"/>
          </w:tcPr>
          <w:p w:rsidR="009503F1" w:rsidRPr="00381F72" w:rsidRDefault="009503F1" w:rsidP="005909F7">
            <w:pPr>
              <w:jc w:val="both"/>
              <w:rPr>
                <w:color w:val="878786"/>
                <w:spacing w:val="-6"/>
                <w:w w:val="124"/>
                <w:sz w:val="18"/>
                <w:szCs w:val="18"/>
                <w:lang w:val="mk-MK"/>
              </w:rPr>
            </w:pPr>
          </w:p>
        </w:tc>
      </w:tr>
      <w:tr w:rsidR="006438AE" w:rsidTr="009503F1">
        <w:tc>
          <w:tcPr>
            <w:tcW w:w="3960" w:type="dxa"/>
            <w:gridSpan w:val="3"/>
          </w:tcPr>
          <w:p w:rsidR="006438AE" w:rsidRPr="00381F72" w:rsidRDefault="006438AE" w:rsidP="005909F7">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6438AE" w:rsidRPr="00381F72" w:rsidRDefault="006438AE" w:rsidP="005909F7">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6438AE" w:rsidRPr="009913D7" w:rsidRDefault="006438AE" w:rsidP="005909F7">
            <w:pPr>
              <w:rPr>
                <w:b/>
                <w:sz w:val="20"/>
                <w:szCs w:val="20"/>
                <w:lang w:val="mk-MK"/>
              </w:rPr>
            </w:pPr>
            <w:r w:rsidRPr="009913D7">
              <w:rPr>
                <w:b/>
                <w:sz w:val="20"/>
                <w:szCs w:val="20"/>
                <w:lang w:val="mk-MK"/>
              </w:rPr>
              <w:t>Мерка 9. Дефинирање на опфатот на избраните и именуваните лица кои имаат обврска да достават анкетен лист за имотната состојба и изјава за интереси - подготовка на Регистар</w:t>
            </w:r>
          </w:p>
          <w:p w:rsidR="006438AE" w:rsidRPr="009913D7" w:rsidRDefault="006438AE" w:rsidP="005909F7">
            <w:pPr>
              <w:rPr>
                <w:b/>
                <w:sz w:val="20"/>
                <w:szCs w:val="20"/>
                <w:lang w:val="mk-MK"/>
              </w:rPr>
            </w:pPr>
          </w:p>
          <w:p w:rsidR="006438AE" w:rsidRPr="009913D7" w:rsidRDefault="006438AE" w:rsidP="005909F7">
            <w:pPr>
              <w:jc w:val="both"/>
              <w:rPr>
                <w:rFonts w:cs="Arial"/>
                <w:bCs/>
                <w:sz w:val="20"/>
                <w:szCs w:val="20"/>
                <w:lang w:val="mk-MK"/>
              </w:rPr>
            </w:pPr>
            <w:r w:rsidRPr="009913D7">
              <w:rPr>
                <w:rFonts w:cs="Arial"/>
                <w:sz w:val="20"/>
                <w:szCs w:val="20"/>
                <w:lang w:val="mk-MK"/>
              </w:rPr>
              <w:t>Во Јуни 2015 година донесен е</w:t>
            </w:r>
            <w:r w:rsidRPr="009913D7">
              <w:rPr>
                <w:rFonts w:cs="Arial"/>
                <w:sz w:val="20"/>
                <w:szCs w:val="20"/>
              </w:rPr>
              <w:t xml:space="preserve"> Закон за изменување и дополнување на Законот за спречување на корупцијата</w:t>
            </w:r>
            <w:r w:rsidRPr="009913D7">
              <w:rPr>
                <w:rFonts w:cs="Arial"/>
                <w:bCs/>
                <w:sz w:val="20"/>
                <w:szCs w:val="20"/>
                <w:lang w:val="mk-MK"/>
              </w:rPr>
              <w:t xml:space="preserve">со кој се утврдува надлежност на ДКСК за воспоставување и водење на Регистар на избрани и именувани лица. Целта на Регистарот е да се воспостави централна база на податоци на сите избрани и именувани лица во Република Македонијаи нивно објавување на </w:t>
            </w:r>
            <w:r w:rsidRPr="009913D7">
              <w:rPr>
                <w:rFonts w:cs="Arial"/>
                <w:bCs/>
                <w:sz w:val="20"/>
                <w:szCs w:val="20"/>
              </w:rPr>
              <w:t>WEB</w:t>
            </w:r>
            <w:r w:rsidRPr="009913D7">
              <w:rPr>
                <w:rFonts w:cs="Arial"/>
                <w:bCs/>
                <w:sz w:val="20"/>
                <w:szCs w:val="20"/>
                <w:lang w:val="mk-MK"/>
              </w:rPr>
              <w:t xml:space="preserve"> страницата на ДКСК. Исто така </w:t>
            </w:r>
            <w:r w:rsidRPr="009913D7">
              <w:rPr>
                <w:sz w:val="20"/>
                <w:szCs w:val="20"/>
                <w:lang w:val="mk-MK"/>
              </w:rPr>
              <w:t>Регистарот ќе овозможи и системска и континуирана проверка на имотот и интересите на избраните и именувани лица од страна на ДКСК.</w:t>
            </w:r>
          </w:p>
          <w:p w:rsidR="006438AE" w:rsidRPr="009913D7" w:rsidRDefault="006438AE" w:rsidP="005909F7">
            <w:pPr>
              <w:jc w:val="both"/>
              <w:rPr>
                <w:rFonts w:cs="Arial"/>
                <w:bCs/>
                <w:sz w:val="20"/>
                <w:szCs w:val="20"/>
                <w:lang w:val="mk-MK"/>
              </w:rPr>
            </w:pPr>
          </w:p>
          <w:p w:rsidR="006438AE" w:rsidRPr="009913D7" w:rsidRDefault="006438AE" w:rsidP="005909F7">
            <w:pPr>
              <w:jc w:val="both"/>
              <w:rPr>
                <w:sz w:val="20"/>
                <w:szCs w:val="20"/>
                <w:lang w:val="mk-MK"/>
              </w:rPr>
            </w:pPr>
            <w:r w:rsidRPr="009913D7">
              <w:rPr>
                <w:rFonts w:cs="Arial"/>
                <w:bCs/>
                <w:sz w:val="20"/>
                <w:szCs w:val="20"/>
                <w:lang w:val="mk-MK"/>
              </w:rPr>
              <w:t xml:space="preserve">ДКСК во јули 2015 година го усвои Образецот за податоци за избрани и именувани лица и Правилникот за содржината, формата и начинот на водење на Регистарот на избрани и именувани лица. </w:t>
            </w:r>
          </w:p>
        </w:tc>
      </w:tr>
      <w:tr w:rsidR="006438AE" w:rsidTr="009503F1">
        <w:tc>
          <w:tcPr>
            <w:tcW w:w="3960" w:type="dxa"/>
            <w:gridSpan w:val="3"/>
          </w:tcPr>
          <w:p w:rsidR="006438AE" w:rsidRPr="00381F72" w:rsidRDefault="006438AE" w:rsidP="005909F7">
            <w:pPr>
              <w:jc w:val="both"/>
              <w:rPr>
                <w:color w:val="878786"/>
                <w:spacing w:val="-6"/>
                <w:w w:val="124"/>
                <w:sz w:val="18"/>
                <w:szCs w:val="18"/>
                <w:lang w:val="mk-MK"/>
              </w:rPr>
            </w:pPr>
            <w:r w:rsidRPr="00381F72">
              <w:rPr>
                <w:color w:val="878786"/>
                <w:spacing w:val="-6"/>
                <w:w w:val="124"/>
                <w:sz w:val="18"/>
                <w:szCs w:val="18"/>
                <w:lang w:val="mk-MK"/>
              </w:rPr>
              <w:lastRenderedPageBreak/>
              <w:t>Краен датум</w:t>
            </w:r>
          </w:p>
        </w:tc>
        <w:tc>
          <w:tcPr>
            <w:tcW w:w="6750" w:type="dxa"/>
            <w:gridSpan w:val="4"/>
          </w:tcPr>
          <w:p w:rsidR="006438AE" w:rsidRPr="009913D7" w:rsidRDefault="006438AE" w:rsidP="005909F7">
            <w:pPr>
              <w:rPr>
                <w:sz w:val="20"/>
                <w:szCs w:val="20"/>
                <w:lang w:val="mk-MK"/>
              </w:rPr>
            </w:pPr>
            <w:r w:rsidRPr="009913D7">
              <w:rPr>
                <w:sz w:val="20"/>
                <w:szCs w:val="20"/>
                <w:lang w:val="mk-MK"/>
              </w:rPr>
              <w:t>2016</w:t>
            </w:r>
          </w:p>
        </w:tc>
      </w:tr>
      <w:tr w:rsidR="006438AE" w:rsidTr="009503F1">
        <w:tc>
          <w:tcPr>
            <w:tcW w:w="3960" w:type="dxa"/>
            <w:gridSpan w:val="3"/>
          </w:tcPr>
          <w:p w:rsidR="006438AE" w:rsidRPr="00381F72" w:rsidRDefault="006438AE" w:rsidP="005909F7">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6438AE" w:rsidRPr="009913D7" w:rsidRDefault="006438AE" w:rsidP="005909F7">
            <w:pPr>
              <w:pStyle w:val="Default"/>
              <w:spacing w:after="200"/>
              <w:rPr>
                <w:rFonts w:asciiTheme="minorHAnsi" w:hAnsiTheme="minorHAnsi"/>
                <w:sz w:val="20"/>
                <w:szCs w:val="20"/>
              </w:rPr>
            </w:pPr>
            <w:r w:rsidRPr="009913D7">
              <w:rPr>
                <w:rFonts w:asciiTheme="minorHAnsi" w:hAnsiTheme="minorHAnsi"/>
                <w:bCs/>
                <w:sz w:val="20"/>
                <w:szCs w:val="20"/>
              </w:rPr>
              <w:t>Изготвување на ИТ решение за базата на податоци на Регистарот и WEB апликација за објавување на податоците од Регистарот на WEB страницата на ДКСК.</w:t>
            </w:r>
          </w:p>
        </w:tc>
      </w:tr>
      <w:tr w:rsidR="006438AE" w:rsidTr="005909F7">
        <w:tc>
          <w:tcPr>
            <w:tcW w:w="10710" w:type="dxa"/>
            <w:gridSpan w:val="7"/>
          </w:tcPr>
          <w:p w:rsidR="006438AE" w:rsidRDefault="006438AE" w:rsidP="005909F7">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p>
        </w:tc>
      </w:tr>
    </w:tbl>
    <w:p w:rsidR="002133FA" w:rsidRDefault="002133FA" w:rsidP="00852AE9">
      <w:pPr>
        <w:jc w:val="both"/>
        <w:rPr>
          <w:b/>
          <w:lang w:val="mk-MK"/>
        </w:rPr>
      </w:pPr>
    </w:p>
    <w:tbl>
      <w:tblPr>
        <w:tblStyle w:val="TableGrid"/>
        <w:tblW w:w="0" w:type="auto"/>
        <w:tblLook w:val="04A0"/>
      </w:tblPr>
      <w:tblGrid>
        <w:gridCol w:w="1803"/>
        <w:gridCol w:w="2140"/>
        <w:gridCol w:w="17"/>
        <w:gridCol w:w="1627"/>
        <w:gridCol w:w="1724"/>
        <w:gridCol w:w="1564"/>
        <w:gridCol w:w="1835"/>
      </w:tblGrid>
      <w:tr w:rsidR="002133FA" w:rsidTr="002133FA">
        <w:tc>
          <w:tcPr>
            <w:tcW w:w="10710" w:type="dxa"/>
            <w:gridSpan w:val="7"/>
            <w:shd w:val="clear" w:color="auto" w:fill="262626" w:themeFill="text1" w:themeFillTint="D9"/>
          </w:tcPr>
          <w:p w:rsidR="002133FA" w:rsidRDefault="002133FA" w:rsidP="002133FA">
            <w:pPr>
              <w:jc w:val="center"/>
              <w:rPr>
                <w:b/>
                <w:lang w:val="mk-MK"/>
              </w:rPr>
            </w:pPr>
            <w:r w:rsidRPr="002F1864">
              <w:rPr>
                <w:rFonts w:eastAsia="Times New Roman" w:cs="Times New Roman"/>
                <w:color w:val="EEECE1" w:themeColor="background2"/>
                <w:spacing w:val="-12"/>
                <w:w w:val="123"/>
                <w:sz w:val="20"/>
                <w:szCs w:val="20"/>
                <w:lang w:val="mk-MK"/>
              </w:rPr>
              <w:t>Шаблон за завршување на заложбите</w:t>
            </w:r>
          </w:p>
        </w:tc>
      </w:tr>
      <w:tr w:rsidR="002133FA" w:rsidTr="002133FA">
        <w:tc>
          <w:tcPr>
            <w:tcW w:w="10710" w:type="dxa"/>
            <w:gridSpan w:val="7"/>
          </w:tcPr>
          <w:p w:rsidR="002133FA" w:rsidRPr="002133FA" w:rsidRDefault="005B7A34" w:rsidP="002133FA">
            <w:pPr>
              <w:pStyle w:val="ListParagraph"/>
              <w:numPr>
                <w:ilvl w:val="0"/>
                <w:numId w:val="2"/>
              </w:numPr>
              <w:jc w:val="center"/>
              <w:rPr>
                <w:b/>
                <w:color w:val="262626" w:themeColor="text1" w:themeTint="D9"/>
                <w:lang w:val="mk-MK"/>
              </w:rPr>
            </w:pPr>
            <w:r>
              <w:rPr>
                <w:b/>
                <w:color w:val="262626" w:themeColor="text1" w:themeTint="D9"/>
                <w:lang w:val="mk-MK"/>
              </w:rPr>
              <w:t>Ефикасно управување со јавните ресурси (фискална транспарентност)</w:t>
            </w:r>
          </w:p>
        </w:tc>
      </w:tr>
      <w:tr w:rsidR="00AB5DC7" w:rsidTr="006438AE">
        <w:tc>
          <w:tcPr>
            <w:tcW w:w="3943" w:type="dxa"/>
            <w:gridSpan w:val="2"/>
          </w:tcPr>
          <w:p w:rsidR="00AB5DC7" w:rsidRPr="00381F72" w:rsidRDefault="00AB5DC7" w:rsidP="002133FA">
            <w:pPr>
              <w:jc w:val="both"/>
              <w:rPr>
                <w:color w:val="878786"/>
                <w:spacing w:val="-6"/>
                <w:w w:val="124"/>
                <w:sz w:val="18"/>
                <w:szCs w:val="18"/>
                <w:lang w:val="mk-MK"/>
              </w:rPr>
            </w:pPr>
            <w:r w:rsidRPr="00381F72">
              <w:rPr>
                <w:color w:val="878786"/>
                <w:spacing w:val="-6"/>
                <w:w w:val="124"/>
                <w:sz w:val="18"/>
                <w:szCs w:val="18"/>
                <w:lang w:val="mk-MK"/>
              </w:rPr>
              <w:t>Водечка агенција за спроведување</w:t>
            </w:r>
          </w:p>
        </w:tc>
        <w:tc>
          <w:tcPr>
            <w:tcW w:w="6767" w:type="dxa"/>
            <w:gridSpan w:val="5"/>
          </w:tcPr>
          <w:p w:rsidR="00AB5DC7" w:rsidRPr="0014553D" w:rsidRDefault="00AB5DC7" w:rsidP="005909F7">
            <w:pPr>
              <w:pStyle w:val="Default"/>
              <w:spacing w:after="200"/>
              <w:rPr>
                <w:rFonts w:asciiTheme="minorHAnsi" w:hAnsiTheme="minorHAnsi"/>
                <w:bCs/>
                <w:sz w:val="20"/>
                <w:szCs w:val="20"/>
              </w:rPr>
            </w:pPr>
            <w:r w:rsidRPr="0014553D">
              <w:rPr>
                <w:rFonts w:asciiTheme="minorHAnsi" w:hAnsiTheme="minorHAnsi"/>
                <w:bCs/>
                <w:sz w:val="20"/>
                <w:szCs w:val="20"/>
              </w:rPr>
              <w:t>Министерство за финансии, Министерство за здравство, Секретаријат за европски прашања</w:t>
            </w:r>
          </w:p>
        </w:tc>
      </w:tr>
      <w:tr w:rsidR="00AB5DC7" w:rsidTr="006438AE">
        <w:tc>
          <w:tcPr>
            <w:tcW w:w="3943" w:type="dxa"/>
            <w:gridSpan w:val="2"/>
          </w:tcPr>
          <w:p w:rsidR="00AB5DC7" w:rsidRPr="00381F72" w:rsidRDefault="00AB5DC7" w:rsidP="002133FA">
            <w:pPr>
              <w:jc w:val="both"/>
              <w:rPr>
                <w:color w:val="878786"/>
                <w:spacing w:val="-6"/>
                <w:w w:val="124"/>
                <w:sz w:val="18"/>
                <w:szCs w:val="18"/>
                <w:lang w:val="mk-MK"/>
              </w:rPr>
            </w:pPr>
            <w:r w:rsidRPr="00381F72">
              <w:rPr>
                <w:color w:val="878786"/>
                <w:spacing w:val="-6"/>
                <w:w w:val="124"/>
                <w:sz w:val="18"/>
                <w:szCs w:val="18"/>
                <w:lang w:val="mk-MK"/>
              </w:rPr>
              <w:t>Име на одговорно лице од агенција за спроведување</w:t>
            </w:r>
          </w:p>
        </w:tc>
        <w:tc>
          <w:tcPr>
            <w:tcW w:w="6767" w:type="dxa"/>
            <w:gridSpan w:val="5"/>
          </w:tcPr>
          <w:p w:rsidR="00AB5DC7" w:rsidRPr="0014553D" w:rsidRDefault="00AB5DC7" w:rsidP="005909F7">
            <w:pPr>
              <w:pStyle w:val="Default"/>
              <w:spacing w:after="200"/>
              <w:rPr>
                <w:rFonts w:asciiTheme="minorHAnsi" w:hAnsiTheme="minorHAnsi"/>
                <w:bCs/>
                <w:sz w:val="20"/>
                <w:szCs w:val="20"/>
              </w:rPr>
            </w:pPr>
            <w:r w:rsidRPr="0014553D">
              <w:rPr>
                <w:rFonts w:asciiTheme="minorHAnsi" w:hAnsiTheme="minorHAnsi"/>
                <w:bCs/>
                <w:sz w:val="20"/>
                <w:szCs w:val="20"/>
              </w:rPr>
              <w:t>Љубица Јовчевска (МФ), Анка Георгиевска (МЗ), Александар Данаилов и Билјана Дријовска (БЈН), Џеладин Локмани (СЕП), Маријана Павловска (АСИПИ)</w:t>
            </w:r>
          </w:p>
        </w:tc>
      </w:tr>
      <w:tr w:rsidR="00AB5DC7" w:rsidTr="006438AE">
        <w:tc>
          <w:tcPr>
            <w:tcW w:w="3943" w:type="dxa"/>
            <w:gridSpan w:val="2"/>
          </w:tcPr>
          <w:p w:rsidR="00AB5DC7" w:rsidRPr="00381F72" w:rsidRDefault="00AB5DC7" w:rsidP="002133FA">
            <w:pPr>
              <w:jc w:val="both"/>
              <w:rPr>
                <w:color w:val="878786"/>
                <w:spacing w:val="-6"/>
                <w:w w:val="124"/>
                <w:sz w:val="18"/>
                <w:szCs w:val="18"/>
                <w:lang w:val="mk-MK"/>
              </w:rPr>
            </w:pPr>
            <w:r w:rsidRPr="00381F72">
              <w:rPr>
                <w:color w:val="878786"/>
                <w:spacing w:val="-6"/>
                <w:w w:val="124"/>
                <w:sz w:val="18"/>
                <w:szCs w:val="18"/>
                <w:lang w:val="mk-MK"/>
              </w:rPr>
              <w:t>Назив, Одделение</w:t>
            </w:r>
          </w:p>
        </w:tc>
        <w:tc>
          <w:tcPr>
            <w:tcW w:w="6767" w:type="dxa"/>
            <w:gridSpan w:val="5"/>
          </w:tcPr>
          <w:p w:rsidR="00AB5DC7" w:rsidRPr="0014553D" w:rsidRDefault="00AB5DC7" w:rsidP="005909F7">
            <w:pPr>
              <w:pStyle w:val="Default"/>
              <w:spacing w:after="200"/>
              <w:rPr>
                <w:rFonts w:asciiTheme="minorHAnsi" w:hAnsiTheme="minorHAnsi"/>
                <w:bCs/>
                <w:sz w:val="20"/>
                <w:szCs w:val="20"/>
              </w:rPr>
            </w:pPr>
          </w:p>
        </w:tc>
      </w:tr>
      <w:tr w:rsidR="00AB5DC7" w:rsidTr="006438AE">
        <w:tc>
          <w:tcPr>
            <w:tcW w:w="3943" w:type="dxa"/>
            <w:gridSpan w:val="2"/>
          </w:tcPr>
          <w:p w:rsidR="00AB5DC7" w:rsidRPr="00381F72" w:rsidRDefault="00AB5DC7" w:rsidP="002133FA">
            <w:pPr>
              <w:jc w:val="both"/>
              <w:rPr>
                <w:color w:val="878786"/>
                <w:spacing w:val="-6"/>
                <w:w w:val="124"/>
                <w:sz w:val="18"/>
                <w:szCs w:val="18"/>
                <w:lang w:val="mk-MK"/>
              </w:rPr>
            </w:pPr>
            <w:r w:rsidRPr="00381F72">
              <w:rPr>
                <w:color w:val="878786"/>
                <w:spacing w:val="-6"/>
                <w:w w:val="124"/>
                <w:sz w:val="18"/>
                <w:szCs w:val="18"/>
                <w:lang w:val="mk-MK"/>
              </w:rPr>
              <w:t xml:space="preserve">          Е-пошгта</w:t>
            </w:r>
          </w:p>
        </w:tc>
        <w:tc>
          <w:tcPr>
            <w:tcW w:w="6767" w:type="dxa"/>
            <w:gridSpan w:val="5"/>
          </w:tcPr>
          <w:p w:rsidR="00AB5DC7" w:rsidRPr="0014553D" w:rsidRDefault="00AB5DC7" w:rsidP="005909F7">
            <w:pPr>
              <w:pStyle w:val="Default"/>
              <w:spacing w:after="200"/>
              <w:rPr>
                <w:rFonts w:asciiTheme="minorHAnsi" w:hAnsiTheme="minorHAnsi"/>
                <w:bCs/>
                <w:sz w:val="20"/>
                <w:szCs w:val="20"/>
              </w:rPr>
            </w:pPr>
            <w:r w:rsidRPr="0014553D">
              <w:rPr>
                <w:rFonts w:asciiTheme="minorHAnsi" w:hAnsiTheme="minorHAnsi"/>
                <w:bCs/>
                <w:sz w:val="20"/>
                <w:szCs w:val="20"/>
              </w:rPr>
              <w:t>ljubica.jovceska@finance.gov.mk, anka.georgievska@zdravstvo.gov.mk, xheladin.Llokmani@sep.gov.mk, aleksandar.danailov@bjn.gov.mk, biljana.drijovska@bjn.gov.mk, mirce.mirkoski@bjn.gov.mk, goran.bogdanovski@bjn.gov.mk, marijana.pavlovska@investinmacedonia.com, gfilkov@ccc.org.mk, dantik@esem.org.mk, bpavlovski@esem.org.mk, blagica.korovin@sep.gov.mk</w:t>
            </w:r>
          </w:p>
        </w:tc>
      </w:tr>
      <w:tr w:rsidR="00AB5DC7" w:rsidTr="006438AE">
        <w:tc>
          <w:tcPr>
            <w:tcW w:w="3943" w:type="dxa"/>
            <w:gridSpan w:val="2"/>
          </w:tcPr>
          <w:p w:rsidR="00AB5DC7" w:rsidRPr="00381F72" w:rsidRDefault="00AB5DC7" w:rsidP="002133FA">
            <w:pPr>
              <w:jc w:val="both"/>
              <w:rPr>
                <w:color w:val="878786"/>
                <w:spacing w:val="-6"/>
                <w:w w:val="124"/>
                <w:sz w:val="18"/>
                <w:szCs w:val="18"/>
                <w:lang w:val="mk-MK"/>
              </w:rPr>
            </w:pPr>
            <w:r w:rsidRPr="00381F72">
              <w:rPr>
                <w:color w:val="878786"/>
                <w:spacing w:val="-6"/>
                <w:w w:val="124"/>
                <w:sz w:val="18"/>
                <w:szCs w:val="18"/>
                <w:lang w:val="mk-MK"/>
              </w:rPr>
              <w:t>Телефон</w:t>
            </w:r>
          </w:p>
        </w:tc>
        <w:tc>
          <w:tcPr>
            <w:tcW w:w="6767" w:type="dxa"/>
            <w:gridSpan w:val="5"/>
          </w:tcPr>
          <w:p w:rsidR="00AB5DC7" w:rsidRPr="00381F72" w:rsidRDefault="00AB5DC7" w:rsidP="002133FA">
            <w:pPr>
              <w:jc w:val="both"/>
              <w:rPr>
                <w:color w:val="878786"/>
                <w:spacing w:val="-6"/>
                <w:w w:val="124"/>
                <w:sz w:val="18"/>
                <w:szCs w:val="18"/>
                <w:lang w:val="mk-MK"/>
              </w:rPr>
            </w:pPr>
          </w:p>
        </w:tc>
      </w:tr>
      <w:tr w:rsidR="00AB5DC7" w:rsidTr="006438AE">
        <w:trPr>
          <w:trHeight w:val="486"/>
        </w:trPr>
        <w:tc>
          <w:tcPr>
            <w:tcW w:w="1803" w:type="dxa"/>
            <w:vMerge w:val="restart"/>
          </w:tcPr>
          <w:p w:rsidR="00AB5DC7" w:rsidRPr="00381F72" w:rsidRDefault="00AB5DC7" w:rsidP="00AB5DC7">
            <w:pPr>
              <w:spacing w:before="240"/>
              <w:jc w:val="both"/>
              <w:rPr>
                <w:color w:val="878786"/>
                <w:spacing w:val="-6"/>
                <w:w w:val="124"/>
                <w:sz w:val="18"/>
                <w:szCs w:val="18"/>
                <w:lang w:val="mk-MK"/>
              </w:rPr>
            </w:pPr>
            <w:r w:rsidRPr="00381F72">
              <w:rPr>
                <w:color w:val="878786"/>
                <w:spacing w:val="-6"/>
                <w:w w:val="124"/>
                <w:sz w:val="18"/>
                <w:szCs w:val="18"/>
                <w:lang w:val="mk-MK"/>
              </w:rPr>
              <w:t xml:space="preserve">          Други</w:t>
            </w:r>
          </w:p>
          <w:p w:rsidR="00AB5DC7" w:rsidRPr="00381F72" w:rsidRDefault="00AB5DC7" w:rsidP="00AB5DC7">
            <w:pPr>
              <w:pStyle w:val="ListParagraph"/>
              <w:spacing w:before="240"/>
              <w:ind w:left="360"/>
              <w:jc w:val="both"/>
              <w:rPr>
                <w:color w:val="878786"/>
                <w:spacing w:val="-6"/>
                <w:w w:val="124"/>
                <w:sz w:val="18"/>
                <w:szCs w:val="18"/>
                <w:lang w:val="mk-MK"/>
              </w:rPr>
            </w:pPr>
            <w:r w:rsidRPr="00381F72">
              <w:rPr>
                <w:color w:val="878786"/>
                <w:spacing w:val="-6"/>
                <w:w w:val="124"/>
                <w:sz w:val="18"/>
                <w:szCs w:val="18"/>
                <w:lang w:val="mk-MK"/>
              </w:rPr>
              <w:t>Инволвирани учесници</w:t>
            </w:r>
          </w:p>
          <w:p w:rsidR="00AB5DC7" w:rsidRPr="00381F72" w:rsidRDefault="00AB5DC7" w:rsidP="00AB5DC7">
            <w:pPr>
              <w:pStyle w:val="ListParagraph"/>
              <w:spacing w:before="240"/>
              <w:ind w:left="360"/>
              <w:jc w:val="both"/>
              <w:rPr>
                <w:color w:val="878786"/>
                <w:spacing w:val="-6"/>
                <w:w w:val="124"/>
                <w:sz w:val="18"/>
                <w:szCs w:val="18"/>
                <w:lang w:val="mk-MK"/>
              </w:rPr>
            </w:pPr>
          </w:p>
          <w:p w:rsidR="00AB5DC7" w:rsidRPr="00381F72" w:rsidRDefault="00AB5DC7" w:rsidP="00AB5DC7">
            <w:pPr>
              <w:pStyle w:val="ListParagraph"/>
              <w:spacing w:before="240"/>
              <w:ind w:left="360"/>
              <w:jc w:val="both"/>
              <w:rPr>
                <w:color w:val="878786"/>
                <w:spacing w:val="-6"/>
                <w:w w:val="124"/>
                <w:sz w:val="18"/>
                <w:szCs w:val="18"/>
                <w:lang w:val="mk-MK"/>
              </w:rPr>
            </w:pPr>
          </w:p>
        </w:tc>
        <w:tc>
          <w:tcPr>
            <w:tcW w:w="2140" w:type="dxa"/>
          </w:tcPr>
          <w:p w:rsidR="00AB5DC7" w:rsidRPr="00381F72" w:rsidRDefault="00AB5DC7" w:rsidP="00AB5DC7">
            <w:pPr>
              <w:spacing w:before="240"/>
              <w:jc w:val="both"/>
              <w:rPr>
                <w:color w:val="878786"/>
                <w:spacing w:val="-6"/>
                <w:w w:val="124"/>
                <w:sz w:val="18"/>
                <w:szCs w:val="18"/>
                <w:lang w:val="mk-MK"/>
              </w:rPr>
            </w:pPr>
            <w:r w:rsidRPr="00381F72">
              <w:rPr>
                <w:color w:val="878786"/>
                <w:spacing w:val="-6"/>
                <w:w w:val="124"/>
                <w:sz w:val="18"/>
                <w:szCs w:val="18"/>
                <w:lang w:val="mk-MK"/>
              </w:rPr>
              <w:t>Влада</w:t>
            </w:r>
          </w:p>
        </w:tc>
        <w:tc>
          <w:tcPr>
            <w:tcW w:w="6767" w:type="dxa"/>
            <w:gridSpan w:val="5"/>
          </w:tcPr>
          <w:p w:rsidR="00AB5DC7" w:rsidRPr="0014553D" w:rsidRDefault="00AB5DC7" w:rsidP="00AB5DC7">
            <w:pPr>
              <w:pStyle w:val="Default"/>
              <w:spacing w:before="240" w:after="200"/>
              <w:rPr>
                <w:rFonts w:asciiTheme="minorHAnsi" w:hAnsiTheme="minorHAnsi"/>
                <w:bCs/>
                <w:sz w:val="20"/>
                <w:szCs w:val="20"/>
              </w:rPr>
            </w:pPr>
            <w:r w:rsidRPr="0014553D">
              <w:rPr>
                <w:rFonts w:asciiTheme="minorHAnsi" w:hAnsiTheme="minorHAnsi"/>
                <w:bCs/>
                <w:sz w:val="20"/>
                <w:szCs w:val="20"/>
              </w:rPr>
              <w:t>Сите институции (во консултација со Бирото за јавни набавки), Агенција за странски инвестиции</w:t>
            </w:r>
          </w:p>
        </w:tc>
      </w:tr>
      <w:tr w:rsidR="00AB5DC7" w:rsidTr="006438AE">
        <w:trPr>
          <w:trHeight w:val="625"/>
        </w:trPr>
        <w:tc>
          <w:tcPr>
            <w:tcW w:w="1803" w:type="dxa"/>
            <w:vMerge/>
          </w:tcPr>
          <w:p w:rsidR="00AB5DC7" w:rsidRPr="00381F72" w:rsidRDefault="00AB5DC7" w:rsidP="00AB5DC7">
            <w:pPr>
              <w:spacing w:before="240"/>
              <w:jc w:val="both"/>
              <w:rPr>
                <w:color w:val="878786"/>
                <w:spacing w:val="-6"/>
                <w:w w:val="124"/>
                <w:sz w:val="18"/>
                <w:szCs w:val="18"/>
                <w:lang w:val="mk-MK"/>
              </w:rPr>
            </w:pPr>
          </w:p>
        </w:tc>
        <w:tc>
          <w:tcPr>
            <w:tcW w:w="2140" w:type="dxa"/>
          </w:tcPr>
          <w:p w:rsidR="00AB5DC7" w:rsidRPr="00381F72" w:rsidRDefault="00AB5DC7" w:rsidP="00AB5DC7">
            <w:pPr>
              <w:pStyle w:val="ListParagraph"/>
              <w:spacing w:before="240"/>
              <w:ind w:left="0"/>
              <w:jc w:val="both"/>
              <w:rPr>
                <w:color w:val="878786"/>
                <w:spacing w:val="-6"/>
                <w:w w:val="124"/>
                <w:sz w:val="18"/>
                <w:szCs w:val="18"/>
                <w:lang w:val="mk-MK"/>
              </w:rPr>
            </w:pPr>
            <w:r w:rsidRPr="00381F72">
              <w:rPr>
                <w:color w:val="878786"/>
                <w:spacing w:val="-6"/>
                <w:w w:val="124"/>
                <w:sz w:val="18"/>
                <w:szCs w:val="18"/>
                <w:lang w:val="mk-MK"/>
              </w:rPr>
              <w:t xml:space="preserve">ЦСО, приватен сектор,работни групи,мултилатерали  </w:t>
            </w:r>
          </w:p>
        </w:tc>
        <w:tc>
          <w:tcPr>
            <w:tcW w:w="6767" w:type="dxa"/>
            <w:gridSpan w:val="5"/>
          </w:tcPr>
          <w:p w:rsidR="00AB5DC7" w:rsidRPr="0014553D" w:rsidRDefault="00AB5DC7" w:rsidP="00AB5DC7">
            <w:pPr>
              <w:pStyle w:val="Default"/>
              <w:spacing w:before="240" w:after="200"/>
              <w:rPr>
                <w:rFonts w:asciiTheme="minorHAnsi" w:hAnsiTheme="minorHAnsi"/>
                <w:bCs/>
                <w:sz w:val="20"/>
                <w:szCs w:val="20"/>
              </w:rPr>
            </w:pPr>
            <w:r w:rsidRPr="0014553D">
              <w:rPr>
                <w:rFonts w:asciiTheme="minorHAnsi" w:hAnsiTheme="minorHAnsi"/>
                <w:bCs/>
                <w:sz w:val="20"/>
                <w:szCs w:val="20"/>
              </w:rPr>
              <w:t>Центар за граѓански комуникации</w:t>
            </w:r>
          </w:p>
          <w:p w:rsidR="00AB5DC7" w:rsidRPr="0014553D" w:rsidRDefault="00AB5DC7" w:rsidP="00AB5DC7">
            <w:pPr>
              <w:pStyle w:val="Default"/>
              <w:spacing w:before="240" w:after="200"/>
              <w:rPr>
                <w:rFonts w:asciiTheme="minorHAnsi" w:hAnsiTheme="minorHAnsi"/>
                <w:bCs/>
                <w:sz w:val="20"/>
                <w:szCs w:val="20"/>
              </w:rPr>
            </w:pPr>
            <w:r w:rsidRPr="0014553D">
              <w:rPr>
                <w:rFonts w:asciiTheme="minorHAnsi" w:hAnsiTheme="minorHAnsi"/>
                <w:bCs/>
                <w:sz w:val="20"/>
                <w:szCs w:val="20"/>
              </w:rPr>
              <w:t>Центар за истражување и креирање политики</w:t>
            </w:r>
          </w:p>
          <w:p w:rsidR="00AB5DC7" w:rsidRPr="0014553D" w:rsidRDefault="00AB5DC7" w:rsidP="00AB5DC7">
            <w:pPr>
              <w:pStyle w:val="Default"/>
              <w:spacing w:before="240" w:after="200"/>
              <w:rPr>
                <w:rFonts w:asciiTheme="minorHAnsi" w:hAnsiTheme="minorHAnsi"/>
                <w:bCs/>
                <w:sz w:val="20"/>
                <w:szCs w:val="20"/>
              </w:rPr>
            </w:pPr>
            <w:r w:rsidRPr="0014553D">
              <w:rPr>
                <w:rFonts w:asciiTheme="minorHAnsi" w:hAnsiTheme="minorHAnsi"/>
                <w:bCs/>
                <w:sz w:val="20"/>
                <w:szCs w:val="20"/>
              </w:rPr>
              <w:t>Здружението за еманципација, солидарност и еднаквост на жените во РМ</w:t>
            </w:r>
          </w:p>
          <w:p w:rsidR="00AB5DC7" w:rsidRPr="0014553D" w:rsidRDefault="00AB5DC7" w:rsidP="00AB5DC7">
            <w:pPr>
              <w:pStyle w:val="Default"/>
              <w:spacing w:before="240" w:after="200"/>
              <w:rPr>
                <w:rFonts w:asciiTheme="minorHAnsi" w:hAnsiTheme="minorHAnsi"/>
                <w:bCs/>
                <w:sz w:val="20"/>
                <w:szCs w:val="20"/>
              </w:rPr>
            </w:pPr>
            <w:r w:rsidRPr="0014553D">
              <w:rPr>
                <w:rFonts w:asciiTheme="minorHAnsi" w:hAnsiTheme="minorHAnsi"/>
                <w:bCs/>
                <w:sz w:val="20"/>
                <w:szCs w:val="20"/>
              </w:rPr>
              <w:t>Институт за демократија-Социетас Цивилис - Скопје</w:t>
            </w:r>
          </w:p>
        </w:tc>
      </w:tr>
      <w:tr w:rsidR="00AB5DC7" w:rsidTr="006438AE">
        <w:tc>
          <w:tcPr>
            <w:tcW w:w="3943" w:type="dxa"/>
            <w:gridSpan w:val="2"/>
          </w:tcPr>
          <w:p w:rsidR="00AB5DC7" w:rsidRPr="00381F72" w:rsidRDefault="00AB5DC7" w:rsidP="002133FA">
            <w:pPr>
              <w:jc w:val="both"/>
              <w:rPr>
                <w:color w:val="878786"/>
                <w:spacing w:val="-6"/>
                <w:w w:val="124"/>
                <w:sz w:val="18"/>
                <w:szCs w:val="18"/>
                <w:lang w:val="mk-MK"/>
              </w:rPr>
            </w:pPr>
            <w:r w:rsidRPr="00381F72">
              <w:rPr>
                <w:color w:val="878786"/>
                <w:spacing w:val="-6"/>
                <w:w w:val="124"/>
                <w:sz w:val="18"/>
                <w:szCs w:val="18"/>
                <w:lang w:val="mk-MK"/>
              </w:rPr>
              <w:t>Главна цел</w:t>
            </w:r>
          </w:p>
        </w:tc>
        <w:tc>
          <w:tcPr>
            <w:tcW w:w="6767" w:type="dxa"/>
            <w:gridSpan w:val="5"/>
          </w:tcPr>
          <w:p w:rsidR="00AB5DC7" w:rsidRPr="0014553D" w:rsidRDefault="00AB5DC7" w:rsidP="005909F7">
            <w:pPr>
              <w:pStyle w:val="Default"/>
              <w:spacing w:after="200"/>
              <w:rPr>
                <w:rFonts w:asciiTheme="minorHAnsi" w:hAnsiTheme="minorHAnsi"/>
                <w:bCs/>
                <w:sz w:val="20"/>
                <w:szCs w:val="20"/>
              </w:rPr>
            </w:pPr>
            <w:r w:rsidRPr="0014553D">
              <w:rPr>
                <w:rFonts w:asciiTheme="minorHAnsi" w:hAnsiTheme="minorHAnsi"/>
                <w:bCs/>
                <w:sz w:val="20"/>
                <w:szCs w:val="20"/>
              </w:rPr>
              <w:t xml:space="preserve">Унапредување на фискалната транспарентност </w:t>
            </w:r>
          </w:p>
        </w:tc>
      </w:tr>
      <w:tr w:rsidR="00AB5DC7" w:rsidTr="006438AE">
        <w:tc>
          <w:tcPr>
            <w:tcW w:w="3943" w:type="dxa"/>
            <w:gridSpan w:val="2"/>
          </w:tcPr>
          <w:p w:rsidR="00AB5DC7" w:rsidRPr="00381F72" w:rsidRDefault="00AB5DC7" w:rsidP="002133FA">
            <w:pPr>
              <w:jc w:val="both"/>
              <w:rPr>
                <w:color w:val="878786"/>
                <w:spacing w:val="-6"/>
                <w:w w:val="124"/>
                <w:sz w:val="18"/>
                <w:szCs w:val="18"/>
                <w:lang w:val="mk-MK"/>
              </w:rPr>
            </w:pPr>
            <w:r w:rsidRPr="00381F72">
              <w:rPr>
                <w:color w:val="878786"/>
                <w:spacing w:val="-6"/>
                <w:w w:val="124"/>
                <w:sz w:val="18"/>
                <w:szCs w:val="18"/>
                <w:lang w:val="mk-MK"/>
              </w:rPr>
              <w:t>Краток опис на заложбата (макс 140 карактери)</w:t>
            </w:r>
          </w:p>
        </w:tc>
        <w:tc>
          <w:tcPr>
            <w:tcW w:w="6767" w:type="dxa"/>
            <w:gridSpan w:val="5"/>
          </w:tcPr>
          <w:p w:rsidR="00AB5DC7" w:rsidRPr="0014553D" w:rsidRDefault="00AB5DC7" w:rsidP="005909F7">
            <w:pPr>
              <w:pStyle w:val="Default"/>
              <w:spacing w:after="200"/>
              <w:rPr>
                <w:rFonts w:asciiTheme="minorHAnsi" w:hAnsiTheme="minorHAnsi"/>
                <w:bCs/>
                <w:sz w:val="20"/>
                <w:szCs w:val="20"/>
              </w:rPr>
            </w:pPr>
            <w:r w:rsidRPr="0014553D">
              <w:rPr>
                <w:rFonts w:asciiTheme="minorHAnsi" w:hAnsiTheme="minorHAnsi"/>
                <w:bCs/>
                <w:sz w:val="20"/>
                <w:szCs w:val="20"/>
              </w:rPr>
              <w:t xml:space="preserve">Публикување на буџетски документи во отворен формат </w:t>
            </w:r>
          </w:p>
          <w:p w:rsidR="00AB5DC7" w:rsidRPr="0014553D" w:rsidRDefault="00AB5DC7" w:rsidP="005909F7">
            <w:pPr>
              <w:pStyle w:val="Default"/>
              <w:spacing w:after="200"/>
              <w:rPr>
                <w:rFonts w:asciiTheme="minorHAnsi" w:hAnsiTheme="minorHAnsi"/>
                <w:bCs/>
                <w:sz w:val="20"/>
                <w:szCs w:val="20"/>
              </w:rPr>
            </w:pPr>
            <w:r w:rsidRPr="0014553D">
              <w:rPr>
                <w:rFonts w:asciiTheme="minorHAnsi" w:hAnsiTheme="minorHAnsi"/>
                <w:bCs/>
                <w:sz w:val="20"/>
                <w:szCs w:val="20"/>
              </w:rPr>
              <w:t xml:space="preserve">Објавување и наративно објаснување на реализацијата на здравствените програми. Објавување на стандардизирани информации за јавните набавки на интернет страните на договорните органи </w:t>
            </w:r>
          </w:p>
          <w:p w:rsidR="00AB5DC7" w:rsidRPr="0014553D" w:rsidRDefault="00AB5DC7" w:rsidP="005909F7">
            <w:pPr>
              <w:pStyle w:val="Default"/>
              <w:spacing w:after="200"/>
              <w:rPr>
                <w:rFonts w:asciiTheme="minorHAnsi" w:hAnsiTheme="minorHAnsi"/>
                <w:bCs/>
                <w:sz w:val="20"/>
                <w:szCs w:val="20"/>
              </w:rPr>
            </w:pPr>
            <w:r w:rsidRPr="0014553D">
              <w:rPr>
                <w:rFonts w:asciiTheme="minorHAnsi" w:hAnsiTheme="minorHAnsi"/>
                <w:bCs/>
                <w:sz w:val="20"/>
                <w:szCs w:val="20"/>
              </w:rPr>
              <w:t>Објавување на податоци за странски инвестиции и за странска помош кои обезбедуваат поголема транспарентност</w:t>
            </w:r>
          </w:p>
        </w:tc>
      </w:tr>
      <w:tr w:rsidR="00AB5DC7" w:rsidTr="006438AE">
        <w:tc>
          <w:tcPr>
            <w:tcW w:w="3943" w:type="dxa"/>
            <w:gridSpan w:val="2"/>
          </w:tcPr>
          <w:p w:rsidR="00AB5DC7" w:rsidRPr="00381F72" w:rsidRDefault="00AB5DC7" w:rsidP="002133FA">
            <w:pPr>
              <w:jc w:val="both"/>
              <w:rPr>
                <w:color w:val="878786"/>
                <w:spacing w:val="-6"/>
                <w:w w:val="124"/>
                <w:sz w:val="18"/>
                <w:szCs w:val="18"/>
                <w:lang w:val="mk-MK"/>
              </w:rPr>
            </w:pPr>
            <w:r w:rsidRPr="00381F72">
              <w:rPr>
                <w:color w:val="878786"/>
                <w:spacing w:val="-6"/>
                <w:w w:val="124"/>
                <w:sz w:val="18"/>
                <w:szCs w:val="18"/>
                <w:lang w:val="mk-MK"/>
              </w:rPr>
              <w:t>Релевантност</w:t>
            </w:r>
          </w:p>
          <w:p w:rsidR="00AB5DC7" w:rsidRPr="00381F72" w:rsidRDefault="00AB5DC7" w:rsidP="002133FA">
            <w:pPr>
              <w:jc w:val="both"/>
              <w:rPr>
                <w:color w:val="878786"/>
                <w:spacing w:val="-6"/>
                <w:w w:val="124"/>
                <w:sz w:val="18"/>
                <w:szCs w:val="18"/>
                <w:lang w:val="mk-MK"/>
              </w:rPr>
            </w:pPr>
            <w:r w:rsidRPr="00381F72">
              <w:rPr>
                <w:color w:val="878786"/>
                <w:spacing w:val="-6"/>
                <w:w w:val="124"/>
                <w:sz w:val="18"/>
                <w:szCs w:val="18"/>
                <w:lang w:val="mk-MK"/>
              </w:rPr>
              <w:t xml:space="preserve">Накратко опишете го начинот на кој оваа заложба е релевантна за понатамошно </w:t>
            </w:r>
            <w:r w:rsidRPr="00381F72">
              <w:rPr>
                <w:color w:val="878786"/>
                <w:spacing w:val="-6"/>
                <w:w w:val="124"/>
                <w:sz w:val="18"/>
                <w:szCs w:val="18"/>
                <w:lang w:val="mk-MK"/>
              </w:rPr>
              <w:lastRenderedPageBreak/>
              <w:t>унапредување на вредностите на ОВП,</w:t>
            </w:r>
          </w:p>
          <w:p w:rsidR="00AB5DC7" w:rsidRPr="00381F72" w:rsidRDefault="00AB5DC7" w:rsidP="002133FA">
            <w:pPr>
              <w:pStyle w:val="ListParagraph"/>
              <w:ind w:left="0"/>
              <w:jc w:val="both"/>
              <w:rPr>
                <w:color w:val="878786"/>
                <w:spacing w:val="-6"/>
                <w:w w:val="124"/>
                <w:sz w:val="18"/>
                <w:szCs w:val="18"/>
                <w:lang w:val="mk-MK"/>
              </w:rPr>
            </w:pPr>
            <w:r w:rsidRPr="00381F72">
              <w:rPr>
                <w:color w:val="878786"/>
                <w:spacing w:val="-6"/>
                <w:w w:val="124"/>
                <w:sz w:val="18"/>
                <w:szCs w:val="18"/>
                <w:lang w:val="mk-MK"/>
              </w:rPr>
              <w:t>на пристап до информации, јавна одговорност, граѓанско учество, и технологија и иновации за отвореност и одговорност. (Детален опис на овие вредности е достапна во Забелешка за насоки во врска со Извештајот за ОВП)</w:t>
            </w:r>
          </w:p>
        </w:tc>
        <w:tc>
          <w:tcPr>
            <w:tcW w:w="6767" w:type="dxa"/>
            <w:gridSpan w:val="5"/>
          </w:tcPr>
          <w:p w:rsidR="00AB5DC7" w:rsidRPr="0014553D" w:rsidRDefault="00AB5DC7" w:rsidP="005909F7">
            <w:pPr>
              <w:pStyle w:val="Default"/>
              <w:spacing w:after="200"/>
              <w:rPr>
                <w:rFonts w:asciiTheme="minorHAnsi" w:hAnsiTheme="minorHAnsi"/>
                <w:bCs/>
                <w:sz w:val="20"/>
                <w:szCs w:val="20"/>
              </w:rPr>
            </w:pPr>
            <w:r w:rsidRPr="0014553D">
              <w:rPr>
                <w:rFonts w:asciiTheme="minorHAnsi" w:hAnsiTheme="minorHAnsi"/>
                <w:bCs/>
                <w:sz w:val="20"/>
                <w:szCs w:val="20"/>
              </w:rPr>
              <w:lastRenderedPageBreak/>
              <w:t xml:space="preserve">Релеватно е за зголемување на транспарентноста и отчетноста на институциите во однос на трошењето на јавните пари како и на </w:t>
            </w:r>
            <w:r w:rsidRPr="0014553D">
              <w:rPr>
                <w:rFonts w:asciiTheme="minorHAnsi" w:hAnsiTheme="minorHAnsi"/>
                <w:bCs/>
                <w:sz w:val="20"/>
                <w:szCs w:val="20"/>
              </w:rPr>
              <w:lastRenderedPageBreak/>
              <w:t>транспарентноста на добиената странска  помош и влезените странски  инвестиции преку доближување на буџетските информации  и  на информациите за странската помош и странските инвестиции до пошироката јавност, како и поголема транспарентност на постапките за јавните набавки</w:t>
            </w:r>
            <w:r>
              <w:rPr>
                <w:rFonts w:asciiTheme="minorHAnsi" w:hAnsiTheme="minorHAnsi"/>
                <w:bCs/>
                <w:sz w:val="20"/>
                <w:szCs w:val="20"/>
              </w:rPr>
              <w:t>.</w:t>
            </w:r>
          </w:p>
        </w:tc>
      </w:tr>
      <w:tr w:rsidR="00AB5DC7" w:rsidTr="00AB5DC7">
        <w:trPr>
          <w:trHeight w:val="2557"/>
        </w:trPr>
        <w:tc>
          <w:tcPr>
            <w:tcW w:w="3943" w:type="dxa"/>
            <w:gridSpan w:val="2"/>
            <w:tcBorders>
              <w:bottom w:val="single" w:sz="4" w:space="0" w:color="auto"/>
            </w:tcBorders>
          </w:tcPr>
          <w:p w:rsidR="00AB5DC7" w:rsidRPr="00381F72" w:rsidRDefault="00AB5DC7" w:rsidP="002133FA">
            <w:pPr>
              <w:jc w:val="both"/>
              <w:rPr>
                <w:color w:val="878786"/>
                <w:spacing w:val="-6"/>
                <w:w w:val="124"/>
                <w:sz w:val="18"/>
                <w:szCs w:val="18"/>
                <w:lang w:val="mk-MK"/>
              </w:rPr>
            </w:pPr>
            <w:r w:rsidRPr="00381F72">
              <w:rPr>
                <w:color w:val="878786"/>
                <w:spacing w:val="-6"/>
                <w:w w:val="124"/>
                <w:sz w:val="18"/>
                <w:szCs w:val="18"/>
                <w:lang w:val="mk-MK"/>
              </w:rPr>
              <w:lastRenderedPageBreak/>
              <w:t>Амбиција</w:t>
            </w:r>
          </w:p>
          <w:p w:rsidR="00AB5DC7" w:rsidRPr="00381F72" w:rsidRDefault="00AB5DC7" w:rsidP="002133FA">
            <w:pPr>
              <w:pStyle w:val="ListParagraph"/>
              <w:ind w:left="0"/>
              <w:jc w:val="both"/>
              <w:rPr>
                <w:color w:val="878786"/>
                <w:spacing w:val="-6"/>
                <w:w w:val="124"/>
                <w:sz w:val="18"/>
                <w:szCs w:val="18"/>
                <w:lang w:val="mk-MK"/>
              </w:rPr>
            </w:pPr>
            <w:r w:rsidRPr="00381F72">
              <w:rPr>
                <w:color w:val="878786"/>
                <w:spacing w:val="-6"/>
                <w:w w:val="124"/>
                <w:sz w:val="18"/>
                <w:szCs w:val="18"/>
                <w:lang w:val="mk-MK"/>
              </w:rPr>
              <w:t>Накратко опишете ги планираните резултати за политика на посветеност и тоа како таа или ќе ја направи владата поотворена или ќе ја подобри Владата преку поголема отвореност.</w:t>
            </w:r>
          </w:p>
        </w:tc>
        <w:tc>
          <w:tcPr>
            <w:tcW w:w="6767" w:type="dxa"/>
            <w:gridSpan w:val="5"/>
            <w:tcBorders>
              <w:bottom w:val="single" w:sz="4" w:space="0" w:color="auto"/>
            </w:tcBorders>
          </w:tcPr>
          <w:p w:rsidR="00AB5DC7" w:rsidRDefault="00AB5DC7" w:rsidP="00AB5DC7">
            <w:pPr>
              <w:pStyle w:val="Default"/>
              <w:numPr>
                <w:ilvl w:val="0"/>
                <w:numId w:val="7"/>
              </w:numPr>
              <w:spacing w:after="200"/>
              <w:rPr>
                <w:rFonts w:asciiTheme="minorHAnsi" w:hAnsiTheme="minorHAnsi"/>
                <w:bCs/>
                <w:sz w:val="20"/>
                <w:szCs w:val="20"/>
              </w:rPr>
            </w:pPr>
            <w:r w:rsidRPr="0014553D">
              <w:rPr>
                <w:rFonts w:asciiTheme="minorHAnsi" w:hAnsiTheme="minorHAnsi"/>
                <w:bCs/>
                <w:sz w:val="20"/>
                <w:szCs w:val="20"/>
              </w:rPr>
              <w:t>Континуирано публикување на буџетски документи во отворен формат.</w:t>
            </w:r>
          </w:p>
          <w:p w:rsidR="00AB5DC7" w:rsidRPr="0014553D" w:rsidRDefault="00AB5DC7" w:rsidP="00AB5DC7">
            <w:pPr>
              <w:pStyle w:val="Default"/>
              <w:numPr>
                <w:ilvl w:val="0"/>
                <w:numId w:val="7"/>
              </w:numPr>
              <w:spacing w:after="200"/>
              <w:rPr>
                <w:rFonts w:asciiTheme="minorHAnsi" w:hAnsiTheme="minorHAnsi"/>
                <w:bCs/>
                <w:sz w:val="20"/>
                <w:szCs w:val="20"/>
              </w:rPr>
            </w:pPr>
            <w:r w:rsidRPr="0014553D">
              <w:rPr>
                <w:rFonts w:asciiTheme="minorHAnsi" w:hAnsiTheme="minorHAnsi"/>
                <w:bCs/>
                <w:sz w:val="20"/>
                <w:szCs w:val="20"/>
              </w:rPr>
              <w:t xml:space="preserve">Континуирано објавување и наративно објаснување на реализацијата на здравствените програми. </w:t>
            </w:r>
          </w:p>
          <w:p w:rsidR="00AB5DC7" w:rsidRPr="0014553D" w:rsidRDefault="00AB5DC7" w:rsidP="00AB5DC7">
            <w:pPr>
              <w:pStyle w:val="Default"/>
              <w:numPr>
                <w:ilvl w:val="0"/>
                <w:numId w:val="7"/>
              </w:numPr>
              <w:spacing w:after="200"/>
              <w:rPr>
                <w:rFonts w:asciiTheme="minorHAnsi" w:hAnsiTheme="minorHAnsi"/>
                <w:bCs/>
                <w:sz w:val="20"/>
                <w:szCs w:val="20"/>
              </w:rPr>
            </w:pPr>
            <w:r w:rsidRPr="0014553D">
              <w:rPr>
                <w:rFonts w:asciiTheme="minorHAnsi" w:hAnsiTheme="minorHAnsi"/>
                <w:bCs/>
                <w:sz w:val="20"/>
                <w:szCs w:val="20"/>
              </w:rPr>
              <w:t xml:space="preserve">Континуирано објавување на стандардизирани информации за јавните набавки на интернет страните на договорните органи. </w:t>
            </w:r>
          </w:p>
          <w:p w:rsidR="00AB5DC7" w:rsidRPr="00AB5DC7" w:rsidRDefault="00AB5DC7" w:rsidP="00AB5DC7">
            <w:pPr>
              <w:pStyle w:val="ListParagraph"/>
              <w:numPr>
                <w:ilvl w:val="0"/>
                <w:numId w:val="7"/>
              </w:numPr>
              <w:jc w:val="both"/>
              <w:rPr>
                <w:color w:val="878786"/>
                <w:spacing w:val="-6"/>
                <w:w w:val="124"/>
                <w:sz w:val="18"/>
                <w:szCs w:val="18"/>
                <w:lang w:val="mk-MK"/>
              </w:rPr>
            </w:pPr>
            <w:r w:rsidRPr="00AB5DC7">
              <w:rPr>
                <w:bCs/>
                <w:sz w:val="20"/>
                <w:szCs w:val="20"/>
                <w:lang w:val="mk-MK"/>
              </w:rPr>
              <w:t>Континуирано објавување на податоци за странски инвестиции и за странска помош коиобезбедуваат поголема транспарентност</w:t>
            </w:r>
          </w:p>
        </w:tc>
      </w:tr>
      <w:tr w:rsidR="00AB5DC7" w:rsidTr="002133FA">
        <w:tc>
          <w:tcPr>
            <w:tcW w:w="10710" w:type="dxa"/>
            <w:gridSpan w:val="7"/>
            <w:shd w:val="clear" w:color="auto" w:fill="BFBFBF" w:themeFill="background1" w:themeFillShade="BF"/>
          </w:tcPr>
          <w:p w:rsidR="00AB5DC7" w:rsidRPr="00381F72" w:rsidRDefault="00AB5DC7" w:rsidP="002133FA">
            <w:pPr>
              <w:jc w:val="both"/>
              <w:rPr>
                <w:color w:val="878786"/>
                <w:spacing w:val="-6"/>
                <w:w w:val="124"/>
                <w:sz w:val="18"/>
                <w:szCs w:val="18"/>
                <w:lang w:val="mk-MK"/>
              </w:rPr>
            </w:pPr>
          </w:p>
        </w:tc>
      </w:tr>
      <w:tr w:rsidR="00AB5DC7" w:rsidTr="006438AE">
        <w:trPr>
          <w:trHeight w:val="435"/>
        </w:trPr>
        <w:tc>
          <w:tcPr>
            <w:tcW w:w="3960" w:type="dxa"/>
            <w:gridSpan w:val="3"/>
            <w:vMerge w:val="restart"/>
          </w:tcPr>
          <w:p w:rsidR="00AB5DC7" w:rsidRPr="00381F72" w:rsidRDefault="00AB5DC7" w:rsidP="002133FA">
            <w:pPr>
              <w:jc w:val="both"/>
              <w:rPr>
                <w:color w:val="878786"/>
                <w:spacing w:val="-6"/>
                <w:w w:val="124"/>
                <w:sz w:val="18"/>
                <w:szCs w:val="18"/>
                <w:lang w:val="mk-MK"/>
              </w:rPr>
            </w:pPr>
          </w:p>
          <w:p w:rsidR="00AB5DC7" w:rsidRPr="00381F72" w:rsidRDefault="00AB5DC7" w:rsidP="002133FA">
            <w:pPr>
              <w:jc w:val="both"/>
              <w:rPr>
                <w:color w:val="878786"/>
                <w:spacing w:val="-6"/>
                <w:w w:val="124"/>
                <w:sz w:val="18"/>
                <w:szCs w:val="18"/>
                <w:lang w:val="mk-MK"/>
              </w:rPr>
            </w:pPr>
            <w:r w:rsidRPr="00381F72">
              <w:rPr>
                <w:color w:val="878786"/>
                <w:spacing w:val="-6"/>
                <w:w w:val="124"/>
                <w:sz w:val="18"/>
                <w:szCs w:val="18"/>
                <w:lang w:val="mk-MK"/>
              </w:rPr>
              <w:t>Ниво на проект</w:t>
            </w:r>
          </w:p>
          <w:p w:rsidR="00AB5DC7" w:rsidRPr="00381F72" w:rsidRDefault="00AB5DC7" w:rsidP="002133FA">
            <w:pPr>
              <w:jc w:val="both"/>
              <w:rPr>
                <w:color w:val="878786"/>
                <w:spacing w:val="-6"/>
                <w:w w:val="124"/>
                <w:sz w:val="18"/>
                <w:szCs w:val="18"/>
                <w:lang w:val="mk-MK"/>
              </w:rPr>
            </w:pPr>
          </w:p>
        </w:tc>
        <w:tc>
          <w:tcPr>
            <w:tcW w:w="1627" w:type="dxa"/>
          </w:tcPr>
          <w:p w:rsidR="00AB5DC7" w:rsidRPr="00381F72" w:rsidRDefault="00AB5DC7" w:rsidP="002133FA">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AB5DC7" w:rsidRPr="00381F72" w:rsidRDefault="00AB5DC7" w:rsidP="002133FA">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AB5DC7" w:rsidRPr="00381F72" w:rsidRDefault="00AB5DC7" w:rsidP="002133FA">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AB5DC7" w:rsidRPr="00381F72" w:rsidRDefault="00AB5DC7" w:rsidP="002133FA">
            <w:pPr>
              <w:jc w:val="both"/>
              <w:rPr>
                <w:color w:val="878786"/>
                <w:spacing w:val="-6"/>
                <w:w w:val="124"/>
                <w:sz w:val="18"/>
                <w:szCs w:val="18"/>
                <w:lang w:val="mk-MK"/>
              </w:rPr>
            </w:pPr>
            <w:r>
              <w:rPr>
                <w:color w:val="878786"/>
                <w:spacing w:val="-6"/>
                <w:w w:val="124"/>
                <w:sz w:val="18"/>
                <w:szCs w:val="18"/>
                <w:lang w:val="mk-MK"/>
              </w:rPr>
              <w:t>завршено</w:t>
            </w:r>
          </w:p>
        </w:tc>
      </w:tr>
      <w:tr w:rsidR="00AB5DC7" w:rsidTr="00AB5DC7">
        <w:trPr>
          <w:trHeight w:val="367"/>
        </w:trPr>
        <w:tc>
          <w:tcPr>
            <w:tcW w:w="3960" w:type="dxa"/>
            <w:gridSpan w:val="3"/>
            <w:vMerge/>
          </w:tcPr>
          <w:p w:rsidR="00AB5DC7" w:rsidRPr="00381F72" w:rsidRDefault="00AB5DC7" w:rsidP="002133FA">
            <w:pPr>
              <w:jc w:val="both"/>
              <w:rPr>
                <w:color w:val="878786"/>
                <w:spacing w:val="-6"/>
                <w:w w:val="124"/>
                <w:sz w:val="18"/>
                <w:szCs w:val="18"/>
                <w:lang w:val="mk-MK"/>
              </w:rPr>
            </w:pPr>
          </w:p>
        </w:tc>
        <w:tc>
          <w:tcPr>
            <w:tcW w:w="1627" w:type="dxa"/>
          </w:tcPr>
          <w:p w:rsidR="00AB5DC7" w:rsidRPr="00381F72" w:rsidRDefault="00AB5DC7" w:rsidP="002133FA">
            <w:pPr>
              <w:jc w:val="both"/>
              <w:rPr>
                <w:color w:val="878786"/>
                <w:spacing w:val="-6"/>
                <w:w w:val="124"/>
                <w:sz w:val="18"/>
                <w:szCs w:val="18"/>
                <w:lang w:val="mk-MK"/>
              </w:rPr>
            </w:pPr>
          </w:p>
        </w:tc>
        <w:tc>
          <w:tcPr>
            <w:tcW w:w="1724" w:type="dxa"/>
          </w:tcPr>
          <w:p w:rsidR="00AB5DC7" w:rsidRPr="00381F72" w:rsidRDefault="00AB5DC7" w:rsidP="002133FA">
            <w:pPr>
              <w:jc w:val="both"/>
              <w:rPr>
                <w:color w:val="878786"/>
                <w:spacing w:val="-6"/>
                <w:w w:val="124"/>
                <w:sz w:val="18"/>
                <w:szCs w:val="18"/>
                <w:lang w:val="mk-MK"/>
              </w:rPr>
            </w:pPr>
          </w:p>
        </w:tc>
        <w:tc>
          <w:tcPr>
            <w:tcW w:w="1564" w:type="dxa"/>
            <w:shd w:val="clear" w:color="auto" w:fill="548DD4" w:themeFill="text2" w:themeFillTint="99"/>
          </w:tcPr>
          <w:p w:rsidR="00AB5DC7" w:rsidRPr="00381F72" w:rsidRDefault="00AB5DC7" w:rsidP="002133FA">
            <w:pPr>
              <w:jc w:val="both"/>
              <w:rPr>
                <w:color w:val="878786"/>
                <w:spacing w:val="-6"/>
                <w:w w:val="124"/>
                <w:sz w:val="18"/>
                <w:szCs w:val="18"/>
                <w:lang w:val="mk-MK"/>
              </w:rPr>
            </w:pPr>
          </w:p>
        </w:tc>
        <w:tc>
          <w:tcPr>
            <w:tcW w:w="1835" w:type="dxa"/>
          </w:tcPr>
          <w:p w:rsidR="00AB5DC7" w:rsidRPr="00381F72" w:rsidRDefault="00AB5DC7" w:rsidP="002133FA">
            <w:pPr>
              <w:jc w:val="both"/>
              <w:rPr>
                <w:color w:val="878786"/>
                <w:spacing w:val="-6"/>
                <w:w w:val="124"/>
                <w:sz w:val="18"/>
                <w:szCs w:val="18"/>
                <w:lang w:val="mk-MK"/>
              </w:rPr>
            </w:pPr>
          </w:p>
        </w:tc>
      </w:tr>
      <w:tr w:rsidR="00AB5DC7" w:rsidTr="006438AE">
        <w:tc>
          <w:tcPr>
            <w:tcW w:w="3960" w:type="dxa"/>
            <w:gridSpan w:val="3"/>
          </w:tcPr>
          <w:p w:rsidR="00AB5DC7" w:rsidRPr="00381F72" w:rsidRDefault="00AB5DC7" w:rsidP="002133FA">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AB5DC7" w:rsidRPr="00381F72" w:rsidRDefault="00AB5DC7" w:rsidP="002133FA">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AB5DC7" w:rsidRPr="00C77603" w:rsidRDefault="00AB5DC7" w:rsidP="005909F7">
            <w:pPr>
              <w:pStyle w:val="Default"/>
              <w:spacing w:after="200"/>
              <w:rPr>
                <w:rFonts w:asciiTheme="minorHAnsi" w:hAnsiTheme="minorHAnsi"/>
                <w:b/>
                <w:bCs/>
                <w:sz w:val="20"/>
                <w:szCs w:val="20"/>
              </w:rPr>
            </w:pPr>
            <w:r w:rsidRPr="00C77603">
              <w:rPr>
                <w:rFonts w:asciiTheme="minorHAnsi" w:hAnsiTheme="minorHAnsi"/>
                <w:b/>
                <w:bCs/>
                <w:sz w:val="20"/>
                <w:szCs w:val="20"/>
              </w:rPr>
              <w:t>Мерка 1.  Спроведување на иницијативата за отворен буџет</w:t>
            </w:r>
          </w:p>
          <w:p w:rsidR="00AB5DC7" w:rsidRPr="0014553D" w:rsidRDefault="00AB5DC7" w:rsidP="005909F7">
            <w:pPr>
              <w:pStyle w:val="Default"/>
              <w:spacing w:after="200"/>
              <w:rPr>
                <w:rFonts w:asciiTheme="minorHAnsi" w:hAnsiTheme="minorHAnsi"/>
                <w:bCs/>
                <w:sz w:val="20"/>
                <w:szCs w:val="20"/>
              </w:rPr>
            </w:pPr>
            <w:r w:rsidRPr="0014553D">
              <w:rPr>
                <w:rFonts w:asciiTheme="minorHAnsi" w:hAnsiTheme="minorHAnsi"/>
                <w:bCs/>
                <w:sz w:val="20"/>
                <w:szCs w:val="20"/>
              </w:rPr>
              <w:t>а)  Министерството за финансии во јуни 2015 година го објави Буџетот на РМ за 2015 година во XML формат на својата официјална веб страна покрај во PDF форматот кој беше објавен на почетокот на годината. Исто така за прв пат во јули 2015 година во целосен облик е објавена Завршната сметка на Буџетот на РМ за 2014 година (покрај општиот дел објавен е и посебниот дел)</w:t>
            </w:r>
          </w:p>
          <w:p w:rsidR="00AB5DC7" w:rsidRPr="0014553D" w:rsidRDefault="00AB5DC7" w:rsidP="005909F7">
            <w:pPr>
              <w:pStyle w:val="Default"/>
              <w:spacing w:after="200"/>
              <w:rPr>
                <w:rFonts w:asciiTheme="minorHAnsi" w:hAnsiTheme="minorHAnsi"/>
                <w:bCs/>
                <w:sz w:val="20"/>
                <w:szCs w:val="20"/>
              </w:rPr>
            </w:pPr>
            <w:r w:rsidRPr="0014553D">
              <w:rPr>
                <w:rFonts w:asciiTheme="minorHAnsi" w:hAnsiTheme="minorHAnsi"/>
                <w:bCs/>
                <w:sz w:val="20"/>
                <w:szCs w:val="20"/>
              </w:rPr>
              <w:t>б) Активностите поврзани со подготовка на Граѓански буџет во Министерството за финансии се отпочнати на почетокот на годината и сеуште се во тек. Имено, Министерството објави повик за јавна набавка по што беше извршен и избор на најповолен понудувач. Исто така е изготвена прва работна верзија на која се уште се работи.</w:t>
            </w:r>
          </w:p>
          <w:p w:rsidR="00AB5DC7" w:rsidRPr="0014553D" w:rsidRDefault="00AB5DC7" w:rsidP="005909F7">
            <w:pPr>
              <w:pStyle w:val="Default"/>
              <w:spacing w:after="200"/>
              <w:rPr>
                <w:rFonts w:asciiTheme="minorHAnsi" w:hAnsiTheme="minorHAnsi"/>
                <w:bCs/>
                <w:sz w:val="20"/>
                <w:szCs w:val="20"/>
              </w:rPr>
            </w:pPr>
            <w:r w:rsidRPr="0014553D">
              <w:rPr>
                <w:rFonts w:asciiTheme="minorHAnsi" w:hAnsiTheme="minorHAnsi"/>
                <w:bCs/>
                <w:sz w:val="20"/>
                <w:szCs w:val="20"/>
              </w:rPr>
              <w:t>в) Министерството за здравство во јули одржа состанок со претставници од Здружението за еманципација, солидарност и еднаквост на жените во РМ на кој е договорено Министерството за здравство до крај на август 2015 година да подготви прва верзија на извештајите за секоја здравствена програма кои потоа ќе бидат разгледани на заеднички состанок планиран за првата половина на септември 2015 година.</w:t>
            </w:r>
          </w:p>
        </w:tc>
      </w:tr>
      <w:tr w:rsidR="00AB5DC7" w:rsidTr="006438AE">
        <w:tc>
          <w:tcPr>
            <w:tcW w:w="3960" w:type="dxa"/>
            <w:gridSpan w:val="3"/>
          </w:tcPr>
          <w:p w:rsidR="00AB5DC7" w:rsidRPr="00381F72" w:rsidRDefault="00AB5DC7" w:rsidP="002133FA">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6750" w:type="dxa"/>
            <w:gridSpan w:val="4"/>
          </w:tcPr>
          <w:p w:rsidR="00AB5DC7" w:rsidRPr="0014553D" w:rsidRDefault="00AB5DC7" w:rsidP="005909F7">
            <w:pPr>
              <w:pStyle w:val="Default"/>
              <w:spacing w:after="200"/>
              <w:rPr>
                <w:rFonts w:asciiTheme="minorHAnsi" w:hAnsiTheme="minorHAnsi"/>
                <w:bCs/>
                <w:sz w:val="20"/>
                <w:szCs w:val="20"/>
              </w:rPr>
            </w:pPr>
            <w:r w:rsidRPr="0014553D">
              <w:rPr>
                <w:rFonts w:asciiTheme="minorHAnsi" w:hAnsiTheme="minorHAnsi"/>
                <w:bCs/>
                <w:sz w:val="20"/>
                <w:szCs w:val="20"/>
              </w:rPr>
              <w:t>Крајот на 2015 година</w:t>
            </w:r>
          </w:p>
        </w:tc>
      </w:tr>
      <w:tr w:rsidR="00AB5DC7" w:rsidTr="006438AE">
        <w:tc>
          <w:tcPr>
            <w:tcW w:w="3960" w:type="dxa"/>
            <w:gridSpan w:val="3"/>
          </w:tcPr>
          <w:p w:rsidR="00AB5DC7" w:rsidRPr="00381F72" w:rsidRDefault="00AB5DC7" w:rsidP="002133FA">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AB5DC7" w:rsidRPr="0014553D" w:rsidRDefault="00AB5DC7" w:rsidP="005909F7">
            <w:pPr>
              <w:pStyle w:val="Default"/>
              <w:spacing w:after="200"/>
              <w:rPr>
                <w:rFonts w:asciiTheme="minorHAnsi" w:hAnsiTheme="minorHAnsi"/>
                <w:bCs/>
                <w:sz w:val="20"/>
                <w:szCs w:val="20"/>
              </w:rPr>
            </w:pPr>
            <w:r w:rsidRPr="0014553D">
              <w:rPr>
                <w:rFonts w:asciiTheme="minorHAnsi" w:hAnsiTheme="minorHAnsi"/>
                <w:bCs/>
                <w:sz w:val="20"/>
                <w:szCs w:val="20"/>
              </w:rPr>
              <w:t>Министерството за финансии да ги објави Измените и дополнувањата на Буџетот на РМ за 2015 година во XML формат на својата официјална веб страна.</w:t>
            </w:r>
          </w:p>
          <w:p w:rsidR="00AB5DC7" w:rsidRPr="0014553D" w:rsidRDefault="00AB5DC7" w:rsidP="00AB5DC7">
            <w:pPr>
              <w:pStyle w:val="Default"/>
              <w:rPr>
                <w:rFonts w:asciiTheme="minorHAnsi" w:hAnsiTheme="minorHAnsi"/>
                <w:bCs/>
                <w:sz w:val="20"/>
                <w:szCs w:val="20"/>
              </w:rPr>
            </w:pPr>
            <w:r w:rsidRPr="0014553D">
              <w:rPr>
                <w:rFonts w:asciiTheme="minorHAnsi" w:hAnsiTheme="minorHAnsi"/>
                <w:bCs/>
                <w:sz w:val="20"/>
                <w:szCs w:val="20"/>
              </w:rPr>
              <w:t>Министерството за финансии да објави Граѓански буџет за 2015 година</w:t>
            </w:r>
          </w:p>
          <w:p w:rsidR="00AB5DC7" w:rsidRPr="0014553D" w:rsidRDefault="00AB5DC7" w:rsidP="005909F7">
            <w:pPr>
              <w:pStyle w:val="Default"/>
              <w:spacing w:after="200"/>
              <w:rPr>
                <w:rFonts w:asciiTheme="minorHAnsi" w:hAnsiTheme="minorHAnsi"/>
                <w:bCs/>
                <w:sz w:val="20"/>
                <w:szCs w:val="20"/>
              </w:rPr>
            </w:pPr>
            <w:r w:rsidRPr="0014553D">
              <w:rPr>
                <w:rFonts w:asciiTheme="minorHAnsi" w:hAnsiTheme="minorHAnsi"/>
                <w:bCs/>
                <w:sz w:val="20"/>
                <w:szCs w:val="20"/>
              </w:rPr>
              <w:t>Министерството за здравство да ги објави извештајите за реализација на здравствените програми.</w:t>
            </w:r>
          </w:p>
        </w:tc>
      </w:tr>
      <w:tr w:rsidR="00AB5DC7" w:rsidTr="002133FA">
        <w:tc>
          <w:tcPr>
            <w:tcW w:w="10710" w:type="dxa"/>
            <w:gridSpan w:val="7"/>
          </w:tcPr>
          <w:p w:rsidR="00AB5DC7" w:rsidRDefault="00AB5DC7" w:rsidP="002133FA">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w:t>
            </w:r>
            <w:r>
              <w:rPr>
                <w:color w:val="878786"/>
                <w:spacing w:val="-6"/>
                <w:w w:val="124"/>
                <w:sz w:val="18"/>
                <w:szCs w:val="18"/>
                <w:lang w:val="mk-MK"/>
              </w:rPr>
              <w:lastRenderedPageBreak/>
              <w:t xml:space="preserve">спроведување на </w:t>
            </w:r>
            <w:r w:rsidRPr="00026994">
              <w:rPr>
                <w:color w:val="878786"/>
                <w:spacing w:val="-6"/>
                <w:w w:val="124"/>
                <w:sz w:val="18"/>
                <w:szCs w:val="18"/>
                <w:lang w:val="mk-MK"/>
              </w:rPr>
              <w:t>обврската.)</w:t>
            </w:r>
          </w:p>
        </w:tc>
      </w:tr>
      <w:tr w:rsidR="00C77603" w:rsidTr="00C77603">
        <w:trPr>
          <w:trHeight w:val="435"/>
        </w:trPr>
        <w:tc>
          <w:tcPr>
            <w:tcW w:w="3960" w:type="dxa"/>
            <w:gridSpan w:val="3"/>
            <w:vMerge w:val="restart"/>
          </w:tcPr>
          <w:p w:rsidR="00C77603" w:rsidRPr="00381F72" w:rsidRDefault="00C77603" w:rsidP="005909F7">
            <w:pPr>
              <w:jc w:val="both"/>
              <w:rPr>
                <w:color w:val="878786"/>
                <w:spacing w:val="-6"/>
                <w:w w:val="124"/>
                <w:sz w:val="18"/>
                <w:szCs w:val="18"/>
                <w:lang w:val="mk-MK"/>
              </w:rPr>
            </w:pPr>
          </w:p>
          <w:p w:rsidR="00C77603" w:rsidRPr="00381F72" w:rsidRDefault="00C77603" w:rsidP="005909F7">
            <w:pPr>
              <w:jc w:val="both"/>
              <w:rPr>
                <w:color w:val="878786"/>
                <w:spacing w:val="-6"/>
                <w:w w:val="124"/>
                <w:sz w:val="18"/>
                <w:szCs w:val="18"/>
                <w:lang w:val="mk-MK"/>
              </w:rPr>
            </w:pPr>
            <w:r w:rsidRPr="00381F72">
              <w:rPr>
                <w:color w:val="878786"/>
                <w:spacing w:val="-6"/>
                <w:w w:val="124"/>
                <w:sz w:val="18"/>
                <w:szCs w:val="18"/>
                <w:lang w:val="mk-MK"/>
              </w:rPr>
              <w:t>Ниво на проект</w:t>
            </w:r>
          </w:p>
          <w:p w:rsidR="00C77603" w:rsidRPr="00381F72" w:rsidRDefault="00C77603" w:rsidP="005909F7">
            <w:pPr>
              <w:jc w:val="both"/>
              <w:rPr>
                <w:color w:val="878786"/>
                <w:spacing w:val="-6"/>
                <w:w w:val="124"/>
                <w:sz w:val="18"/>
                <w:szCs w:val="18"/>
                <w:lang w:val="mk-MK"/>
              </w:rPr>
            </w:pPr>
          </w:p>
        </w:tc>
        <w:tc>
          <w:tcPr>
            <w:tcW w:w="1627" w:type="dxa"/>
          </w:tcPr>
          <w:p w:rsidR="00C77603" w:rsidRPr="00381F72" w:rsidRDefault="00C77603" w:rsidP="005909F7">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C77603" w:rsidRPr="00381F72" w:rsidRDefault="00C77603" w:rsidP="005909F7">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C77603" w:rsidRPr="00381F72" w:rsidRDefault="00C77603" w:rsidP="005909F7">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C77603" w:rsidRPr="00381F72" w:rsidRDefault="00C77603" w:rsidP="005909F7">
            <w:pPr>
              <w:jc w:val="both"/>
              <w:rPr>
                <w:color w:val="878786"/>
                <w:spacing w:val="-6"/>
                <w:w w:val="124"/>
                <w:sz w:val="18"/>
                <w:szCs w:val="18"/>
                <w:lang w:val="mk-MK"/>
              </w:rPr>
            </w:pPr>
            <w:r>
              <w:rPr>
                <w:color w:val="878786"/>
                <w:spacing w:val="-6"/>
                <w:w w:val="124"/>
                <w:sz w:val="18"/>
                <w:szCs w:val="18"/>
                <w:lang w:val="mk-MK"/>
              </w:rPr>
              <w:t>завршено</w:t>
            </w:r>
          </w:p>
        </w:tc>
      </w:tr>
      <w:tr w:rsidR="00C77603" w:rsidTr="00C77603">
        <w:trPr>
          <w:trHeight w:val="367"/>
        </w:trPr>
        <w:tc>
          <w:tcPr>
            <w:tcW w:w="3960" w:type="dxa"/>
            <w:gridSpan w:val="3"/>
            <w:vMerge/>
          </w:tcPr>
          <w:p w:rsidR="00C77603" w:rsidRPr="00381F72" w:rsidRDefault="00C77603" w:rsidP="005909F7">
            <w:pPr>
              <w:jc w:val="both"/>
              <w:rPr>
                <w:color w:val="878786"/>
                <w:spacing w:val="-6"/>
                <w:w w:val="124"/>
                <w:sz w:val="18"/>
                <w:szCs w:val="18"/>
                <w:lang w:val="mk-MK"/>
              </w:rPr>
            </w:pPr>
          </w:p>
        </w:tc>
        <w:tc>
          <w:tcPr>
            <w:tcW w:w="1627" w:type="dxa"/>
          </w:tcPr>
          <w:p w:rsidR="00C77603" w:rsidRPr="00381F72" w:rsidRDefault="00C77603" w:rsidP="005909F7">
            <w:pPr>
              <w:jc w:val="both"/>
              <w:rPr>
                <w:color w:val="878786"/>
                <w:spacing w:val="-6"/>
                <w:w w:val="124"/>
                <w:sz w:val="18"/>
                <w:szCs w:val="18"/>
                <w:lang w:val="mk-MK"/>
              </w:rPr>
            </w:pPr>
          </w:p>
        </w:tc>
        <w:tc>
          <w:tcPr>
            <w:tcW w:w="1724" w:type="dxa"/>
          </w:tcPr>
          <w:p w:rsidR="00C77603" w:rsidRPr="00381F72" w:rsidRDefault="00C77603" w:rsidP="005909F7">
            <w:pPr>
              <w:jc w:val="both"/>
              <w:rPr>
                <w:color w:val="878786"/>
                <w:spacing w:val="-6"/>
                <w:w w:val="124"/>
                <w:sz w:val="18"/>
                <w:szCs w:val="18"/>
                <w:lang w:val="mk-MK"/>
              </w:rPr>
            </w:pPr>
          </w:p>
        </w:tc>
        <w:tc>
          <w:tcPr>
            <w:tcW w:w="1564" w:type="dxa"/>
            <w:shd w:val="clear" w:color="auto" w:fill="548DD4" w:themeFill="text2" w:themeFillTint="99"/>
          </w:tcPr>
          <w:p w:rsidR="00C77603" w:rsidRPr="00381F72" w:rsidRDefault="00C77603" w:rsidP="005909F7">
            <w:pPr>
              <w:jc w:val="both"/>
              <w:rPr>
                <w:color w:val="878786"/>
                <w:spacing w:val="-6"/>
                <w:w w:val="124"/>
                <w:sz w:val="18"/>
                <w:szCs w:val="18"/>
                <w:lang w:val="mk-MK"/>
              </w:rPr>
            </w:pPr>
          </w:p>
        </w:tc>
        <w:tc>
          <w:tcPr>
            <w:tcW w:w="1835" w:type="dxa"/>
          </w:tcPr>
          <w:p w:rsidR="00C77603" w:rsidRPr="00381F72" w:rsidRDefault="00C77603" w:rsidP="005909F7">
            <w:pPr>
              <w:jc w:val="both"/>
              <w:rPr>
                <w:color w:val="878786"/>
                <w:spacing w:val="-6"/>
                <w:w w:val="124"/>
                <w:sz w:val="18"/>
                <w:szCs w:val="18"/>
                <w:lang w:val="mk-MK"/>
              </w:rPr>
            </w:pPr>
          </w:p>
        </w:tc>
      </w:tr>
      <w:tr w:rsidR="00C77603" w:rsidTr="00C77603">
        <w:tc>
          <w:tcPr>
            <w:tcW w:w="3960" w:type="dxa"/>
            <w:gridSpan w:val="3"/>
          </w:tcPr>
          <w:p w:rsidR="00C77603" w:rsidRPr="00381F72" w:rsidRDefault="00C77603" w:rsidP="005909F7">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C77603" w:rsidRPr="00381F72" w:rsidRDefault="00C77603" w:rsidP="005909F7">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C77603" w:rsidRPr="00C77603" w:rsidRDefault="00C77603" w:rsidP="005909F7">
            <w:pPr>
              <w:pStyle w:val="Default"/>
              <w:spacing w:after="200"/>
              <w:rPr>
                <w:rFonts w:asciiTheme="minorHAnsi" w:hAnsiTheme="minorHAnsi"/>
                <w:b/>
                <w:bCs/>
                <w:sz w:val="20"/>
                <w:szCs w:val="20"/>
              </w:rPr>
            </w:pPr>
            <w:r w:rsidRPr="00C77603">
              <w:rPr>
                <w:rFonts w:asciiTheme="minorHAnsi" w:hAnsiTheme="minorHAnsi"/>
                <w:b/>
                <w:bCs/>
                <w:sz w:val="20"/>
                <w:szCs w:val="20"/>
              </w:rPr>
              <w:t>Мерка 2. Јавни набавки</w:t>
            </w:r>
          </w:p>
          <w:p w:rsidR="00C77603" w:rsidRPr="0014553D" w:rsidRDefault="00C77603" w:rsidP="005909F7">
            <w:pPr>
              <w:pStyle w:val="Default"/>
              <w:spacing w:after="200"/>
              <w:rPr>
                <w:rFonts w:asciiTheme="minorHAnsi" w:hAnsiTheme="minorHAnsi"/>
                <w:bCs/>
                <w:sz w:val="20"/>
                <w:szCs w:val="20"/>
              </w:rPr>
            </w:pPr>
            <w:r w:rsidRPr="0014553D">
              <w:rPr>
                <w:rFonts w:asciiTheme="minorHAnsi" w:hAnsiTheme="minorHAnsi"/>
                <w:bCs/>
                <w:sz w:val="20"/>
                <w:szCs w:val="20"/>
              </w:rPr>
              <w:t>Бирото за јавни набавки во јули 2015 година одржа состанок со Центарот за граѓански комуникации на кој учество земаа и претставници од Комисијата за заштита на правото за слободен пристап до информациите од јавен карактер, Министерството за финансии, Град Скопје и ЕЛЕМ АД Скопје како поголеми договорни страни. На состанокот е договорено да им се препорача на сите договорни страни да овозможат пристап на своите веб страни за следните податоци од спроведувањето на постапките за доделување на договори за јавни набавки:</w:t>
            </w:r>
          </w:p>
          <w:p w:rsidR="00C77603" w:rsidRPr="0014553D" w:rsidRDefault="00C77603" w:rsidP="005909F7">
            <w:pPr>
              <w:pStyle w:val="Default"/>
              <w:spacing w:after="200"/>
              <w:rPr>
                <w:rFonts w:asciiTheme="minorHAnsi" w:hAnsiTheme="minorHAnsi"/>
                <w:bCs/>
                <w:sz w:val="20"/>
                <w:szCs w:val="20"/>
              </w:rPr>
            </w:pPr>
            <w:r w:rsidRPr="0014553D">
              <w:rPr>
                <w:rFonts w:asciiTheme="minorHAnsi" w:hAnsiTheme="minorHAnsi"/>
                <w:bCs/>
                <w:sz w:val="20"/>
                <w:szCs w:val="20"/>
              </w:rPr>
              <w:t>-објавување на План за јавни набавки, како и на измените и дополнувањата на планот во текот на годината,</w:t>
            </w:r>
          </w:p>
          <w:p w:rsidR="00C77603" w:rsidRPr="0014553D" w:rsidRDefault="00C77603" w:rsidP="005909F7">
            <w:pPr>
              <w:pStyle w:val="Default"/>
              <w:spacing w:after="200"/>
              <w:rPr>
                <w:rFonts w:asciiTheme="minorHAnsi" w:hAnsiTheme="minorHAnsi"/>
                <w:bCs/>
                <w:sz w:val="20"/>
                <w:szCs w:val="20"/>
              </w:rPr>
            </w:pPr>
            <w:r w:rsidRPr="0014553D">
              <w:rPr>
                <w:rFonts w:asciiTheme="minorHAnsi" w:hAnsiTheme="minorHAnsi"/>
                <w:bCs/>
                <w:sz w:val="20"/>
                <w:szCs w:val="20"/>
              </w:rPr>
              <w:t>-објавување на огласот-поставување на линк до огласот кој е објавен на ЕСЈН,</w:t>
            </w:r>
          </w:p>
          <w:p w:rsidR="00C77603" w:rsidRPr="0014553D" w:rsidRDefault="00C77603" w:rsidP="005909F7">
            <w:pPr>
              <w:pStyle w:val="Default"/>
              <w:spacing w:after="200"/>
              <w:rPr>
                <w:rFonts w:asciiTheme="minorHAnsi" w:hAnsiTheme="minorHAnsi"/>
                <w:bCs/>
                <w:sz w:val="20"/>
                <w:szCs w:val="20"/>
              </w:rPr>
            </w:pPr>
            <w:r w:rsidRPr="0014553D">
              <w:rPr>
                <w:rFonts w:asciiTheme="minorHAnsi" w:hAnsiTheme="minorHAnsi"/>
                <w:bCs/>
                <w:sz w:val="20"/>
                <w:szCs w:val="20"/>
              </w:rPr>
              <w:t>-објавување на известување за склучен договор-поставување линк до известувањето на ЕСЈН, и</w:t>
            </w:r>
          </w:p>
          <w:p w:rsidR="00C77603" w:rsidRPr="0014553D" w:rsidRDefault="00C77603" w:rsidP="005909F7">
            <w:pPr>
              <w:pStyle w:val="Default"/>
              <w:spacing w:after="200"/>
              <w:rPr>
                <w:rFonts w:asciiTheme="minorHAnsi" w:hAnsiTheme="minorHAnsi"/>
                <w:bCs/>
                <w:sz w:val="20"/>
                <w:szCs w:val="20"/>
              </w:rPr>
            </w:pPr>
            <w:r w:rsidRPr="0014553D">
              <w:rPr>
                <w:rFonts w:asciiTheme="minorHAnsi" w:hAnsiTheme="minorHAnsi"/>
                <w:bCs/>
                <w:sz w:val="20"/>
                <w:szCs w:val="20"/>
              </w:rPr>
              <w:t>-објавување на известување за реализиран договор-пополнување на ваквото известување на ЕСЈН и поставувањ</w:t>
            </w:r>
            <w:r>
              <w:rPr>
                <w:rFonts w:asciiTheme="minorHAnsi" w:hAnsiTheme="minorHAnsi"/>
                <w:bCs/>
                <w:sz w:val="20"/>
                <w:szCs w:val="20"/>
              </w:rPr>
              <w:t>е на линк за пристап до истото.</w:t>
            </w:r>
          </w:p>
        </w:tc>
      </w:tr>
      <w:tr w:rsidR="00C77603" w:rsidTr="00C77603">
        <w:tc>
          <w:tcPr>
            <w:tcW w:w="3960" w:type="dxa"/>
            <w:gridSpan w:val="3"/>
          </w:tcPr>
          <w:p w:rsidR="00C77603" w:rsidRPr="00381F72" w:rsidRDefault="00C77603" w:rsidP="005909F7">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6750" w:type="dxa"/>
            <w:gridSpan w:val="4"/>
          </w:tcPr>
          <w:p w:rsidR="00C77603" w:rsidRPr="0014553D" w:rsidRDefault="00C77603" w:rsidP="005909F7">
            <w:pPr>
              <w:pStyle w:val="Default"/>
              <w:spacing w:after="200"/>
              <w:rPr>
                <w:rFonts w:asciiTheme="minorHAnsi" w:hAnsiTheme="minorHAnsi"/>
                <w:bCs/>
                <w:sz w:val="20"/>
                <w:szCs w:val="20"/>
              </w:rPr>
            </w:pPr>
            <w:r w:rsidRPr="0014553D">
              <w:rPr>
                <w:rFonts w:asciiTheme="minorHAnsi" w:hAnsiTheme="minorHAnsi"/>
                <w:bCs/>
                <w:sz w:val="20"/>
                <w:szCs w:val="20"/>
              </w:rPr>
              <w:t>Крајот на 2015 година</w:t>
            </w:r>
          </w:p>
        </w:tc>
      </w:tr>
      <w:tr w:rsidR="00C77603" w:rsidTr="00C77603">
        <w:tc>
          <w:tcPr>
            <w:tcW w:w="3960" w:type="dxa"/>
            <w:gridSpan w:val="3"/>
          </w:tcPr>
          <w:p w:rsidR="00C77603" w:rsidRPr="00381F72" w:rsidRDefault="00C77603" w:rsidP="005909F7">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C77603" w:rsidRPr="0014553D" w:rsidRDefault="00C77603" w:rsidP="005909F7">
            <w:pPr>
              <w:pStyle w:val="Default"/>
              <w:spacing w:after="200"/>
              <w:rPr>
                <w:rFonts w:asciiTheme="minorHAnsi" w:hAnsiTheme="minorHAnsi"/>
                <w:bCs/>
                <w:sz w:val="20"/>
                <w:szCs w:val="20"/>
              </w:rPr>
            </w:pPr>
            <w:r w:rsidRPr="0014553D">
              <w:rPr>
                <w:rFonts w:asciiTheme="minorHAnsi" w:hAnsiTheme="minorHAnsi"/>
                <w:bCs/>
                <w:sz w:val="20"/>
                <w:szCs w:val="20"/>
              </w:rPr>
              <w:t>Бирото за јавни набавки по усвојување на Третиот извештај за реализација на АП за ОВП препораките договорени на состанокот во јули да ги проследи до договорните органи како истите би започнале со нивна реализација.</w:t>
            </w:r>
          </w:p>
        </w:tc>
      </w:tr>
      <w:tr w:rsidR="00C77603" w:rsidTr="005909F7">
        <w:tc>
          <w:tcPr>
            <w:tcW w:w="10710" w:type="dxa"/>
            <w:gridSpan w:val="7"/>
          </w:tcPr>
          <w:p w:rsidR="00C77603" w:rsidRDefault="00C77603" w:rsidP="005909F7">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p>
        </w:tc>
      </w:tr>
      <w:tr w:rsidR="00C77603" w:rsidTr="00C77603">
        <w:trPr>
          <w:trHeight w:val="435"/>
        </w:trPr>
        <w:tc>
          <w:tcPr>
            <w:tcW w:w="3960" w:type="dxa"/>
            <w:gridSpan w:val="3"/>
            <w:vMerge w:val="restart"/>
          </w:tcPr>
          <w:p w:rsidR="00C77603" w:rsidRPr="00381F72" w:rsidRDefault="00C77603" w:rsidP="005909F7">
            <w:pPr>
              <w:jc w:val="both"/>
              <w:rPr>
                <w:color w:val="878786"/>
                <w:spacing w:val="-6"/>
                <w:w w:val="124"/>
                <w:sz w:val="18"/>
                <w:szCs w:val="18"/>
                <w:lang w:val="mk-MK"/>
              </w:rPr>
            </w:pPr>
          </w:p>
          <w:p w:rsidR="00C77603" w:rsidRPr="00381F72" w:rsidRDefault="00C77603" w:rsidP="005909F7">
            <w:pPr>
              <w:jc w:val="both"/>
              <w:rPr>
                <w:color w:val="878786"/>
                <w:spacing w:val="-6"/>
                <w:w w:val="124"/>
                <w:sz w:val="18"/>
                <w:szCs w:val="18"/>
                <w:lang w:val="mk-MK"/>
              </w:rPr>
            </w:pPr>
            <w:r w:rsidRPr="00381F72">
              <w:rPr>
                <w:color w:val="878786"/>
                <w:spacing w:val="-6"/>
                <w:w w:val="124"/>
                <w:sz w:val="18"/>
                <w:szCs w:val="18"/>
                <w:lang w:val="mk-MK"/>
              </w:rPr>
              <w:t>Ниво на проект</w:t>
            </w:r>
          </w:p>
          <w:p w:rsidR="00C77603" w:rsidRPr="00381F72" w:rsidRDefault="00C77603" w:rsidP="005909F7">
            <w:pPr>
              <w:jc w:val="both"/>
              <w:rPr>
                <w:color w:val="878786"/>
                <w:spacing w:val="-6"/>
                <w:w w:val="124"/>
                <w:sz w:val="18"/>
                <w:szCs w:val="18"/>
                <w:lang w:val="mk-MK"/>
              </w:rPr>
            </w:pPr>
          </w:p>
        </w:tc>
        <w:tc>
          <w:tcPr>
            <w:tcW w:w="1627" w:type="dxa"/>
          </w:tcPr>
          <w:p w:rsidR="00C77603" w:rsidRPr="00381F72" w:rsidRDefault="00C77603" w:rsidP="005909F7">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C77603" w:rsidRPr="00381F72" w:rsidRDefault="00C77603" w:rsidP="005909F7">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C77603" w:rsidRPr="00381F72" w:rsidRDefault="00C77603" w:rsidP="005909F7">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C77603" w:rsidRPr="00381F72" w:rsidRDefault="00C77603" w:rsidP="005909F7">
            <w:pPr>
              <w:jc w:val="both"/>
              <w:rPr>
                <w:color w:val="878786"/>
                <w:spacing w:val="-6"/>
                <w:w w:val="124"/>
                <w:sz w:val="18"/>
                <w:szCs w:val="18"/>
                <w:lang w:val="mk-MK"/>
              </w:rPr>
            </w:pPr>
            <w:r>
              <w:rPr>
                <w:color w:val="878786"/>
                <w:spacing w:val="-6"/>
                <w:w w:val="124"/>
                <w:sz w:val="18"/>
                <w:szCs w:val="18"/>
                <w:lang w:val="mk-MK"/>
              </w:rPr>
              <w:t>завршено</w:t>
            </w:r>
          </w:p>
        </w:tc>
      </w:tr>
      <w:tr w:rsidR="00C77603" w:rsidTr="00C77603">
        <w:trPr>
          <w:trHeight w:val="367"/>
        </w:trPr>
        <w:tc>
          <w:tcPr>
            <w:tcW w:w="3960" w:type="dxa"/>
            <w:gridSpan w:val="3"/>
            <w:vMerge/>
          </w:tcPr>
          <w:p w:rsidR="00C77603" w:rsidRPr="00381F72" w:rsidRDefault="00C77603" w:rsidP="005909F7">
            <w:pPr>
              <w:jc w:val="both"/>
              <w:rPr>
                <w:color w:val="878786"/>
                <w:spacing w:val="-6"/>
                <w:w w:val="124"/>
                <w:sz w:val="18"/>
                <w:szCs w:val="18"/>
                <w:lang w:val="mk-MK"/>
              </w:rPr>
            </w:pPr>
          </w:p>
        </w:tc>
        <w:tc>
          <w:tcPr>
            <w:tcW w:w="1627" w:type="dxa"/>
            <w:shd w:val="clear" w:color="auto" w:fill="548DD4" w:themeFill="text2" w:themeFillTint="99"/>
          </w:tcPr>
          <w:p w:rsidR="00C77603" w:rsidRPr="00381F72" w:rsidRDefault="00C77603" w:rsidP="005909F7">
            <w:pPr>
              <w:jc w:val="both"/>
              <w:rPr>
                <w:color w:val="878786"/>
                <w:spacing w:val="-6"/>
                <w:w w:val="124"/>
                <w:sz w:val="18"/>
                <w:szCs w:val="18"/>
                <w:lang w:val="mk-MK"/>
              </w:rPr>
            </w:pPr>
          </w:p>
        </w:tc>
        <w:tc>
          <w:tcPr>
            <w:tcW w:w="1724" w:type="dxa"/>
          </w:tcPr>
          <w:p w:rsidR="00C77603" w:rsidRPr="00381F72" w:rsidRDefault="00C77603" w:rsidP="005909F7">
            <w:pPr>
              <w:jc w:val="both"/>
              <w:rPr>
                <w:color w:val="878786"/>
                <w:spacing w:val="-6"/>
                <w:w w:val="124"/>
                <w:sz w:val="18"/>
                <w:szCs w:val="18"/>
                <w:lang w:val="mk-MK"/>
              </w:rPr>
            </w:pPr>
          </w:p>
        </w:tc>
        <w:tc>
          <w:tcPr>
            <w:tcW w:w="1564" w:type="dxa"/>
          </w:tcPr>
          <w:p w:rsidR="00C77603" w:rsidRPr="00381F72" w:rsidRDefault="00C77603" w:rsidP="005909F7">
            <w:pPr>
              <w:jc w:val="both"/>
              <w:rPr>
                <w:color w:val="878786"/>
                <w:spacing w:val="-6"/>
                <w:w w:val="124"/>
                <w:sz w:val="18"/>
                <w:szCs w:val="18"/>
                <w:lang w:val="mk-MK"/>
              </w:rPr>
            </w:pPr>
          </w:p>
        </w:tc>
        <w:tc>
          <w:tcPr>
            <w:tcW w:w="1835" w:type="dxa"/>
          </w:tcPr>
          <w:p w:rsidR="00C77603" w:rsidRPr="00381F72" w:rsidRDefault="00C77603" w:rsidP="005909F7">
            <w:pPr>
              <w:jc w:val="both"/>
              <w:rPr>
                <w:color w:val="878786"/>
                <w:spacing w:val="-6"/>
                <w:w w:val="124"/>
                <w:sz w:val="18"/>
                <w:szCs w:val="18"/>
                <w:lang w:val="mk-MK"/>
              </w:rPr>
            </w:pPr>
          </w:p>
        </w:tc>
      </w:tr>
      <w:tr w:rsidR="00C77603" w:rsidTr="00C77603">
        <w:tc>
          <w:tcPr>
            <w:tcW w:w="3960" w:type="dxa"/>
            <w:gridSpan w:val="3"/>
          </w:tcPr>
          <w:p w:rsidR="00C77603" w:rsidRPr="00381F72" w:rsidRDefault="00C77603" w:rsidP="005909F7">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C77603" w:rsidRPr="00381F72" w:rsidRDefault="00C77603" w:rsidP="005909F7">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C77603" w:rsidRPr="0014553D" w:rsidRDefault="00C77603" w:rsidP="005909F7">
            <w:pPr>
              <w:pStyle w:val="Default"/>
              <w:spacing w:after="200"/>
              <w:rPr>
                <w:rFonts w:asciiTheme="minorHAnsi" w:hAnsiTheme="minorHAnsi"/>
                <w:bCs/>
                <w:sz w:val="20"/>
                <w:szCs w:val="20"/>
              </w:rPr>
            </w:pPr>
            <w:r w:rsidRPr="0014553D">
              <w:rPr>
                <w:rFonts w:asciiTheme="minorHAnsi" w:hAnsiTheme="minorHAnsi"/>
                <w:bCs/>
                <w:sz w:val="20"/>
                <w:szCs w:val="20"/>
              </w:rPr>
              <w:t>Мерка 3. Странска помош и странски инвестиции</w:t>
            </w:r>
          </w:p>
          <w:p w:rsidR="00C77603" w:rsidRPr="0014553D" w:rsidRDefault="00C77603" w:rsidP="005909F7">
            <w:pPr>
              <w:pStyle w:val="Default"/>
              <w:spacing w:after="200"/>
              <w:rPr>
                <w:rFonts w:asciiTheme="minorHAnsi" w:hAnsiTheme="minorHAnsi"/>
                <w:bCs/>
                <w:sz w:val="20"/>
                <w:szCs w:val="20"/>
              </w:rPr>
            </w:pPr>
            <w:r w:rsidRPr="0014553D">
              <w:rPr>
                <w:rFonts w:asciiTheme="minorHAnsi" w:hAnsiTheme="minorHAnsi"/>
                <w:bCs/>
                <w:sz w:val="20"/>
                <w:szCs w:val="20"/>
              </w:rPr>
              <w:t xml:space="preserve">а) Надлежниот сектор за маркетинг и комуникации во Агенцијата за странски инвестиции и промоција на извозот во месец јули исконтактира со Здружението за еманципација, солидарност и еднаквост на жените во РМ со цел да договорат термин за состанок на кој би се дефинирало кои податоци за странски инвестиции би се објавувале на нивната веб страна. </w:t>
            </w:r>
          </w:p>
          <w:p w:rsidR="00C77603" w:rsidRPr="0014553D" w:rsidRDefault="00C77603" w:rsidP="005909F7">
            <w:pPr>
              <w:pStyle w:val="Default"/>
              <w:spacing w:after="200"/>
              <w:rPr>
                <w:rFonts w:asciiTheme="minorHAnsi" w:hAnsiTheme="minorHAnsi"/>
                <w:bCs/>
                <w:sz w:val="20"/>
                <w:szCs w:val="20"/>
              </w:rPr>
            </w:pPr>
            <w:r w:rsidRPr="0014553D">
              <w:rPr>
                <w:rFonts w:asciiTheme="minorHAnsi" w:hAnsiTheme="minorHAnsi"/>
                <w:bCs/>
                <w:sz w:val="20"/>
                <w:szCs w:val="20"/>
              </w:rPr>
              <w:t>По посочување на датумот Здружението  не доби повратна информација од Агенцијата.</w:t>
            </w:r>
          </w:p>
          <w:p w:rsidR="00C77603" w:rsidRPr="0014553D" w:rsidRDefault="00C77603" w:rsidP="005909F7">
            <w:pPr>
              <w:pStyle w:val="Default"/>
              <w:spacing w:after="200"/>
              <w:rPr>
                <w:rFonts w:asciiTheme="minorHAnsi" w:hAnsiTheme="minorHAnsi"/>
                <w:bCs/>
                <w:sz w:val="20"/>
                <w:szCs w:val="20"/>
              </w:rPr>
            </w:pPr>
            <w:r w:rsidRPr="0014553D">
              <w:rPr>
                <w:rFonts w:asciiTheme="minorHAnsi" w:hAnsiTheme="minorHAnsi"/>
                <w:bCs/>
                <w:sz w:val="20"/>
                <w:szCs w:val="20"/>
              </w:rPr>
              <w:t xml:space="preserve">б) Здружението уште во јануари 2015 година до Секретаријатот за европски прашања на РМ достави барање за објавување на податоците во врска со средствата кои Министерството за Здравство ги има добиено од Кралството Холандија преку ОРИО програмата во Централната база на податоци за </w:t>
            </w:r>
            <w:r w:rsidRPr="0014553D">
              <w:rPr>
                <w:rFonts w:asciiTheme="minorHAnsi" w:hAnsiTheme="minorHAnsi"/>
                <w:bCs/>
                <w:sz w:val="20"/>
                <w:szCs w:val="20"/>
              </w:rPr>
              <w:lastRenderedPageBreak/>
              <w:t xml:space="preserve">странска помош на Владата на РМ (ова беше договорено на состанокот на работната група по приоритет 5 во јануари, 2015). До септември 2015 година нема добиено повратна информација од Секретаријатот во врска со самата постапка, а податоците во врска со овој проект се сеуште необјавени. Исто така, Секретаријатот за европски прашања сеуште нема остварено средба со Здружението за еманципација, солидарност и еднаквост на жените во РМ, а поврзано со заклучоците 5 и 6 од нацрт записникот на 79-та седница на Владата на РМ (по точка 93) одржана на 15.06.2015 година. </w:t>
            </w:r>
          </w:p>
        </w:tc>
      </w:tr>
      <w:tr w:rsidR="00C77603" w:rsidTr="00C77603">
        <w:tc>
          <w:tcPr>
            <w:tcW w:w="3960" w:type="dxa"/>
            <w:gridSpan w:val="3"/>
          </w:tcPr>
          <w:p w:rsidR="00C77603" w:rsidRPr="00381F72" w:rsidRDefault="00C77603" w:rsidP="005909F7">
            <w:pPr>
              <w:jc w:val="both"/>
              <w:rPr>
                <w:color w:val="878786"/>
                <w:spacing w:val="-6"/>
                <w:w w:val="124"/>
                <w:sz w:val="18"/>
                <w:szCs w:val="18"/>
                <w:lang w:val="mk-MK"/>
              </w:rPr>
            </w:pPr>
            <w:r w:rsidRPr="00381F72">
              <w:rPr>
                <w:color w:val="878786"/>
                <w:spacing w:val="-6"/>
                <w:w w:val="124"/>
                <w:sz w:val="18"/>
                <w:szCs w:val="18"/>
                <w:lang w:val="mk-MK"/>
              </w:rPr>
              <w:lastRenderedPageBreak/>
              <w:t>Краен датум</w:t>
            </w:r>
          </w:p>
        </w:tc>
        <w:tc>
          <w:tcPr>
            <w:tcW w:w="6750" w:type="dxa"/>
            <w:gridSpan w:val="4"/>
          </w:tcPr>
          <w:p w:rsidR="00C77603" w:rsidRPr="0014553D" w:rsidRDefault="00C77603" w:rsidP="005909F7">
            <w:pPr>
              <w:pStyle w:val="Default"/>
              <w:spacing w:after="200"/>
              <w:rPr>
                <w:rFonts w:asciiTheme="minorHAnsi" w:hAnsiTheme="minorHAnsi"/>
                <w:bCs/>
                <w:sz w:val="20"/>
                <w:szCs w:val="20"/>
              </w:rPr>
            </w:pPr>
            <w:r w:rsidRPr="0014553D">
              <w:rPr>
                <w:rFonts w:asciiTheme="minorHAnsi" w:hAnsiTheme="minorHAnsi"/>
                <w:bCs/>
                <w:sz w:val="20"/>
                <w:szCs w:val="20"/>
              </w:rPr>
              <w:t>Крајот на 2016 година</w:t>
            </w:r>
          </w:p>
        </w:tc>
      </w:tr>
      <w:tr w:rsidR="00C77603" w:rsidTr="00C77603">
        <w:tc>
          <w:tcPr>
            <w:tcW w:w="3960" w:type="dxa"/>
            <w:gridSpan w:val="3"/>
          </w:tcPr>
          <w:p w:rsidR="00C77603" w:rsidRPr="00381F72" w:rsidRDefault="00C77603" w:rsidP="005909F7">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C77603" w:rsidRPr="0014553D" w:rsidRDefault="00C77603" w:rsidP="005909F7">
            <w:pPr>
              <w:pStyle w:val="Default"/>
              <w:spacing w:after="200"/>
              <w:rPr>
                <w:rFonts w:asciiTheme="minorHAnsi" w:hAnsiTheme="minorHAnsi"/>
                <w:bCs/>
                <w:sz w:val="20"/>
                <w:szCs w:val="20"/>
              </w:rPr>
            </w:pPr>
            <w:r w:rsidRPr="0014553D">
              <w:rPr>
                <w:rFonts w:asciiTheme="minorHAnsi" w:hAnsiTheme="minorHAnsi"/>
                <w:bCs/>
                <w:sz w:val="20"/>
                <w:szCs w:val="20"/>
              </w:rPr>
              <w:t xml:space="preserve">Агенцијата за странски инвестиции и промоција на извозот и Секретаријатот за европски прашања на РМ да одржат состаноци со Здружението за еманципација, солидарност и еднаквост на жените во РМ поврзани со објавување на податоци за странски инвестиции и странска помош до крајот на 2015 година. </w:t>
            </w:r>
          </w:p>
        </w:tc>
      </w:tr>
      <w:tr w:rsidR="00C77603" w:rsidTr="005909F7">
        <w:tc>
          <w:tcPr>
            <w:tcW w:w="10710" w:type="dxa"/>
            <w:gridSpan w:val="7"/>
          </w:tcPr>
          <w:p w:rsidR="00C77603" w:rsidRDefault="00C77603" w:rsidP="005909F7">
            <w:pPr>
              <w:jc w:val="both"/>
              <w:rPr>
                <w:b/>
                <w:lang w:val="mk-MK"/>
              </w:rPr>
            </w:pPr>
            <w:r w:rsidRPr="00026994">
              <w:rPr>
                <w:color w:val="878786"/>
                <w:spacing w:val="-6"/>
                <w:w w:val="124"/>
                <w:sz w:val="18"/>
                <w:szCs w:val="18"/>
                <w:lang w:val="mk-MK"/>
              </w:rPr>
              <w:t xml:space="preserve">Дополнителни информации (Опис на она што останува да се постигне и </w:t>
            </w:r>
            <w:r>
              <w:rPr>
                <w:color w:val="878786"/>
                <w:spacing w:val="-6"/>
                <w:w w:val="124"/>
                <w:sz w:val="18"/>
                <w:szCs w:val="18"/>
                <w:lang w:val="mk-MK"/>
              </w:rPr>
              <w:t>било какви</w:t>
            </w:r>
            <w:r w:rsidRPr="00026994">
              <w:rPr>
                <w:color w:val="878786"/>
                <w:spacing w:val="-6"/>
                <w:w w:val="124"/>
                <w:sz w:val="18"/>
                <w:szCs w:val="18"/>
                <w:lang w:val="mk-MK"/>
              </w:rPr>
              <w:t xml:space="preserve"> ризи</w:t>
            </w:r>
            <w:r>
              <w:rPr>
                <w:color w:val="878786"/>
                <w:spacing w:val="-6"/>
                <w:w w:val="124"/>
                <w:sz w:val="18"/>
                <w:szCs w:val="18"/>
                <w:lang w:val="mk-MK"/>
              </w:rPr>
              <w:t>ци</w:t>
            </w:r>
            <w:r w:rsidRPr="00026994">
              <w:rPr>
                <w:color w:val="878786"/>
                <w:spacing w:val="-6"/>
                <w:w w:val="124"/>
                <w:sz w:val="18"/>
                <w:szCs w:val="18"/>
                <w:lang w:val="mk-MK"/>
              </w:rPr>
              <w:t xml:space="preserve"> ил</w:t>
            </w:r>
            <w:r>
              <w:rPr>
                <w:color w:val="878786"/>
                <w:spacing w:val="-6"/>
                <w:w w:val="124"/>
                <w:sz w:val="18"/>
                <w:szCs w:val="18"/>
                <w:lang w:val="mk-MK"/>
              </w:rPr>
              <w:t xml:space="preserve">и предизвици при спроведување на </w:t>
            </w:r>
            <w:r w:rsidRPr="00026994">
              <w:rPr>
                <w:color w:val="878786"/>
                <w:spacing w:val="-6"/>
                <w:w w:val="124"/>
                <w:sz w:val="18"/>
                <w:szCs w:val="18"/>
                <w:lang w:val="mk-MK"/>
              </w:rPr>
              <w:t>обврската.)</w:t>
            </w:r>
            <w:r w:rsidR="009C7763">
              <w:rPr>
                <w:color w:val="878786"/>
                <w:spacing w:val="-6"/>
                <w:w w:val="124"/>
                <w:sz w:val="18"/>
                <w:szCs w:val="18"/>
                <w:lang w:val="mk-MK"/>
              </w:rPr>
              <w:t>/</w:t>
            </w:r>
          </w:p>
        </w:tc>
      </w:tr>
    </w:tbl>
    <w:p w:rsidR="002133FA" w:rsidRDefault="002133FA" w:rsidP="00852AE9">
      <w:pPr>
        <w:jc w:val="both"/>
        <w:rPr>
          <w:b/>
          <w:lang w:val="mk-MK"/>
        </w:rPr>
      </w:pPr>
    </w:p>
    <w:tbl>
      <w:tblPr>
        <w:tblStyle w:val="TableGrid"/>
        <w:tblW w:w="0" w:type="auto"/>
        <w:tblLook w:val="04A0"/>
      </w:tblPr>
      <w:tblGrid>
        <w:gridCol w:w="1803"/>
        <w:gridCol w:w="2140"/>
        <w:gridCol w:w="17"/>
        <w:gridCol w:w="1627"/>
        <w:gridCol w:w="1724"/>
        <w:gridCol w:w="1564"/>
        <w:gridCol w:w="1835"/>
      </w:tblGrid>
      <w:tr w:rsidR="005B7A34" w:rsidTr="00C45916">
        <w:tc>
          <w:tcPr>
            <w:tcW w:w="10710" w:type="dxa"/>
            <w:gridSpan w:val="7"/>
            <w:shd w:val="clear" w:color="auto" w:fill="262626" w:themeFill="text1" w:themeFillTint="D9"/>
          </w:tcPr>
          <w:p w:rsidR="005B7A34" w:rsidRDefault="005B7A34" w:rsidP="00C45916">
            <w:pPr>
              <w:jc w:val="center"/>
              <w:rPr>
                <w:b/>
                <w:lang w:val="mk-MK"/>
              </w:rPr>
            </w:pPr>
            <w:r w:rsidRPr="002F1864">
              <w:rPr>
                <w:rFonts w:eastAsia="Times New Roman" w:cs="Times New Roman"/>
                <w:color w:val="EEECE1" w:themeColor="background2"/>
                <w:spacing w:val="-12"/>
                <w:w w:val="123"/>
                <w:sz w:val="20"/>
                <w:szCs w:val="20"/>
                <w:lang w:val="mk-MK"/>
              </w:rPr>
              <w:t>Шаблон за завршување на заложбите</w:t>
            </w:r>
          </w:p>
        </w:tc>
      </w:tr>
      <w:tr w:rsidR="005B7A34" w:rsidTr="00C45916">
        <w:tc>
          <w:tcPr>
            <w:tcW w:w="10710" w:type="dxa"/>
            <w:gridSpan w:val="7"/>
          </w:tcPr>
          <w:p w:rsidR="005B7A34" w:rsidRPr="002133FA" w:rsidRDefault="005B7A34" w:rsidP="00C45916">
            <w:pPr>
              <w:pStyle w:val="ListParagraph"/>
              <w:numPr>
                <w:ilvl w:val="0"/>
                <w:numId w:val="2"/>
              </w:numPr>
              <w:jc w:val="center"/>
              <w:rPr>
                <w:b/>
                <w:color w:val="262626" w:themeColor="text1" w:themeTint="D9"/>
                <w:lang w:val="mk-MK"/>
              </w:rPr>
            </w:pPr>
            <w:r>
              <w:rPr>
                <w:b/>
                <w:color w:val="262626" w:themeColor="text1" w:themeTint="D9"/>
                <w:lang w:val="mk-MK"/>
              </w:rPr>
              <w:t>Отвореност на локално ниво</w:t>
            </w:r>
          </w:p>
        </w:tc>
      </w:tr>
      <w:tr w:rsidR="009C7763" w:rsidTr="009C7763">
        <w:tc>
          <w:tcPr>
            <w:tcW w:w="3943" w:type="dxa"/>
            <w:gridSpan w:val="2"/>
          </w:tcPr>
          <w:p w:rsidR="009C7763" w:rsidRPr="00381F72" w:rsidRDefault="009C7763" w:rsidP="00C45916">
            <w:pPr>
              <w:jc w:val="both"/>
              <w:rPr>
                <w:color w:val="878786"/>
                <w:spacing w:val="-6"/>
                <w:w w:val="124"/>
                <w:sz w:val="18"/>
                <w:szCs w:val="18"/>
                <w:lang w:val="mk-MK"/>
              </w:rPr>
            </w:pPr>
            <w:r w:rsidRPr="00381F72">
              <w:rPr>
                <w:color w:val="878786"/>
                <w:spacing w:val="-6"/>
                <w:w w:val="124"/>
                <w:sz w:val="18"/>
                <w:szCs w:val="18"/>
                <w:lang w:val="mk-MK"/>
              </w:rPr>
              <w:t>Водечка агенција за спроведување</w:t>
            </w:r>
          </w:p>
        </w:tc>
        <w:tc>
          <w:tcPr>
            <w:tcW w:w="6767" w:type="dxa"/>
            <w:gridSpan w:val="5"/>
          </w:tcPr>
          <w:p w:rsidR="009C7763" w:rsidRPr="009913D7" w:rsidRDefault="009C7763" w:rsidP="005909F7">
            <w:pPr>
              <w:rPr>
                <w:sz w:val="20"/>
                <w:szCs w:val="20"/>
                <w:lang w:val="mk-MK"/>
              </w:rPr>
            </w:pPr>
            <w:r w:rsidRPr="009913D7">
              <w:rPr>
                <w:sz w:val="20"/>
                <w:szCs w:val="20"/>
                <w:lang w:val="mk-MK"/>
              </w:rPr>
              <w:t>Министерство за локална самоуправа</w:t>
            </w:r>
          </w:p>
        </w:tc>
      </w:tr>
      <w:tr w:rsidR="009C7763" w:rsidTr="009C7763">
        <w:tc>
          <w:tcPr>
            <w:tcW w:w="3943" w:type="dxa"/>
            <w:gridSpan w:val="2"/>
          </w:tcPr>
          <w:p w:rsidR="009C7763" w:rsidRPr="00381F72" w:rsidRDefault="009C7763" w:rsidP="00C45916">
            <w:pPr>
              <w:jc w:val="both"/>
              <w:rPr>
                <w:color w:val="878786"/>
                <w:spacing w:val="-6"/>
                <w:w w:val="124"/>
                <w:sz w:val="18"/>
                <w:szCs w:val="18"/>
                <w:lang w:val="mk-MK"/>
              </w:rPr>
            </w:pPr>
            <w:r w:rsidRPr="00381F72">
              <w:rPr>
                <w:color w:val="878786"/>
                <w:spacing w:val="-6"/>
                <w:w w:val="124"/>
                <w:sz w:val="18"/>
                <w:szCs w:val="18"/>
                <w:lang w:val="mk-MK"/>
              </w:rPr>
              <w:t>Име на одговорно лице од агенција за спроведување</w:t>
            </w:r>
          </w:p>
        </w:tc>
        <w:tc>
          <w:tcPr>
            <w:tcW w:w="6767" w:type="dxa"/>
            <w:gridSpan w:val="5"/>
          </w:tcPr>
          <w:p w:rsidR="009C7763" w:rsidRPr="009913D7" w:rsidRDefault="009C7763" w:rsidP="005909F7">
            <w:pPr>
              <w:rPr>
                <w:sz w:val="20"/>
                <w:szCs w:val="20"/>
                <w:lang w:val="mk-MK"/>
              </w:rPr>
            </w:pPr>
            <w:r w:rsidRPr="009913D7">
              <w:rPr>
                <w:sz w:val="20"/>
                <w:szCs w:val="20"/>
                <w:lang w:val="mk-MK"/>
              </w:rPr>
              <w:t>Ели Чакар</w:t>
            </w:r>
          </w:p>
        </w:tc>
      </w:tr>
      <w:tr w:rsidR="009C7763" w:rsidTr="009C7763">
        <w:tc>
          <w:tcPr>
            <w:tcW w:w="3943" w:type="dxa"/>
            <w:gridSpan w:val="2"/>
          </w:tcPr>
          <w:p w:rsidR="009C7763" w:rsidRPr="00381F72" w:rsidRDefault="009C7763" w:rsidP="00C45916">
            <w:pPr>
              <w:jc w:val="both"/>
              <w:rPr>
                <w:color w:val="878786"/>
                <w:spacing w:val="-6"/>
                <w:w w:val="124"/>
                <w:sz w:val="18"/>
                <w:szCs w:val="18"/>
                <w:lang w:val="mk-MK"/>
              </w:rPr>
            </w:pPr>
            <w:r w:rsidRPr="00381F72">
              <w:rPr>
                <w:color w:val="878786"/>
                <w:spacing w:val="-6"/>
                <w:w w:val="124"/>
                <w:sz w:val="18"/>
                <w:szCs w:val="18"/>
                <w:lang w:val="mk-MK"/>
              </w:rPr>
              <w:t>Назив, Одделение</w:t>
            </w:r>
          </w:p>
        </w:tc>
        <w:tc>
          <w:tcPr>
            <w:tcW w:w="6767" w:type="dxa"/>
            <w:gridSpan w:val="5"/>
          </w:tcPr>
          <w:p w:rsidR="009C7763" w:rsidRPr="009913D7" w:rsidRDefault="009C7763" w:rsidP="005909F7">
            <w:pPr>
              <w:rPr>
                <w:sz w:val="20"/>
                <w:szCs w:val="20"/>
                <w:lang w:val="mk-MK"/>
              </w:rPr>
            </w:pPr>
            <w:r w:rsidRPr="009913D7">
              <w:rPr>
                <w:sz w:val="20"/>
                <w:szCs w:val="20"/>
                <w:lang w:val="mk-MK"/>
              </w:rPr>
              <w:t>Државен советник за комуникација на политиките на министерството</w:t>
            </w:r>
          </w:p>
        </w:tc>
      </w:tr>
      <w:tr w:rsidR="009C7763" w:rsidTr="009C7763">
        <w:tc>
          <w:tcPr>
            <w:tcW w:w="3943" w:type="dxa"/>
            <w:gridSpan w:val="2"/>
          </w:tcPr>
          <w:p w:rsidR="009C7763" w:rsidRPr="00381F72" w:rsidRDefault="009C7763" w:rsidP="00C45916">
            <w:pPr>
              <w:jc w:val="both"/>
              <w:rPr>
                <w:color w:val="878786"/>
                <w:spacing w:val="-6"/>
                <w:w w:val="124"/>
                <w:sz w:val="18"/>
                <w:szCs w:val="18"/>
                <w:lang w:val="mk-MK"/>
              </w:rPr>
            </w:pPr>
            <w:r w:rsidRPr="00381F72">
              <w:rPr>
                <w:color w:val="878786"/>
                <w:spacing w:val="-6"/>
                <w:w w:val="124"/>
                <w:sz w:val="18"/>
                <w:szCs w:val="18"/>
                <w:lang w:val="mk-MK"/>
              </w:rPr>
              <w:t xml:space="preserve">          Е-пошгта</w:t>
            </w:r>
          </w:p>
        </w:tc>
        <w:tc>
          <w:tcPr>
            <w:tcW w:w="6767" w:type="dxa"/>
            <w:gridSpan w:val="5"/>
          </w:tcPr>
          <w:p w:rsidR="009C7763" w:rsidRPr="009913D7" w:rsidRDefault="009C7763" w:rsidP="005909F7">
            <w:pPr>
              <w:rPr>
                <w:sz w:val="20"/>
                <w:szCs w:val="20"/>
              </w:rPr>
            </w:pPr>
            <w:r w:rsidRPr="009913D7">
              <w:rPr>
                <w:sz w:val="20"/>
                <w:szCs w:val="20"/>
              </w:rPr>
              <w:t>elicakar@gmail.com</w:t>
            </w:r>
          </w:p>
        </w:tc>
      </w:tr>
      <w:tr w:rsidR="009C7763" w:rsidTr="009C7763">
        <w:tc>
          <w:tcPr>
            <w:tcW w:w="3943" w:type="dxa"/>
            <w:gridSpan w:val="2"/>
          </w:tcPr>
          <w:p w:rsidR="009C7763" w:rsidRPr="00381F72" w:rsidRDefault="009C7763" w:rsidP="00C45916">
            <w:pPr>
              <w:jc w:val="both"/>
              <w:rPr>
                <w:color w:val="878786"/>
                <w:spacing w:val="-6"/>
                <w:w w:val="124"/>
                <w:sz w:val="18"/>
                <w:szCs w:val="18"/>
                <w:lang w:val="mk-MK"/>
              </w:rPr>
            </w:pPr>
            <w:r w:rsidRPr="00381F72">
              <w:rPr>
                <w:color w:val="878786"/>
                <w:spacing w:val="-6"/>
                <w:w w:val="124"/>
                <w:sz w:val="18"/>
                <w:szCs w:val="18"/>
                <w:lang w:val="mk-MK"/>
              </w:rPr>
              <w:t>Телефон</w:t>
            </w:r>
          </w:p>
        </w:tc>
        <w:tc>
          <w:tcPr>
            <w:tcW w:w="6767" w:type="dxa"/>
            <w:gridSpan w:val="5"/>
          </w:tcPr>
          <w:p w:rsidR="009C7763" w:rsidRPr="009913D7" w:rsidRDefault="009C7763" w:rsidP="005909F7">
            <w:pPr>
              <w:rPr>
                <w:sz w:val="20"/>
                <w:szCs w:val="20"/>
              </w:rPr>
            </w:pPr>
            <w:r w:rsidRPr="009913D7">
              <w:rPr>
                <w:sz w:val="20"/>
                <w:szCs w:val="20"/>
              </w:rPr>
              <w:t>071 226 415</w:t>
            </w:r>
          </w:p>
        </w:tc>
      </w:tr>
      <w:tr w:rsidR="00EA3C32" w:rsidTr="009C7763">
        <w:trPr>
          <w:trHeight w:val="486"/>
        </w:trPr>
        <w:tc>
          <w:tcPr>
            <w:tcW w:w="1803" w:type="dxa"/>
            <w:vMerge w:val="restart"/>
          </w:tcPr>
          <w:p w:rsidR="00EA3C32" w:rsidRPr="00381F72" w:rsidRDefault="00EA3C32" w:rsidP="00C45916">
            <w:pPr>
              <w:jc w:val="both"/>
              <w:rPr>
                <w:color w:val="878786"/>
                <w:spacing w:val="-6"/>
                <w:w w:val="124"/>
                <w:sz w:val="18"/>
                <w:szCs w:val="18"/>
                <w:lang w:val="mk-MK"/>
              </w:rPr>
            </w:pPr>
            <w:r w:rsidRPr="00381F72">
              <w:rPr>
                <w:color w:val="878786"/>
                <w:spacing w:val="-6"/>
                <w:w w:val="124"/>
                <w:sz w:val="18"/>
                <w:szCs w:val="18"/>
                <w:lang w:val="mk-MK"/>
              </w:rPr>
              <w:t xml:space="preserve">          Други</w:t>
            </w:r>
          </w:p>
          <w:p w:rsidR="00EA3C32" w:rsidRPr="00381F72" w:rsidRDefault="00EA3C32" w:rsidP="00C45916">
            <w:pPr>
              <w:pStyle w:val="ListParagraph"/>
              <w:ind w:left="360"/>
              <w:jc w:val="both"/>
              <w:rPr>
                <w:color w:val="878786"/>
                <w:spacing w:val="-6"/>
                <w:w w:val="124"/>
                <w:sz w:val="18"/>
                <w:szCs w:val="18"/>
                <w:lang w:val="mk-MK"/>
              </w:rPr>
            </w:pPr>
            <w:r w:rsidRPr="00381F72">
              <w:rPr>
                <w:color w:val="878786"/>
                <w:spacing w:val="-6"/>
                <w:w w:val="124"/>
                <w:sz w:val="18"/>
                <w:szCs w:val="18"/>
                <w:lang w:val="mk-MK"/>
              </w:rPr>
              <w:t>Инволвирани учесници</w:t>
            </w:r>
          </w:p>
          <w:p w:rsidR="00EA3C32" w:rsidRPr="00381F72" w:rsidRDefault="00EA3C32" w:rsidP="00C45916">
            <w:pPr>
              <w:pStyle w:val="ListParagraph"/>
              <w:ind w:left="360"/>
              <w:jc w:val="both"/>
              <w:rPr>
                <w:color w:val="878786"/>
                <w:spacing w:val="-6"/>
                <w:w w:val="124"/>
                <w:sz w:val="18"/>
                <w:szCs w:val="18"/>
                <w:lang w:val="mk-MK"/>
              </w:rPr>
            </w:pPr>
          </w:p>
          <w:p w:rsidR="00EA3C32" w:rsidRPr="00381F72" w:rsidRDefault="00EA3C32" w:rsidP="00C45916">
            <w:pPr>
              <w:pStyle w:val="ListParagraph"/>
              <w:ind w:left="360"/>
              <w:jc w:val="both"/>
              <w:rPr>
                <w:color w:val="878786"/>
                <w:spacing w:val="-6"/>
                <w:w w:val="124"/>
                <w:sz w:val="18"/>
                <w:szCs w:val="18"/>
                <w:lang w:val="mk-MK"/>
              </w:rPr>
            </w:pPr>
          </w:p>
        </w:tc>
        <w:tc>
          <w:tcPr>
            <w:tcW w:w="2140" w:type="dxa"/>
          </w:tcPr>
          <w:p w:rsidR="00EA3C32" w:rsidRPr="00381F72" w:rsidRDefault="00EA3C32" w:rsidP="00C45916">
            <w:pPr>
              <w:jc w:val="both"/>
              <w:rPr>
                <w:color w:val="878786"/>
                <w:spacing w:val="-6"/>
                <w:w w:val="124"/>
                <w:sz w:val="18"/>
                <w:szCs w:val="18"/>
                <w:lang w:val="mk-MK"/>
              </w:rPr>
            </w:pPr>
            <w:r w:rsidRPr="00381F72">
              <w:rPr>
                <w:color w:val="878786"/>
                <w:spacing w:val="-6"/>
                <w:w w:val="124"/>
                <w:sz w:val="18"/>
                <w:szCs w:val="18"/>
                <w:lang w:val="mk-MK"/>
              </w:rPr>
              <w:t>Влада</w:t>
            </w:r>
          </w:p>
        </w:tc>
        <w:tc>
          <w:tcPr>
            <w:tcW w:w="6767" w:type="dxa"/>
            <w:gridSpan w:val="5"/>
          </w:tcPr>
          <w:p w:rsidR="00EA3C32" w:rsidRPr="009913D7" w:rsidRDefault="00EA3C32" w:rsidP="005909F7">
            <w:pPr>
              <w:rPr>
                <w:sz w:val="20"/>
                <w:szCs w:val="20"/>
                <w:lang w:val="mk-MK"/>
              </w:rPr>
            </w:pPr>
            <w:r w:rsidRPr="009913D7">
              <w:rPr>
                <w:sz w:val="20"/>
                <w:szCs w:val="20"/>
              </w:rPr>
              <w:t>Министерство за информатичко општество и администрацијa,</w:t>
            </w:r>
          </w:p>
          <w:p w:rsidR="00EA3C32" w:rsidRPr="009913D7" w:rsidRDefault="00EA3C32" w:rsidP="005909F7">
            <w:pPr>
              <w:rPr>
                <w:sz w:val="20"/>
                <w:szCs w:val="20"/>
                <w:lang w:val="mk-MK"/>
              </w:rPr>
            </w:pPr>
            <w:r w:rsidRPr="009913D7">
              <w:rPr>
                <w:sz w:val="20"/>
                <w:szCs w:val="20"/>
                <w:lang w:val="mk-MK"/>
              </w:rPr>
              <w:t xml:space="preserve">Дирекција за заштита на лични податоци, </w:t>
            </w:r>
          </w:p>
          <w:p w:rsidR="00EA3C32" w:rsidRPr="009913D7" w:rsidRDefault="00EA3C32" w:rsidP="005909F7">
            <w:pPr>
              <w:rPr>
                <w:sz w:val="20"/>
                <w:szCs w:val="20"/>
              </w:rPr>
            </w:pPr>
            <w:r w:rsidRPr="009913D7">
              <w:rPr>
                <w:sz w:val="20"/>
                <w:szCs w:val="20"/>
              </w:rPr>
              <w:t>Комисија за слободен пристап до информации од јавен карактер,</w:t>
            </w:r>
          </w:p>
          <w:p w:rsidR="00EA3C32" w:rsidRPr="00EA3C32" w:rsidRDefault="00EA3C32" w:rsidP="005909F7">
            <w:pPr>
              <w:rPr>
                <w:sz w:val="20"/>
                <w:szCs w:val="20"/>
                <w:lang w:val="mk-MK"/>
              </w:rPr>
            </w:pPr>
            <w:r>
              <w:rPr>
                <w:sz w:val="20"/>
                <w:szCs w:val="20"/>
                <w:lang w:val="mk-MK"/>
              </w:rPr>
              <w:t>Општини</w:t>
            </w:r>
          </w:p>
          <w:p w:rsidR="00EA3C32" w:rsidRPr="009913D7" w:rsidRDefault="00EA3C32" w:rsidP="005909F7">
            <w:pPr>
              <w:rPr>
                <w:sz w:val="20"/>
                <w:szCs w:val="20"/>
              </w:rPr>
            </w:pPr>
            <w:r w:rsidRPr="009913D7">
              <w:rPr>
                <w:sz w:val="20"/>
                <w:szCs w:val="20"/>
              </w:rPr>
              <w:t>Комисија за слободен пристап до информации од јавен карактер</w:t>
            </w:r>
          </w:p>
          <w:p w:rsidR="00EA3C32" w:rsidRPr="00EA3C32" w:rsidRDefault="00EA3C32" w:rsidP="00EA3C32">
            <w:pPr>
              <w:rPr>
                <w:sz w:val="20"/>
                <w:szCs w:val="20"/>
                <w:lang w:val="mk-MK"/>
              </w:rPr>
            </w:pPr>
            <w:r w:rsidRPr="009913D7">
              <w:rPr>
                <w:sz w:val="20"/>
                <w:szCs w:val="20"/>
              </w:rPr>
              <w:t>Дирекција за заштита на лични податоци</w:t>
            </w:r>
          </w:p>
        </w:tc>
      </w:tr>
      <w:tr w:rsidR="00EA3C32" w:rsidTr="009C7763">
        <w:trPr>
          <w:trHeight w:val="625"/>
        </w:trPr>
        <w:tc>
          <w:tcPr>
            <w:tcW w:w="1803" w:type="dxa"/>
            <w:vMerge/>
          </w:tcPr>
          <w:p w:rsidR="00EA3C32" w:rsidRPr="00381F72" w:rsidRDefault="00EA3C32" w:rsidP="00C45916">
            <w:pPr>
              <w:jc w:val="both"/>
              <w:rPr>
                <w:color w:val="878786"/>
                <w:spacing w:val="-6"/>
                <w:w w:val="124"/>
                <w:sz w:val="18"/>
                <w:szCs w:val="18"/>
                <w:lang w:val="mk-MK"/>
              </w:rPr>
            </w:pPr>
          </w:p>
        </w:tc>
        <w:tc>
          <w:tcPr>
            <w:tcW w:w="2140" w:type="dxa"/>
          </w:tcPr>
          <w:p w:rsidR="00EA3C32" w:rsidRPr="00381F72" w:rsidRDefault="00EA3C32" w:rsidP="00C45916">
            <w:pPr>
              <w:pStyle w:val="ListParagraph"/>
              <w:ind w:left="0"/>
              <w:jc w:val="both"/>
              <w:rPr>
                <w:color w:val="878786"/>
                <w:spacing w:val="-6"/>
                <w:w w:val="124"/>
                <w:sz w:val="18"/>
                <w:szCs w:val="18"/>
                <w:lang w:val="mk-MK"/>
              </w:rPr>
            </w:pPr>
            <w:r w:rsidRPr="00381F72">
              <w:rPr>
                <w:color w:val="878786"/>
                <w:spacing w:val="-6"/>
                <w:w w:val="124"/>
                <w:sz w:val="18"/>
                <w:szCs w:val="18"/>
                <w:lang w:val="mk-MK"/>
              </w:rPr>
              <w:t xml:space="preserve">ЦСО, приватен сектор,работни групи,мултилатерали  </w:t>
            </w:r>
          </w:p>
        </w:tc>
        <w:tc>
          <w:tcPr>
            <w:tcW w:w="6767" w:type="dxa"/>
            <w:gridSpan w:val="5"/>
          </w:tcPr>
          <w:p w:rsidR="00EA3C32" w:rsidRPr="009913D7" w:rsidRDefault="00EA3C32" w:rsidP="005909F7">
            <w:pPr>
              <w:rPr>
                <w:sz w:val="20"/>
                <w:szCs w:val="20"/>
              </w:rPr>
            </w:pPr>
            <w:r w:rsidRPr="009913D7">
              <w:rPr>
                <w:sz w:val="20"/>
                <w:szCs w:val="20"/>
              </w:rPr>
              <w:t>Заедница на единиците на локалната самоуправа</w:t>
            </w:r>
            <w:r w:rsidRPr="009913D7">
              <w:rPr>
                <w:sz w:val="20"/>
                <w:szCs w:val="20"/>
                <w:lang w:val="mk-MK"/>
              </w:rPr>
              <w:t>.,</w:t>
            </w:r>
          </w:p>
          <w:p w:rsidR="00EA3C32" w:rsidRPr="009913D7" w:rsidRDefault="00EA3C32" w:rsidP="005909F7">
            <w:pPr>
              <w:rPr>
                <w:sz w:val="20"/>
                <w:szCs w:val="20"/>
                <w:lang w:val="mk-MK"/>
              </w:rPr>
            </w:pPr>
            <w:r w:rsidRPr="009913D7">
              <w:rPr>
                <w:sz w:val="20"/>
                <w:szCs w:val="20"/>
                <w:lang w:val="mk-MK"/>
              </w:rPr>
              <w:t>УНДП</w:t>
            </w:r>
          </w:p>
          <w:p w:rsidR="00EA3C32" w:rsidRPr="009913D7" w:rsidRDefault="00EA3C32" w:rsidP="005909F7">
            <w:pPr>
              <w:rPr>
                <w:sz w:val="20"/>
                <w:szCs w:val="20"/>
                <w:lang w:val="mk-MK"/>
              </w:rPr>
            </w:pPr>
            <w:r w:rsidRPr="009913D7">
              <w:rPr>
                <w:sz w:val="20"/>
                <w:szCs w:val="20"/>
              </w:rPr>
              <w:t>Единица за координатор на Форумите</w:t>
            </w:r>
            <w:r w:rsidRPr="009913D7">
              <w:rPr>
                <w:sz w:val="20"/>
                <w:szCs w:val="20"/>
                <w:lang w:val="mk-MK"/>
              </w:rPr>
              <w:t>,</w:t>
            </w:r>
          </w:p>
          <w:p w:rsidR="00EA3C32" w:rsidRPr="009913D7" w:rsidRDefault="00EA3C32" w:rsidP="005909F7">
            <w:pPr>
              <w:rPr>
                <w:sz w:val="20"/>
                <w:szCs w:val="20"/>
              </w:rPr>
            </w:pPr>
            <w:r w:rsidRPr="009913D7">
              <w:rPr>
                <w:sz w:val="20"/>
                <w:szCs w:val="20"/>
              </w:rPr>
              <w:t>Центар за истражување и креирање на политики</w:t>
            </w:r>
          </w:p>
          <w:p w:rsidR="00EA3C32" w:rsidRPr="009913D7" w:rsidRDefault="00EA3C32" w:rsidP="005909F7">
            <w:pPr>
              <w:rPr>
                <w:sz w:val="20"/>
                <w:szCs w:val="20"/>
                <w:lang w:val="mk-MK"/>
              </w:rPr>
            </w:pPr>
            <w:r w:rsidRPr="009913D7">
              <w:rPr>
                <w:sz w:val="20"/>
                <w:szCs w:val="20"/>
              </w:rPr>
              <w:t>Центар за граѓански комуникации</w:t>
            </w:r>
            <w:r w:rsidRPr="009913D7">
              <w:rPr>
                <w:sz w:val="20"/>
                <w:szCs w:val="20"/>
                <w:lang w:val="mk-MK"/>
              </w:rPr>
              <w:t>,</w:t>
            </w:r>
          </w:p>
          <w:p w:rsidR="00EA3C32" w:rsidRPr="009913D7" w:rsidRDefault="00EA3C32" w:rsidP="005909F7">
            <w:pPr>
              <w:rPr>
                <w:sz w:val="20"/>
                <w:szCs w:val="20"/>
                <w:lang w:val="mk-MK"/>
              </w:rPr>
            </w:pPr>
            <w:r w:rsidRPr="009913D7">
              <w:rPr>
                <w:sz w:val="20"/>
                <w:szCs w:val="20"/>
              </w:rPr>
              <w:t>Здружение за развој на ромската заедница во Република Македонија, СУМНАЛ</w:t>
            </w:r>
            <w:r w:rsidRPr="009913D7">
              <w:rPr>
                <w:sz w:val="20"/>
                <w:szCs w:val="20"/>
                <w:lang w:val="mk-MK"/>
              </w:rPr>
              <w:t>,</w:t>
            </w:r>
          </w:p>
          <w:p w:rsidR="00EA3C32" w:rsidRPr="009913D7" w:rsidRDefault="00EA3C32" w:rsidP="005909F7">
            <w:pPr>
              <w:rPr>
                <w:sz w:val="20"/>
                <w:szCs w:val="20"/>
              </w:rPr>
            </w:pPr>
            <w:r w:rsidRPr="009913D7">
              <w:rPr>
                <w:sz w:val="20"/>
                <w:szCs w:val="20"/>
              </w:rPr>
              <w:t>Центар за европски развој и интеграција-Битола</w:t>
            </w:r>
          </w:p>
          <w:p w:rsidR="00EA3C32" w:rsidRPr="009913D7" w:rsidRDefault="00EA3C32" w:rsidP="005909F7">
            <w:pPr>
              <w:rPr>
                <w:sz w:val="20"/>
                <w:szCs w:val="20"/>
                <w:lang w:val="mk-MK"/>
              </w:rPr>
            </w:pPr>
            <w:r w:rsidRPr="009913D7">
              <w:rPr>
                <w:sz w:val="20"/>
                <w:szCs w:val="20"/>
              </w:rPr>
              <w:t>Едукативно-хуманитарна организација – Штип</w:t>
            </w:r>
            <w:r w:rsidRPr="009913D7">
              <w:rPr>
                <w:sz w:val="20"/>
                <w:szCs w:val="20"/>
                <w:lang w:val="mk-MK"/>
              </w:rPr>
              <w:t xml:space="preserve">, </w:t>
            </w:r>
          </w:p>
          <w:p w:rsidR="00EA3C32" w:rsidRPr="009913D7" w:rsidRDefault="00EA3C32" w:rsidP="005909F7">
            <w:pPr>
              <w:rPr>
                <w:sz w:val="20"/>
                <w:szCs w:val="20"/>
              </w:rPr>
            </w:pPr>
            <w:r w:rsidRPr="009913D7">
              <w:rPr>
                <w:sz w:val="20"/>
                <w:szCs w:val="20"/>
              </w:rPr>
              <w:t>Грин-Пауер-Велес</w:t>
            </w:r>
          </w:p>
          <w:p w:rsidR="00EA3C32" w:rsidRPr="009913D7" w:rsidRDefault="00EA3C32" w:rsidP="005909F7">
            <w:pPr>
              <w:rPr>
                <w:sz w:val="20"/>
                <w:szCs w:val="20"/>
              </w:rPr>
            </w:pPr>
            <w:r w:rsidRPr="009913D7">
              <w:rPr>
                <w:sz w:val="20"/>
                <w:szCs w:val="20"/>
              </w:rPr>
              <w:t>Институт за економски стратегии и меѓународни односи-Охрид</w:t>
            </w:r>
          </w:p>
          <w:p w:rsidR="00EA3C32" w:rsidRPr="009913D7" w:rsidRDefault="00EA3C32" w:rsidP="005909F7">
            <w:pPr>
              <w:rPr>
                <w:sz w:val="20"/>
                <w:szCs w:val="20"/>
              </w:rPr>
            </w:pPr>
            <w:r w:rsidRPr="009913D7">
              <w:rPr>
                <w:sz w:val="20"/>
                <w:szCs w:val="20"/>
              </w:rPr>
              <w:t>Институт за демократија-Социетас Цивилис-Скопје</w:t>
            </w:r>
          </w:p>
          <w:p w:rsidR="00EA3C32" w:rsidRPr="009913D7" w:rsidRDefault="00EA3C32" w:rsidP="005909F7">
            <w:pPr>
              <w:rPr>
                <w:sz w:val="20"/>
                <w:szCs w:val="20"/>
              </w:rPr>
            </w:pPr>
            <w:r w:rsidRPr="009913D7">
              <w:rPr>
                <w:sz w:val="20"/>
                <w:szCs w:val="20"/>
              </w:rPr>
              <w:t xml:space="preserve"> Фондација за интернет и општество-Метаморфозис</w:t>
            </w:r>
          </w:p>
        </w:tc>
      </w:tr>
      <w:tr w:rsidR="00EA3C32" w:rsidTr="009C7763">
        <w:tc>
          <w:tcPr>
            <w:tcW w:w="3943" w:type="dxa"/>
            <w:gridSpan w:val="2"/>
          </w:tcPr>
          <w:p w:rsidR="00EA3C32" w:rsidRPr="00381F72" w:rsidRDefault="00EA3C32" w:rsidP="00C45916">
            <w:pPr>
              <w:jc w:val="both"/>
              <w:rPr>
                <w:color w:val="878786"/>
                <w:spacing w:val="-6"/>
                <w:w w:val="124"/>
                <w:sz w:val="18"/>
                <w:szCs w:val="18"/>
                <w:lang w:val="mk-MK"/>
              </w:rPr>
            </w:pPr>
            <w:r w:rsidRPr="00381F72">
              <w:rPr>
                <w:color w:val="878786"/>
                <w:spacing w:val="-6"/>
                <w:w w:val="124"/>
                <w:sz w:val="18"/>
                <w:szCs w:val="18"/>
                <w:lang w:val="mk-MK"/>
              </w:rPr>
              <w:t>Главна цел</w:t>
            </w:r>
          </w:p>
        </w:tc>
        <w:tc>
          <w:tcPr>
            <w:tcW w:w="6767" w:type="dxa"/>
            <w:gridSpan w:val="5"/>
          </w:tcPr>
          <w:p w:rsidR="00EA3C32" w:rsidRPr="009913D7" w:rsidRDefault="00EA3C32" w:rsidP="005909F7">
            <w:pPr>
              <w:rPr>
                <w:sz w:val="20"/>
                <w:szCs w:val="20"/>
                <w:lang w:val="mk-MK"/>
              </w:rPr>
            </w:pPr>
            <w:r w:rsidRPr="009913D7">
              <w:rPr>
                <w:sz w:val="20"/>
                <w:szCs w:val="20"/>
                <w:lang w:val="mk-MK"/>
              </w:rPr>
              <w:t xml:space="preserve">Поттикнувачка и овозможувачка околина на локално ниво  (изградени административни  капацитети во општините  и развиени  процедури и иновативни алатки) за поедноставен и предвидлив пристап до информации од јавен карактер, институционализирани начини за комуникација и </w:t>
            </w:r>
            <w:r w:rsidRPr="009913D7">
              <w:rPr>
                <w:sz w:val="20"/>
                <w:szCs w:val="20"/>
                <w:lang w:val="mk-MK"/>
              </w:rPr>
              <w:lastRenderedPageBreak/>
              <w:t>консултација со граѓаните, како и креирани минимум стандарди за  транспарентност за сите општини.</w:t>
            </w:r>
          </w:p>
        </w:tc>
      </w:tr>
      <w:tr w:rsidR="00EA3C32" w:rsidTr="009C7763">
        <w:tc>
          <w:tcPr>
            <w:tcW w:w="3943" w:type="dxa"/>
            <w:gridSpan w:val="2"/>
          </w:tcPr>
          <w:p w:rsidR="00EA3C32" w:rsidRPr="00381F72" w:rsidRDefault="00EA3C32" w:rsidP="00C45916">
            <w:pPr>
              <w:jc w:val="both"/>
              <w:rPr>
                <w:color w:val="878786"/>
                <w:spacing w:val="-6"/>
                <w:w w:val="124"/>
                <w:sz w:val="18"/>
                <w:szCs w:val="18"/>
                <w:lang w:val="mk-MK"/>
              </w:rPr>
            </w:pPr>
            <w:r w:rsidRPr="00381F72">
              <w:rPr>
                <w:color w:val="878786"/>
                <w:spacing w:val="-6"/>
                <w:w w:val="124"/>
                <w:sz w:val="18"/>
                <w:szCs w:val="18"/>
                <w:lang w:val="mk-MK"/>
              </w:rPr>
              <w:lastRenderedPageBreak/>
              <w:t>Краток опис на заложбата (макс 140 карактери)</w:t>
            </w:r>
          </w:p>
        </w:tc>
        <w:tc>
          <w:tcPr>
            <w:tcW w:w="6767" w:type="dxa"/>
            <w:gridSpan w:val="5"/>
          </w:tcPr>
          <w:p w:rsidR="00EA3C32" w:rsidRPr="009913D7" w:rsidRDefault="00EA3C32" w:rsidP="005909F7">
            <w:pPr>
              <w:rPr>
                <w:sz w:val="20"/>
                <w:szCs w:val="20"/>
                <w:lang w:val="mk-MK"/>
              </w:rPr>
            </w:pPr>
            <w:r w:rsidRPr="009913D7">
              <w:rPr>
                <w:sz w:val="20"/>
                <w:szCs w:val="20"/>
                <w:lang w:val="mk-MK"/>
              </w:rPr>
              <w:t xml:space="preserve">Да се зајакнат административните капацитети  и да се развијат  механизми и иновативни алатки за добро управување, заради обезбедување на транспаренрност, отчетност, партиципативност и инклузивост на локално ниво.  </w:t>
            </w:r>
          </w:p>
        </w:tc>
      </w:tr>
      <w:tr w:rsidR="00EA3C32" w:rsidTr="009C7763">
        <w:tc>
          <w:tcPr>
            <w:tcW w:w="3943" w:type="dxa"/>
            <w:gridSpan w:val="2"/>
          </w:tcPr>
          <w:p w:rsidR="00EA3C32" w:rsidRPr="00381F72" w:rsidRDefault="00EA3C32" w:rsidP="00C45916">
            <w:pPr>
              <w:jc w:val="both"/>
              <w:rPr>
                <w:color w:val="878786"/>
                <w:spacing w:val="-6"/>
                <w:w w:val="124"/>
                <w:sz w:val="18"/>
                <w:szCs w:val="18"/>
                <w:lang w:val="mk-MK"/>
              </w:rPr>
            </w:pPr>
            <w:r w:rsidRPr="00381F72">
              <w:rPr>
                <w:color w:val="878786"/>
                <w:spacing w:val="-6"/>
                <w:w w:val="124"/>
                <w:sz w:val="18"/>
                <w:szCs w:val="18"/>
                <w:lang w:val="mk-MK"/>
              </w:rPr>
              <w:t>Релевантност</w:t>
            </w:r>
          </w:p>
          <w:p w:rsidR="00EA3C32" w:rsidRPr="00381F72" w:rsidRDefault="00EA3C32" w:rsidP="00C45916">
            <w:pPr>
              <w:jc w:val="both"/>
              <w:rPr>
                <w:color w:val="878786"/>
                <w:spacing w:val="-6"/>
                <w:w w:val="124"/>
                <w:sz w:val="18"/>
                <w:szCs w:val="18"/>
                <w:lang w:val="mk-MK"/>
              </w:rPr>
            </w:pPr>
            <w:r w:rsidRPr="00381F72">
              <w:rPr>
                <w:color w:val="878786"/>
                <w:spacing w:val="-6"/>
                <w:w w:val="124"/>
                <w:sz w:val="18"/>
                <w:szCs w:val="18"/>
                <w:lang w:val="mk-MK"/>
              </w:rPr>
              <w:t>Накратко опишете го начинот на кој оваа заложба е релевантна за понатамошно унапредување на вредностите на ОВП,</w:t>
            </w:r>
          </w:p>
          <w:p w:rsidR="00EA3C32" w:rsidRPr="00381F72" w:rsidRDefault="00EA3C32" w:rsidP="00C45916">
            <w:pPr>
              <w:pStyle w:val="ListParagraph"/>
              <w:ind w:left="0"/>
              <w:jc w:val="both"/>
              <w:rPr>
                <w:color w:val="878786"/>
                <w:spacing w:val="-6"/>
                <w:w w:val="124"/>
                <w:sz w:val="18"/>
                <w:szCs w:val="18"/>
                <w:lang w:val="mk-MK"/>
              </w:rPr>
            </w:pPr>
            <w:r w:rsidRPr="00381F72">
              <w:rPr>
                <w:color w:val="878786"/>
                <w:spacing w:val="-6"/>
                <w:w w:val="124"/>
                <w:sz w:val="18"/>
                <w:szCs w:val="18"/>
                <w:lang w:val="mk-MK"/>
              </w:rPr>
              <w:t>на пристап до информации, јавна одговорност, граѓанско учество, и технологија и иновации за отвореност и одговорност. (Детален опис на овие вредности е достапна во Забелешка за насоки во врска со Извештајот за ОВП)</w:t>
            </w:r>
          </w:p>
        </w:tc>
        <w:tc>
          <w:tcPr>
            <w:tcW w:w="6767" w:type="dxa"/>
            <w:gridSpan w:val="5"/>
          </w:tcPr>
          <w:p w:rsidR="00EA3C32" w:rsidRPr="009913D7" w:rsidRDefault="00EA3C32" w:rsidP="00EA3C32">
            <w:pPr>
              <w:jc w:val="both"/>
              <w:rPr>
                <w:sz w:val="20"/>
                <w:szCs w:val="20"/>
                <w:lang w:val="mk-MK"/>
              </w:rPr>
            </w:pPr>
            <w:r w:rsidRPr="009913D7">
              <w:rPr>
                <w:sz w:val="20"/>
                <w:szCs w:val="20"/>
                <w:lang w:val="mk-MK"/>
              </w:rPr>
              <w:t>Процесот на децентрализација во Република Македонија е заокружен со трансфер на голем број суштински надлежности на локално ниво. Своите основни животни и социјални потреби, граѓаните ги остваруваат во општината. Од тие причини неопходно е да се создадат услови кои ќе ги поттикнат граѓаните да се вклучат во процесите на донесување на одлуки на локално ниво преку поголема отвореност на општината(информирање, комуникација и консултација на граѓаните од страна на локалните власти).</w:t>
            </w:r>
          </w:p>
          <w:p w:rsidR="00EA3C32" w:rsidRPr="009913D7" w:rsidRDefault="00EA3C32" w:rsidP="00EA3C32">
            <w:pPr>
              <w:jc w:val="both"/>
              <w:rPr>
                <w:sz w:val="20"/>
                <w:szCs w:val="20"/>
                <w:lang w:val="mk-MK"/>
              </w:rPr>
            </w:pPr>
            <w:r w:rsidRPr="009913D7">
              <w:rPr>
                <w:sz w:val="20"/>
                <w:szCs w:val="20"/>
                <w:lang w:val="mk-MK"/>
              </w:rPr>
              <w:t>Во изминатата деценија акцентот беше ставен на зајакнување на капацитетите за испорака на услугите, како и на обезбедување на соодветни извори на финансирање. Врз основа на направените анализи и истражување на перцепцијата на граѓаните, во Програмата за оддржлив локален развој и децентрализација 2015-2020 се нагласува потребата од охрабрување на граѓанското учество во одлучувањето за прашања од локална надлежност, градење партнерства меѓу локалната власт и</w:t>
            </w:r>
          </w:p>
          <w:p w:rsidR="00EA3C32" w:rsidRPr="009913D7" w:rsidRDefault="00EA3C32" w:rsidP="00EA3C32">
            <w:pPr>
              <w:jc w:val="both"/>
              <w:rPr>
                <w:sz w:val="20"/>
                <w:szCs w:val="20"/>
                <w:lang w:val="mk-MK"/>
              </w:rPr>
            </w:pPr>
            <w:r w:rsidRPr="009913D7">
              <w:rPr>
                <w:sz w:val="20"/>
                <w:szCs w:val="20"/>
                <w:lang w:val="mk-MK"/>
              </w:rPr>
              <w:t>граѓанското општество, имплементирање на заеднички проекти.</w:t>
            </w:r>
          </w:p>
          <w:p w:rsidR="00EA3C32" w:rsidRPr="009913D7" w:rsidRDefault="00EA3C32" w:rsidP="00EA3C32">
            <w:pPr>
              <w:jc w:val="both"/>
              <w:rPr>
                <w:sz w:val="20"/>
                <w:szCs w:val="20"/>
                <w:lang w:val="mk-MK"/>
              </w:rPr>
            </w:pPr>
            <w:r w:rsidRPr="009913D7">
              <w:rPr>
                <w:sz w:val="20"/>
                <w:szCs w:val="20"/>
                <w:lang w:val="mk-MK"/>
              </w:rPr>
              <w:t>1.Една од специфичните цели  е партиципативното владеење на</w:t>
            </w:r>
          </w:p>
          <w:p w:rsidR="00EA3C32" w:rsidRPr="009913D7" w:rsidRDefault="00EA3C32" w:rsidP="00EA3C32">
            <w:pPr>
              <w:jc w:val="both"/>
              <w:rPr>
                <w:sz w:val="20"/>
                <w:szCs w:val="20"/>
                <w:lang w:val="mk-MK"/>
              </w:rPr>
            </w:pPr>
            <w:r w:rsidRPr="009913D7">
              <w:rPr>
                <w:sz w:val="20"/>
                <w:szCs w:val="20"/>
                <w:lang w:val="mk-MK"/>
              </w:rPr>
              <w:t>локално ниво, а активностите кои се поттикнуваат за оваа цел се</w:t>
            </w:r>
          </w:p>
          <w:p w:rsidR="00EA3C32" w:rsidRPr="009913D7" w:rsidRDefault="00EA3C32" w:rsidP="00EA3C32">
            <w:pPr>
              <w:jc w:val="both"/>
              <w:rPr>
                <w:sz w:val="20"/>
                <w:szCs w:val="20"/>
                <w:lang w:val="mk-MK"/>
              </w:rPr>
            </w:pPr>
            <w:r w:rsidRPr="009913D7">
              <w:rPr>
                <w:sz w:val="20"/>
                <w:szCs w:val="20"/>
                <w:lang w:val="mk-MK"/>
              </w:rPr>
              <w:t>воспоставување на инструменти за поттикн</w:t>
            </w:r>
            <w:r>
              <w:rPr>
                <w:sz w:val="20"/>
                <w:szCs w:val="20"/>
                <w:lang w:val="mk-MK"/>
              </w:rPr>
              <w:t>ување на соработката меѓу ЕЛС и</w:t>
            </w:r>
            <w:r w:rsidRPr="009913D7">
              <w:rPr>
                <w:sz w:val="20"/>
                <w:szCs w:val="20"/>
                <w:lang w:val="mk-MK"/>
              </w:rPr>
              <w:t>граѓанскиот сектор, воспоставување на соодветни административни</w:t>
            </w:r>
          </w:p>
          <w:p w:rsidR="00EA3C32" w:rsidRPr="009913D7" w:rsidRDefault="00EA3C32" w:rsidP="00EA3C32">
            <w:pPr>
              <w:jc w:val="both"/>
              <w:rPr>
                <w:sz w:val="20"/>
                <w:szCs w:val="20"/>
                <w:lang w:val="mk-MK"/>
              </w:rPr>
            </w:pPr>
            <w:r w:rsidRPr="009913D7">
              <w:rPr>
                <w:sz w:val="20"/>
                <w:szCs w:val="20"/>
                <w:lang w:val="mk-MK"/>
              </w:rPr>
              <w:t xml:space="preserve">структури на локално ниво за водење на консултативните процеси, </w:t>
            </w:r>
          </w:p>
          <w:p w:rsidR="00EA3C32" w:rsidRPr="009913D7" w:rsidRDefault="00EA3C32" w:rsidP="00EA3C32">
            <w:pPr>
              <w:jc w:val="both"/>
              <w:rPr>
                <w:sz w:val="20"/>
                <w:szCs w:val="20"/>
                <w:lang w:val="mk-MK"/>
              </w:rPr>
            </w:pPr>
            <w:r w:rsidRPr="009913D7">
              <w:rPr>
                <w:sz w:val="20"/>
                <w:szCs w:val="20"/>
                <w:lang w:val="mk-MK"/>
              </w:rPr>
              <w:t>зајакнување на капацитетите на ЕЛС за воспоставување на процедури за спроведување на консултативен процес.</w:t>
            </w:r>
          </w:p>
          <w:p w:rsidR="00EA3C32" w:rsidRPr="00381F72" w:rsidRDefault="00EA3C32" w:rsidP="00C45916">
            <w:pPr>
              <w:pStyle w:val="ListParagraph"/>
              <w:ind w:left="360"/>
              <w:jc w:val="both"/>
              <w:rPr>
                <w:color w:val="878786"/>
                <w:spacing w:val="-6"/>
                <w:w w:val="124"/>
                <w:sz w:val="18"/>
                <w:szCs w:val="18"/>
                <w:lang w:val="mk-MK"/>
              </w:rPr>
            </w:pPr>
          </w:p>
        </w:tc>
      </w:tr>
      <w:tr w:rsidR="00EA3C32" w:rsidTr="009C7763">
        <w:tc>
          <w:tcPr>
            <w:tcW w:w="3943" w:type="dxa"/>
            <w:gridSpan w:val="2"/>
            <w:tcBorders>
              <w:bottom w:val="single" w:sz="4" w:space="0" w:color="auto"/>
            </w:tcBorders>
          </w:tcPr>
          <w:p w:rsidR="00EA3C32" w:rsidRPr="00381F72" w:rsidRDefault="00EA3C32" w:rsidP="00C45916">
            <w:pPr>
              <w:jc w:val="both"/>
              <w:rPr>
                <w:color w:val="878786"/>
                <w:spacing w:val="-6"/>
                <w:w w:val="124"/>
                <w:sz w:val="18"/>
                <w:szCs w:val="18"/>
                <w:lang w:val="mk-MK"/>
              </w:rPr>
            </w:pPr>
            <w:r w:rsidRPr="00381F72">
              <w:rPr>
                <w:color w:val="878786"/>
                <w:spacing w:val="-6"/>
                <w:w w:val="124"/>
                <w:sz w:val="18"/>
                <w:szCs w:val="18"/>
                <w:lang w:val="mk-MK"/>
              </w:rPr>
              <w:t>Амбиција</w:t>
            </w:r>
          </w:p>
          <w:p w:rsidR="00EA3C32" w:rsidRPr="00381F72" w:rsidRDefault="00EA3C32" w:rsidP="00C45916">
            <w:pPr>
              <w:pStyle w:val="ListParagraph"/>
              <w:ind w:left="0"/>
              <w:jc w:val="both"/>
              <w:rPr>
                <w:color w:val="878786"/>
                <w:spacing w:val="-6"/>
                <w:w w:val="124"/>
                <w:sz w:val="18"/>
                <w:szCs w:val="18"/>
                <w:lang w:val="mk-MK"/>
              </w:rPr>
            </w:pPr>
            <w:r w:rsidRPr="00381F72">
              <w:rPr>
                <w:color w:val="878786"/>
                <w:spacing w:val="-6"/>
                <w:w w:val="124"/>
                <w:sz w:val="18"/>
                <w:szCs w:val="18"/>
                <w:lang w:val="mk-MK"/>
              </w:rPr>
              <w:t>Накратко опишете ги планираните резултати за политика на посветеност и тоа како таа или ќе ја направи владата поотворена или ќе ја подобри Владата преку поголема отвореност.</w:t>
            </w:r>
          </w:p>
        </w:tc>
        <w:tc>
          <w:tcPr>
            <w:tcW w:w="6767" w:type="dxa"/>
            <w:gridSpan w:val="5"/>
            <w:tcBorders>
              <w:bottom w:val="single" w:sz="4" w:space="0" w:color="auto"/>
            </w:tcBorders>
          </w:tcPr>
          <w:p w:rsidR="00EA3C32" w:rsidRPr="00EA3C32" w:rsidRDefault="00EA3C32" w:rsidP="00EA3C32">
            <w:pPr>
              <w:rPr>
                <w:sz w:val="20"/>
                <w:szCs w:val="20"/>
                <w:lang w:val="mk-MK"/>
              </w:rPr>
            </w:pPr>
            <w:r w:rsidRPr="00EA3C32">
              <w:rPr>
                <w:sz w:val="20"/>
                <w:szCs w:val="20"/>
                <w:lang w:val="mk-MK"/>
              </w:rPr>
              <w:t>1</w:t>
            </w:r>
            <w:r>
              <w:rPr>
                <w:sz w:val="20"/>
                <w:szCs w:val="20"/>
                <w:lang w:val="mk-MK"/>
              </w:rPr>
              <w:t>.</w:t>
            </w:r>
            <w:r w:rsidRPr="00EA3C32">
              <w:rPr>
                <w:sz w:val="20"/>
                <w:szCs w:val="20"/>
                <w:lang w:val="mk-MK"/>
              </w:rPr>
              <w:t xml:space="preserve">Дефинирање на минимум стандарди за транспарентност на локално ниво, </w:t>
            </w:r>
          </w:p>
          <w:p w:rsidR="00EA3C32" w:rsidRPr="00EA3C32" w:rsidRDefault="00EA3C32" w:rsidP="00EA3C32">
            <w:pPr>
              <w:rPr>
                <w:sz w:val="20"/>
                <w:szCs w:val="20"/>
                <w:lang w:val="mk-MK"/>
              </w:rPr>
            </w:pPr>
            <w:r w:rsidRPr="00EA3C32">
              <w:rPr>
                <w:sz w:val="20"/>
                <w:szCs w:val="20"/>
                <w:lang w:val="mk-MK"/>
              </w:rPr>
              <w:t>2.Институционализирање на комунокацијата на локалните власти со граѓаните со користење на нови иновативни форми.</w:t>
            </w:r>
          </w:p>
          <w:p w:rsidR="00EA3C32" w:rsidRPr="00EA3C32" w:rsidRDefault="00EA3C32" w:rsidP="00EA3C32">
            <w:pPr>
              <w:rPr>
                <w:sz w:val="20"/>
                <w:szCs w:val="20"/>
                <w:lang w:val="mk-MK"/>
              </w:rPr>
            </w:pPr>
            <w:r w:rsidRPr="00EA3C32">
              <w:rPr>
                <w:sz w:val="20"/>
                <w:szCs w:val="20"/>
                <w:lang w:val="mk-MK"/>
              </w:rPr>
              <w:t>3Развивање на нови  институционални форми на соработка на локалните власти со граѓаните (ГО)</w:t>
            </w:r>
          </w:p>
          <w:p w:rsidR="00EA3C32" w:rsidRPr="00EA3C32" w:rsidRDefault="00EA3C32" w:rsidP="00EA3C32">
            <w:pPr>
              <w:rPr>
                <w:sz w:val="20"/>
                <w:szCs w:val="20"/>
                <w:lang w:val="mk-MK"/>
              </w:rPr>
            </w:pPr>
            <w:r w:rsidRPr="00EA3C32">
              <w:rPr>
                <w:sz w:val="20"/>
                <w:szCs w:val="20"/>
                <w:lang w:val="mk-MK"/>
              </w:rPr>
              <w:t>4. Воведување процедури и нови алатки за спроведување на задолжителен  процес на консултација на граѓаните.</w:t>
            </w:r>
          </w:p>
          <w:p w:rsidR="00EA3C32" w:rsidRPr="00EA3C32" w:rsidRDefault="00EA3C32" w:rsidP="00EA3C32">
            <w:pPr>
              <w:rPr>
                <w:sz w:val="20"/>
                <w:szCs w:val="20"/>
                <w:lang w:val="mk-MK"/>
              </w:rPr>
            </w:pPr>
            <w:r w:rsidRPr="00EA3C32">
              <w:rPr>
                <w:sz w:val="20"/>
                <w:szCs w:val="20"/>
                <w:lang w:val="mk-MK"/>
              </w:rPr>
              <w:t>5.Трансформирање на дел од локалните услуги во е-услуги, заради поголема ефикасност, транспартентност и оттчетност.</w:t>
            </w:r>
          </w:p>
          <w:p w:rsidR="00EA3C32" w:rsidRPr="00EA3C32" w:rsidRDefault="00EA3C32" w:rsidP="00EA3C32">
            <w:pPr>
              <w:jc w:val="both"/>
              <w:rPr>
                <w:color w:val="878786"/>
                <w:spacing w:val="-6"/>
                <w:w w:val="124"/>
                <w:sz w:val="18"/>
                <w:szCs w:val="18"/>
                <w:lang w:val="mk-MK"/>
              </w:rPr>
            </w:pPr>
            <w:r w:rsidRPr="00EA3C32">
              <w:rPr>
                <w:sz w:val="20"/>
                <w:szCs w:val="20"/>
                <w:lang w:val="mk-MK"/>
              </w:rPr>
              <w:t>6.Зајакнување на административните и техничките капацитети на локално ниво заради обезбедување на поголема отвореност и отчетност кон граѓаните.</w:t>
            </w:r>
          </w:p>
        </w:tc>
      </w:tr>
      <w:tr w:rsidR="00EA3C32" w:rsidTr="00C45916">
        <w:tc>
          <w:tcPr>
            <w:tcW w:w="10710" w:type="dxa"/>
            <w:gridSpan w:val="7"/>
            <w:shd w:val="clear" w:color="auto" w:fill="BFBFBF" w:themeFill="background1" w:themeFillShade="BF"/>
          </w:tcPr>
          <w:p w:rsidR="00EA3C32" w:rsidRPr="00381F72" w:rsidRDefault="00EA3C32" w:rsidP="00C45916">
            <w:pPr>
              <w:jc w:val="both"/>
              <w:rPr>
                <w:color w:val="878786"/>
                <w:spacing w:val="-6"/>
                <w:w w:val="124"/>
                <w:sz w:val="18"/>
                <w:szCs w:val="18"/>
                <w:lang w:val="mk-MK"/>
              </w:rPr>
            </w:pPr>
          </w:p>
        </w:tc>
      </w:tr>
      <w:tr w:rsidR="00EA3C32" w:rsidTr="009C7763">
        <w:trPr>
          <w:trHeight w:val="435"/>
        </w:trPr>
        <w:tc>
          <w:tcPr>
            <w:tcW w:w="3960" w:type="dxa"/>
            <w:gridSpan w:val="3"/>
            <w:vMerge w:val="restart"/>
          </w:tcPr>
          <w:p w:rsidR="00EA3C32" w:rsidRPr="00381F72" w:rsidRDefault="00EA3C32" w:rsidP="00C45916">
            <w:pPr>
              <w:jc w:val="both"/>
              <w:rPr>
                <w:color w:val="878786"/>
                <w:spacing w:val="-6"/>
                <w:w w:val="124"/>
                <w:sz w:val="18"/>
                <w:szCs w:val="18"/>
                <w:lang w:val="mk-MK"/>
              </w:rPr>
            </w:pPr>
          </w:p>
          <w:p w:rsidR="00EA3C32" w:rsidRPr="00381F72" w:rsidRDefault="00EA3C32" w:rsidP="00C45916">
            <w:pPr>
              <w:jc w:val="both"/>
              <w:rPr>
                <w:color w:val="878786"/>
                <w:spacing w:val="-6"/>
                <w:w w:val="124"/>
                <w:sz w:val="18"/>
                <w:szCs w:val="18"/>
                <w:lang w:val="mk-MK"/>
              </w:rPr>
            </w:pPr>
            <w:r w:rsidRPr="00381F72">
              <w:rPr>
                <w:color w:val="878786"/>
                <w:spacing w:val="-6"/>
                <w:w w:val="124"/>
                <w:sz w:val="18"/>
                <w:szCs w:val="18"/>
                <w:lang w:val="mk-MK"/>
              </w:rPr>
              <w:t>Ниво на проект</w:t>
            </w:r>
          </w:p>
          <w:p w:rsidR="00EA3C32" w:rsidRPr="00381F72" w:rsidRDefault="00EA3C32" w:rsidP="00C45916">
            <w:pPr>
              <w:jc w:val="both"/>
              <w:rPr>
                <w:color w:val="878786"/>
                <w:spacing w:val="-6"/>
                <w:w w:val="124"/>
                <w:sz w:val="18"/>
                <w:szCs w:val="18"/>
                <w:lang w:val="mk-MK"/>
              </w:rPr>
            </w:pPr>
          </w:p>
        </w:tc>
        <w:tc>
          <w:tcPr>
            <w:tcW w:w="1627" w:type="dxa"/>
          </w:tcPr>
          <w:p w:rsidR="00EA3C32" w:rsidRPr="00381F72" w:rsidRDefault="00EA3C32" w:rsidP="00C45916">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EA3C32" w:rsidRPr="00381F72" w:rsidRDefault="00EA3C32" w:rsidP="00C45916">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EA3C32" w:rsidRPr="00381F72" w:rsidRDefault="00EA3C32" w:rsidP="00C45916">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EA3C32" w:rsidRPr="00381F72" w:rsidRDefault="00EA3C32" w:rsidP="00C45916">
            <w:pPr>
              <w:jc w:val="both"/>
              <w:rPr>
                <w:color w:val="878786"/>
                <w:spacing w:val="-6"/>
                <w:w w:val="124"/>
                <w:sz w:val="18"/>
                <w:szCs w:val="18"/>
                <w:lang w:val="mk-MK"/>
              </w:rPr>
            </w:pPr>
            <w:r>
              <w:rPr>
                <w:color w:val="878786"/>
                <w:spacing w:val="-6"/>
                <w:w w:val="124"/>
                <w:sz w:val="18"/>
                <w:szCs w:val="18"/>
                <w:lang w:val="mk-MK"/>
              </w:rPr>
              <w:t>завршено</w:t>
            </w:r>
          </w:p>
        </w:tc>
      </w:tr>
      <w:tr w:rsidR="00EA3C32" w:rsidTr="00EA3C32">
        <w:trPr>
          <w:trHeight w:val="367"/>
        </w:trPr>
        <w:tc>
          <w:tcPr>
            <w:tcW w:w="3960" w:type="dxa"/>
            <w:gridSpan w:val="3"/>
            <w:vMerge/>
          </w:tcPr>
          <w:p w:rsidR="00EA3C32" w:rsidRPr="00381F72" w:rsidRDefault="00EA3C32" w:rsidP="00C45916">
            <w:pPr>
              <w:jc w:val="both"/>
              <w:rPr>
                <w:color w:val="878786"/>
                <w:spacing w:val="-6"/>
                <w:w w:val="124"/>
                <w:sz w:val="18"/>
                <w:szCs w:val="18"/>
                <w:lang w:val="mk-MK"/>
              </w:rPr>
            </w:pPr>
          </w:p>
        </w:tc>
        <w:tc>
          <w:tcPr>
            <w:tcW w:w="1627" w:type="dxa"/>
          </w:tcPr>
          <w:p w:rsidR="00EA3C32" w:rsidRPr="00381F72" w:rsidRDefault="00EA3C32" w:rsidP="00C45916">
            <w:pPr>
              <w:jc w:val="both"/>
              <w:rPr>
                <w:color w:val="878786"/>
                <w:spacing w:val="-6"/>
                <w:w w:val="124"/>
                <w:sz w:val="18"/>
                <w:szCs w:val="18"/>
                <w:lang w:val="mk-MK"/>
              </w:rPr>
            </w:pPr>
          </w:p>
        </w:tc>
        <w:tc>
          <w:tcPr>
            <w:tcW w:w="1724" w:type="dxa"/>
          </w:tcPr>
          <w:p w:rsidR="00EA3C32" w:rsidRPr="00381F72" w:rsidRDefault="00EA3C32" w:rsidP="00C45916">
            <w:pPr>
              <w:jc w:val="both"/>
              <w:rPr>
                <w:color w:val="878786"/>
                <w:spacing w:val="-6"/>
                <w:w w:val="124"/>
                <w:sz w:val="18"/>
                <w:szCs w:val="18"/>
                <w:lang w:val="mk-MK"/>
              </w:rPr>
            </w:pPr>
          </w:p>
        </w:tc>
        <w:tc>
          <w:tcPr>
            <w:tcW w:w="1564" w:type="dxa"/>
            <w:shd w:val="clear" w:color="auto" w:fill="548DD4" w:themeFill="text2" w:themeFillTint="99"/>
          </w:tcPr>
          <w:p w:rsidR="00EA3C32" w:rsidRPr="00381F72" w:rsidRDefault="00EA3C32" w:rsidP="00C45916">
            <w:pPr>
              <w:jc w:val="both"/>
              <w:rPr>
                <w:color w:val="878786"/>
                <w:spacing w:val="-6"/>
                <w:w w:val="124"/>
                <w:sz w:val="18"/>
                <w:szCs w:val="18"/>
                <w:lang w:val="mk-MK"/>
              </w:rPr>
            </w:pPr>
          </w:p>
        </w:tc>
        <w:tc>
          <w:tcPr>
            <w:tcW w:w="1835" w:type="dxa"/>
          </w:tcPr>
          <w:p w:rsidR="00EA3C32" w:rsidRPr="00381F72" w:rsidRDefault="00EA3C32" w:rsidP="00C45916">
            <w:pPr>
              <w:jc w:val="both"/>
              <w:rPr>
                <w:color w:val="878786"/>
                <w:spacing w:val="-6"/>
                <w:w w:val="124"/>
                <w:sz w:val="18"/>
                <w:szCs w:val="18"/>
                <w:lang w:val="mk-MK"/>
              </w:rPr>
            </w:pPr>
          </w:p>
        </w:tc>
      </w:tr>
      <w:tr w:rsidR="00EA3C32" w:rsidTr="009C7763">
        <w:tc>
          <w:tcPr>
            <w:tcW w:w="3960" w:type="dxa"/>
            <w:gridSpan w:val="3"/>
          </w:tcPr>
          <w:p w:rsidR="00EA3C32" w:rsidRPr="00381F72" w:rsidRDefault="00EA3C32" w:rsidP="00C45916">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EA3C32" w:rsidRPr="00381F72" w:rsidRDefault="00EA3C32" w:rsidP="00C45916">
            <w:pPr>
              <w:jc w:val="both"/>
              <w:rPr>
                <w:color w:val="878786"/>
                <w:spacing w:val="-6"/>
                <w:w w:val="124"/>
                <w:sz w:val="18"/>
                <w:szCs w:val="18"/>
                <w:lang w:val="mk-MK"/>
              </w:rPr>
            </w:pPr>
            <w:r w:rsidRPr="00381F72">
              <w:rPr>
                <w:color w:val="878786"/>
                <w:spacing w:val="-6"/>
                <w:w w:val="124"/>
                <w:sz w:val="18"/>
                <w:szCs w:val="18"/>
                <w:lang w:val="mk-MK"/>
              </w:rPr>
              <w:t xml:space="preserve">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w:t>
            </w:r>
            <w:r w:rsidRPr="00381F72">
              <w:rPr>
                <w:color w:val="878786"/>
                <w:spacing w:val="-6"/>
                <w:w w:val="124"/>
                <w:sz w:val="18"/>
                <w:szCs w:val="18"/>
                <w:lang w:val="mk-MK"/>
              </w:rPr>
              <w:lastRenderedPageBreak/>
              <w:t>дека заложбата има ефект.</w:t>
            </w:r>
          </w:p>
        </w:tc>
        <w:tc>
          <w:tcPr>
            <w:tcW w:w="6750" w:type="dxa"/>
            <w:gridSpan w:val="4"/>
          </w:tcPr>
          <w:p w:rsidR="00EA3C32" w:rsidRPr="00EA3C32" w:rsidRDefault="00484287" w:rsidP="00EA3C32">
            <w:pPr>
              <w:jc w:val="both"/>
              <w:rPr>
                <w:b/>
                <w:lang w:val="mk-MK"/>
              </w:rPr>
            </w:pPr>
            <w:r>
              <w:rPr>
                <w:b/>
                <w:lang w:val="mk-MK"/>
              </w:rPr>
              <w:lastRenderedPageBreak/>
              <w:t xml:space="preserve">Мерка 1. </w:t>
            </w:r>
            <w:r w:rsidR="00EA3C32" w:rsidRPr="00EA3C32">
              <w:rPr>
                <w:b/>
                <w:lang w:val="mk-MK"/>
              </w:rPr>
              <w:t xml:space="preserve">Развој на капацитети на локално ниво  за проактивна комуникација со граѓаните </w:t>
            </w:r>
          </w:p>
          <w:p w:rsidR="00EA3C32" w:rsidRPr="00484287" w:rsidRDefault="00EA3C32" w:rsidP="00EA3C32">
            <w:pPr>
              <w:jc w:val="both"/>
              <w:rPr>
                <w:lang w:val="mk-MK"/>
              </w:rPr>
            </w:pPr>
            <w:r w:rsidRPr="00EA3C32">
              <w:rPr>
                <w:b/>
                <w:lang w:val="mk-MK"/>
              </w:rPr>
              <w:t>•</w:t>
            </w:r>
            <w:r w:rsidRPr="00EA3C32">
              <w:rPr>
                <w:b/>
                <w:lang w:val="mk-MK"/>
              </w:rPr>
              <w:tab/>
            </w:r>
            <w:r w:rsidRPr="00484287">
              <w:rPr>
                <w:lang w:val="mk-MK"/>
              </w:rPr>
              <w:t xml:space="preserve">Граѓанската организација Центар за истражување и креирање политики, во партнерство со организациите ЦЕДИ Битола, ЕХО Штип, ЗЛРР Боговиње, Бујрум Крива Паланка, ЛДА Струга и Green power од Велес направи длабинско истражување на </w:t>
            </w:r>
            <w:r w:rsidRPr="00484287">
              <w:rPr>
                <w:lang w:val="mk-MK"/>
              </w:rPr>
              <w:lastRenderedPageBreak/>
              <w:t>општините во осумте плански региони во Република Македонија. Резултатите се објавени во Студијата ЛОТОС - транспарентност, отчетност и одговорност на локално ниво, како прв систематски осврт за тоа како принципите на добро владеење инкорпорирани во закони се практикуваат од страна на општините  во односот кон граѓаните, со посредство на НВО.  Крајната  е да се зајакнат капацитетите на граѓанскиот сектор за мониторирање на спроведувањето на антикорупциски мерки на локално ниво.</w:t>
            </w:r>
          </w:p>
          <w:p w:rsidR="00EA3C32" w:rsidRPr="00484287" w:rsidRDefault="00EA3C32" w:rsidP="00EA3C32">
            <w:pPr>
              <w:jc w:val="both"/>
              <w:rPr>
                <w:lang w:val="mk-MK"/>
              </w:rPr>
            </w:pPr>
            <w:r w:rsidRPr="00484287">
              <w:rPr>
                <w:lang w:val="mk-MK"/>
              </w:rPr>
              <w:t>•</w:t>
            </w:r>
            <w:r w:rsidRPr="00484287">
              <w:rPr>
                <w:lang w:val="mk-MK"/>
              </w:rPr>
              <w:tab/>
              <w:t>Граѓанската организација Форум, во рамките на проект финансиран од ЕУ спроведен мониториг во сите 80општини за партиципативно буџетирање. Подготвена е методологија за мониторирање, која што им помогна и на локалната администрација и властите да совладат одредени вештини и да стане свесна за потребата и полезноста од партиципативно креирање на буџетот.</w:t>
            </w:r>
          </w:p>
          <w:p w:rsidR="00EA3C32" w:rsidRPr="00484287" w:rsidRDefault="00EA3C32" w:rsidP="00EA3C32">
            <w:pPr>
              <w:jc w:val="both"/>
              <w:rPr>
                <w:lang w:val="mk-MK"/>
              </w:rPr>
            </w:pPr>
            <w:r w:rsidRPr="00484287">
              <w:rPr>
                <w:lang w:val="mk-MK"/>
              </w:rPr>
              <w:t>•</w:t>
            </w:r>
            <w:r w:rsidRPr="00484287">
              <w:rPr>
                <w:lang w:val="mk-MK"/>
              </w:rPr>
              <w:tab/>
              <w:t>Административните капацитети на општините, како и на граѓанските организации, во континуитет се зајакнуваат преку  Програмата Форуми во заедниците, која ќе продолжи да се имплементира до 2017 година. До сега, во периодот од 2006-2014 година преку организирање на 95 форумски сесии, во 59 општини, општинската администрација имала можност да спроведе широк консултативен процес за утврдување на буџетските или проектните приоритети. Во 2015 година беше организирана посебна обука за локалната администрација за партиципативно буџетирање.</w:t>
            </w:r>
          </w:p>
          <w:p w:rsidR="00EA3C32" w:rsidRDefault="00EA3C32" w:rsidP="00EA3C32">
            <w:pPr>
              <w:jc w:val="both"/>
              <w:rPr>
                <w:b/>
                <w:lang w:val="mk-MK"/>
              </w:rPr>
            </w:pPr>
            <w:r w:rsidRPr="00484287">
              <w:rPr>
                <w:lang w:val="mk-MK"/>
              </w:rPr>
              <w:tab/>
            </w:r>
          </w:p>
        </w:tc>
      </w:tr>
      <w:tr w:rsidR="00EA3C32" w:rsidTr="009C7763">
        <w:tc>
          <w:tcPr>
            <w:tcW w:w="3960" w:type="dxa"/>
            <w:gridSpan w:val="3"/>
          </w:tcPr>
          <w:p w:rsidR="00EA3C32" w:rsidRPr="00381F72" w:rsidRDefault="00EA3C32" w:rsidP="00C45916">
            <w:pPr>
              <w:jc w:val="both"/>
              <w:rPr>
                <w:color w:val="878786"/>
                <w:spacing w:val="-6"/>
                <w:w w:val="124"/>
                <w:sz w:val="18"/>
                <w:szCs w:val="18"/>
                <w:lang w:val="mk-MK"/>
              </w:rPr>
            </w:pPr>
            <w:r w:rsidRPr="00381F72">
              <w:rPr>
                <w:color w:val="878786"/>
                <w:spacing w:val="-6"/>
                <w:w w:val="124"/>
                <w:sz w:val="18"/>
                <w:szCs w:val="18"/>
                <w:lang w:val="mk-MK"/>
              </w:rPr>
              <w:lastRenderedPageBreak/>
              <w:t>Краен датум</w:t>
            </w:r>
          </w:p>
        </w:tc>
        <w:tc>
          <w:tcPr>
            <w:tcW w:w="6750" w:type="dxa"/>
            <w:gridSpan w:val="4"/>
          </w:tcPr>
          <w:p w:rsidR="00484287" w:rsidRPr="00484287" w:rsidRDefault="00484287" w:rsidP="00484287">
            <w:pPr>
              <w:jc w:val="both"/>
              <w:rPr>
                <w:lang w:val="mk-MK"/>
              </w:rPr>
            </w:pPr>
            <w:r w:rsidRPr="00484287">
              <w:rPr>
                <w:lang w:val="mk-MK"/>
              </w:rPr>
              <w:t>Континуирано</w:t>
            </w:r>
          </w:p>
          <w:p w:rsidR="00484287" w:rsidRPr="00484287" w:rsidRDefault="00484287" w:rsidP="00484287">
            <w:pPr>
              <w:jc w:val="both"/>
              <w:rPr>
                <w:lang w:val="mk-MK"/>
              </w:rPr>
            </w:pPr>
            <w:r w:rsidRPr="00484287">
              <w:rPr>
                <w:lang w:val="mk-MK"/>
              </w:rPr>
              <w:t>•</w:t>
            </w:r>
            <w:r w:rsidRPr="00484287">
              <w:rPr>
                <w:lang w:val="mk-MK"/>
              </w:rPr>
              <w:tab/>
              <w:t>Подготовка на Програма за зајакнување на капацитетите на општините</w:t>
            </w:r>
          </w:p>
          <w:p w:rsidR="00484287" w:rsidRPr="00484287" w:rsidRDefault="00484287" w:rsidP="00484287">
            <w:pPr>
              <w:jc w:val="both"/>
              <w:rPr>
                <w:lang w:val="mk-MK"/>
              </w:rPr>
            </w:pPr>
            <w:r w:rsidRPr="00484287">
              <w:rPr>
                <w:lang w:val="mk-MK"/>
              </w:rPr>
              <w:t>•</w:t>
            </w:r>
            <w:r w:rsidRPr="00484287">
              <w:rPr>
                <w:lang w:val="mk-MK"/>
              </w:rPr>
              <w:tab/>
              <w:t>Подготовка и спроведување на обука за обучувачи</w:t>
            </w:r>
          </w:p>
          <w:p w:rsidR="00484287" w:rsidRPr="00484287" w:rsidRDefault="00484287" w:rsidP="00484287">
            <w:pPr>
              <w:jc w:val="both"/>
              <w:rPr>
                <w:lang w:val="mk-MK"/>
              </w:rPr>
            </w:pPr>
            <w:r w:rsidRPr="00484287">
              <w:rPr>
                <w:lang w:val="mk-MK"/>
              </w:rPr>
              <w:t>•</w:t>
            </w:r>
            <w:r w:rsidRPr="00484287">
              <w:rPr>
                <w:lang w:val="mk-MK"/>
              </w:rPr>
              <w:tab/>
              <w:t>Подготовка на курикулум и материјали за обука</w:t>
            </w:r>
          </w:p>
          <w:p w:rsidR="00EA3C32" w:rsidRDefault="00484287" w:rsidP="00484287">
            <w:pPr>
              <w:jc w:val="both"/>
              <w:rPr>
                <w:b/>
                <w:lang w:val="mk-MK"/>
              </w:rPr>
            </w:pPr>
            <w:r w:rsidRPr="00484287">
              <w:rPr>
                <w:lang w:val="mk-MK"/>
              </w:rPr>
              <w:t>•</w:t>
            </w:r>
            <w:r w:rsidRPr="00484287">
              <w:rPr>
                <w:lang w:val="mk-MK"/>
              </w:rPr>
              <w:tab/>
              <w:t>Спроведување на Програмата</w:t>
            </w:r>
            <w:r>
              <w:rPr>
                <w:lang w:val="mk-MK"/>
              </w:rPr>
              <w:t xml:space="preserve"> и Планот за обуки</w:t>
            </w:r>
          </w:p>
        </w:tc>
      </w:tr>
      <w:tr w:rsidR="00EA3C32" w:rsidTr="009C7763">
        <w:tc>
          <w:tcPr>
            <w:tcW w:w="3960" w:type="dxa"/>
            <w:gridSpan w:val="3"/>
          </w:tcPr>
          <w:p w:rsidR="00EA3C32" w:rsidRPr="00381F72" w:rsidRDefault="00EA3C32" w:rsidP="00C45916">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484287" w:rsidRPr="00484287" w:rsidRDefault="00484287" w:rsidP="00484287">
            <w:pPr>
              <w:jc w:val="both"/>
              <w:rPr>
                <w:lang w:val="mk-MK"/>
              </w:rPr>
            </w:pPr>
            <w:r w:rsidRPr="00484287">
              <w:rPr>
                <w:lang w:val="mk-MK"/>
              </w:rPr>
              <w:t>Министерството за локална самоуправа согласно Програмата за локален развој и децентрализација 2015-2020, оценува дека е потребно да се направи оценка на капацитетите на сите општини, како и да се организира и спроведе обуказа користење на иновативни алатки за комуникација и консултација.</w:t>
            </w:r>
          </w:p>
          <w:p w:rsidR="00EA3C32" w:rsidRDefault="00484287" w:rsidP="00484287">
            <w:pPr>
              <w:jc w:val="both"/>
              <w:rPr>
                <w:b/>
                <w:lang w:val="mk-MK"/>
              </w:rPr>
            </w:pPr>
            <w:r w:rsidRPr="00484287">
              <w:rPr>
                <w:lang w:val="mk-MK"/>
              </w:rPr>
              <w:t>Ризик е обезбедувањето на соодветни средства за реализирање на сите предвидени активности до јуни 2016 година, како и временската рамка.</w:t>
            </w:r>
          </w:p>
        </w:tc>
      </w:tr>
      <w:tr w:rsidR="00EA3C32" w:rsidTr="00C45916">
        <w:tc>
          <w:tcPr>
            <w:tcW w:w="10710" w:type="dxa"/>
            <w:gridSpan w:val="7"/>
          </w:tcPr>
          <w:p w:rsidR="00EA3C32" w:rsidRDefault="00EA3C32" w:rsidP="00484287">
            <w:pPr>
              <w:jc w:val="both"/>
              <w:rPr>
                <w:color w:val="878786"/>
                <w:spacing w:val="-6"/>
                <w:w w:val="124"/>
                <w:sz w:val="18"/>
                <w:szCs w:val="18"/>
                <w:lang w:val="mk-MK"/>
              </w:rPr>
            </w:pPr>
            <w:r w:rsidRPr="00026994">
              <w:rPr>
                <w:color w:val="878786"/>
                <w:spacing w:val="-6"/>
                <w:w w:val="124"/>
                <w:sz w:val="18"/>
                <w:szCs w:val="18"/>
                <w:lang w:val="mk-MK"/>
              </w:rPr>
              <w:t xml:space="preserve">Дополнителни информации </w:t>
            </w:r>
          </w:p>
          <w:p w:rsidR="00484287" w:rsidRPr="00484287" w:rsidRDefault="00484287" w:rsidP="00484287">
            <w:pPr>
              <w:jc w:val="both"/>
              <w:rPr>
                <w:lang w:val="mk-MK"/>
              </w:rPr>
            </w:pPr>
            <w:r w:rsidRPr="00484287">
              <w:rPr>
                <w:lang w:val="mk-MK"/>
              </w:rPr>
              <w:t>Активностите ќе продолжат да се имплементираат и во рамките на следниот акциски план.</w:t>
            </w:r>
          </w:p>
        </w:tc>
      </w:tr>
      <w:tr w:rsidR="00484287" w:rsidTr="00484287">
        <w:trPr>
          <w:trHeight w:val="435"/>
        </w:trPr>
        <w:tc>
          <w:tcPr>
            <w:tcW w:w="3960" w:type="dxa"/>
            <w:gridSpan w:val="3"/>
            <w:vMerge w:val="restart"/>
          </w:tcPr>
          <w:p w:rsidR="00484287" w:rsidRPr="00381F72" w:rsidRDefault="00484287" w:rsidP="005909F7">
            <w:pPr>
              <w:jc w:val="both"/>
              <w:rPr>
                <w:color w:val="878786"/>
                <w:spacing w:val="-6"/>
                <w:w w:val="124"/>
                <w:sz w:val="18"/>
                <w:szCs w:val="18"/>
                <w:lang w:val="mk-MK"/>
              </w:rPr>
            </w:pPr>
          </w:p>
          <w:p w:rsidR="00484287" w:rsidRPr="00381F72" w:rsidRDefault="00484287" w:rsidP="005909F7">
            <w:pPr>
              <w:jc w:val="both"/>
              <w:rPr>
                <w:color w:val="878786"/>
                <w:spacing w:val="-6"/>
                <w:w w:val="124"/>
                <w:sz w:val="18"/>
                <w:szCs w:val="18"/>
                <w:lang w:val="mk-MK"/>
              </w:rPr>
            </w:pPr>
            <w:r w:rsidRPr="00381F72">
              <w:rPr>
                <w:color w:val="878786"/>
                <w:spacing w:val="-6"/>
                <w:w w:val="124"/>
                <w:sz w:val="18"/>
                <w:szCs w:val="18"/>
                <w:lang w:val="mk-MK"/>
              </w:rPr>
              <w:t>Ниво на проект</w:t>
            </w:r>
          </w:p>
          <w:p w:rsidR="00484287" w:rsidRPr="00381F72" w:rsidRDefault="00484287" w:rsidP="005909F7">
            <w:pPr>
              <w:jc w:val="both"/>
              <w:rPr>
                <w:color w:val="878786"/>
                <w:spacing w:val="-6"/>
                <w:w w:val="124"/>
                <w:sz w:val="18"/>
                <w:szCs w:val="18"/>
                <w:lang w:val="mk-MK"/>
              </w:rPr>
            </w:pPr>
          </w:p>
        </w:tc>
        <w:tc>
          <w:tcPr>
            <w:tcW w:w="1627" w:type="dxa"/>
          </w:tcPr>
          <w:p w:rsidR="00484287" w:rsidRPr="00381F72" w:rsidRDefault="00484287" w:rsidP="005909F7">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484287" w:rsidRPr="00381F72" w:rsidRDefault="00484287" w:rsidP="005909F7">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484287" w:rsidRPr="00381F72" w:rsidRDefault="00484287" w:rsidP="005909F7">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484287" w:rsidRPr="00381F72" w:rsidRDefault="00484287" w:rsidP="005909F7">
            <w:pPr>
              <w:jc w:val="both"/>
              <w:rPr>
                <w:color w:val="878786"/>
                <w:spacing w:val="-6"/>
                <w:w w:val="124"/>
                <w:sz w:val="18"/>
                <w:szCs w:val="18"/>
                <w:lang w:val="mk-MK"/>
              </w:rPr>
            </w:pPr>
            <w:r>
              <w:rPr>
                <w:color w:val="878786"/>
                <w:spacing w:val="-6"/>
                <w:w w:val="124"/>
                <w:sz w:val="18"/>
                <w:szCs w:val="18"/>
                <w:lang w:val="mk-MK"/>
              </w:rPr>
              <w:t>завршено</w:t>
            </w:r>
          </w:p>
        </w:tc>
      </w:tr>
      <w:tr w:rsidR="00484287" w:rsidTr="00F07679">
        <w:trPr>
          <w:trHeight w:val="367"/>
        </w:trPr>
        <w:tc>
          <w:tcPr>
            <w:tcW w:w="3960" w:type="dxa"/>
            <w:gridSpan w:val="3"/>
            <w:vMerge/>
          </w:tcPr>
          <w:p w:rsidR="00484287" w:rsidRPr="00381F72" w:rsidRDefault="00484287" w:rsidP="005909F7">
            <w:pPr>
              <w:jc w:val="both"/>
              <w:rPr>
                <w:color w:val="878786"/>
                <w:spacing w:val="-6"/>
                <w:w w:val="124"/>
                <w:sz w:val="18"/>
                <w:szCs w:val="18"/>
                <w:lang w:val="mk-MK"/>
              </w:rPr>
            </w:pPr>
          </w:p>
        </w:tc>
        <w:tc>
          <w:tcPr>
            <w:tcW w:w="1627" w:type="dxa"/>
          </w:tcPr>
          <w:p w:rsidR="00484287" w:rsidRPr="00381F72" w:rsidRDefault="00484287" w:rsidP="005909F7">
            <w:pPr>
              <w:jc w:val="both"/>
              <w:rPr>
                <w:color w:val="878786"/>
                <w:spacing w:val="-6"/>
                <w:w w:val="124"/>
                <w:sz w:val="18"/>
                <w:szCs w:val="18"/>
                <w:lang w:val="mk-MK"/>
              </w:rPr>
            </w:pPr>
          </w:p>
        </w:tc>
        <w:tc>
          <w:tcPr>
            <w:tcW w:w="1724" w:type="dxa"/>
            <w:shd w:val="clear" w:color="auto" w:fill="548DD4" w:themeFill="text2" w:themeFillTint="99"/>
          </w:tcPr>
          <w:p w:rsidR="00484287" w:rsidRPr="00381F72" w:rsidRDefault="00484287" w:rsidP="005909F7">
            <w:pPr>
              <w:jc w:val="both"/>
              <w:rPr>
                <w:color w:val="878786"/>
                <w:spacing w:val="-6"/>
                <w:w w:val="124"/>
                <w:sz w:val="18"/>
                <w:szCs w:val="18"/>
                <w:lang w:val="mk-MK"/>
              </w:rPr>
            </w:pPr>
          </w:p>
        </w:tc>
        <w:tc>
          <w:tcPr>
            <w:tcW w:w="1564" w:type="dxa"/>
          </w:tcPr>
          <w:p w:rsidR="00484287" w:rsidRPr="00381F72" w:rsidRDefault="00484287" w:rsidP="005909F7">
            <w:pPr>
              <w:jc w:val="both"/>
              <w:rPr>
                <w:color w:val="878786"/>
                <w:spacing w:val="-6"/>
                <w:w w:val="124"/>
                <w:sz w:val="18"/>
                <w:szCs w:val="18"/>
                <w:lang w:val="mk-MK"/>
              </w:rPr>
            </w:pPr>
          </w:p>
        </w:tc>
        <w:tc>
          <w:tcPr>
            <w:tcW w:w="1835" w:type="dxa"/>
          </w:tcPr>
          <w:p w:rsidR="00484287" w:rsidRPr="00381F72" w:rsidRDefault="00484287" w:rsidP="005909F7">
            <w:pPr>
              <w:jc w:val="both"/>
              <w:rPr>
                <w:color w:val="878786"/>
                <w:spacing w:val="-6"/>
                <w:w w:val="124"/>
                <w:sz w:val="18"/>
                <w:szCs w:val="18"/>
                <w:lang w:val="mk-MK"/>
              </w:rPr>
            </w:pPr>
          </w:p>
        </w:tc>
      </w:tr>
      <w:tr w:rsidR="00484287" w:rsidTr="00484287">
        <w:tc>
          <w:tcPr>
            <w:tcW w:w="3960" w:type="dxa"/>
            <w:gridSpan w:val="3"/>
          </w:tcPr>
          <w:p w:rsidR="00484287" w:rsidRPr="00381F72" w:rsidRDefault="00484287" w:rsidP="005909F7">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484287" w:rsidRPr="00381F72" w:rsidRDefault="00484287" w:rsidP="005909F7">
            <w:pPr>
              <w:jc w:val="both"/>
              <w:rPr>
                <w:color w:val="878786"/>
                <w:spacing w:val="-6"/>
                <w:w w:val="124"/>
                <w:sz w:val="18"/>
                <w:szCs w:val="18"/>
                <w:lang w:val="mk-MK"/>
              </w:rPr>
            </w:pPr>
            <w:r w:rsidRPr="00381F72">
              <w:rPr>
                <w:color w:val="878786"/>
                <w:spacing w:val="-6"/>
                <w:w w:val="124"/>
                <w:sz w:val="18"/>
                <w:szCs w:val="18"/>
                <w:lang w:val="mk-MK"/>
              </w:rPr>
              <w:t xml:space="preserve">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w:t>
            </w:r>
            <w:r w:rsidRPr="00381F72">
              <w:rPr>
                <w:color w:val="878786"/>
                <w:spacing w:val="-6"/>
                <w:w w:val="124"/>
                <w:sz w:val="18"/>
                <w:szCs w:val="18"/>
                <w:lang w:val="mk-MK"/>
              </w:rPr>
              <w:lastRenderedPageBreak/>
              <w:t>граѓаните ја применуваат заложбата или дека заложбата има ефект.</w:t>
            </w:r>
          </w:p>
        </w:tc>
        <w:tc>
          <w:tcPr>
            <w:tcW w:w="6750" w:type="dxa"/>
            <w:gridSpan w:val="4"/>
          </w:tcPr>
          <w:p w:rsidR="00F07679" w:rsidRPr="009913D7" w:rsidRDefault="00F07679" w:rsidP="00F07679">
            <w:pPr>
              <w:rPr>
                <w:b/>
                <w:sz w:val="20"/>
                <w:szCs w:val="20"/>
              </w:rPr>
            </w:pPr>
            <w:r>
              <w:rPr>
                <w:b/>
                <w:sz w:val="20"/>
                <w:szCs w:val="20"/>
                <w:lang w:val="mk-MK"/>
              </w:rPr>
              <w:lastRenderedPageBreak/>
              <w:t>Мерка 2</w:t>
            </w:r>
            <w:r w:rsidRPr="009913D7">
              <w:rPr>
                <w:b/>
                <w:sz w:val="20"/>
                <w:szCs w:val="20"/>
                <w:lang w:val="mk-MK"/>
              </w:rPr>
              <w:t>.Воспоставување на електронска платформа (dashboard) со показатели (индикатори) за буџетот и испорачувањето на локални услуги</w:t>
            </w:r>
          </w:p>
          <w:p w:rsidR="00484287" w:rsidRDefault="00F07679" w:rsidP="00F07679">
            <w:pPr>
              <w:jc w:val="both"/>
              <w:rPr>
                <w:b/>
                <w:lang w:val="mk-MK"/>
              </w:rPr>
            </w:pPr>
            <w:r w:rsidRPr="009913D7">
              <w:rPr>
                <w:sz w:val="20"/>
                <w:szCs w:val="20"/>
              </w:rPr>
              <w:t>Во општина Гевгелија, преку проект на УНДП, е воспоставена Е- платформа за презентирање на клучните индикатори за заштита на животната средина.</w:t>
            </w:r>
          </w:p>
        </w:tc>
      </w:tr>
      <w:tr w:rsidR="00F07679" w:rsidTr="00484287">
        <w:tc>
          <w:tcPr>
            <w:tcW w:w="3960" w:type="dxa"/>
            <w:gridSpan w:val="3"/>
          </w:tcPr>
          <w:p w:rsidR="00F07679" w:rsidRPr="00381F72" w:rsidRDefault="00F07679" w:rsidP="005909F7">
            <w:pPr>
              <w:jc w:val="both"/>
              <w:rPr>
                <w:color w:val="878786"/>
                <w:spacing w:val="-6"/>
                <w:w w:val="124"/>
                <w:sz w:val="18"/>
                <w:szCs w:val="18"/>
                <w:lang w:val="mk-MK"/>
              </w:rPr>
            </w:pPr>
            <w:r w:rsidRPr="00381F72">
              <w:rPr>
                <w:color w:val="878786"/>
                <w:spacing w:val="-6"/>
                <w:w w:val="124"/>
                <w:sz w:val="18"/>
                <w:szCs w:val="18"/>
                <w:lang w:val="mk-MK"/>
              </w:rPr>
              <w:lastRenderedPageBreak/>
              <w:t>Краен датум</w:t>
            </w:r>
          </w:p>
        </w:tc>
        <w:tc>
          <w:tcPr>
            <w:tcW w:w="6750" w:type="dxa"/>
            <w:gridSpan w:val="4"/>
          </w:tcPr>
          <w:p w:rsidR="00F07679" w:rsidRPr="009913D7" w:rsidRDefault="00F07679" w:rsidP="005909F7">
            <w:pPr>
              <w:rPr>
                <w:sz w:val="20"/>
                <w:szCs w:val="20"/>
                <w:lang w:val="mk-MK"/>
              </w:rPr>
            </w:pPr>
            <w:r w:rsidRPr="009913D7">
              <w:rPr>
                <w:sz w:val="20"/>
                <w:szCs w:val="20"/>
                <w:lang w:val="mk-MK"/>
              </w:rPr>
              <w:t>Јуни  2016</w:t>
            </w:r>
          </w:p>
        </w:tc>
      </w:tr>
      <w:tr w:rsidR="00F07679" w:rsidTr="00484287">
        <w:tc>
          <w:tcPr>
            <w:tcW w:w="3960" w:type="dxa"/>
            <w:gridSpan w:val="3"/>
          </w:tcPr>
          <w:p w:rsidR="00F07679" w:rsidRPr="00381F72" w:rsidRDefault="00F07679" w:rsidP="005909F7">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F07679" w:rsidRPr="009913D7" w:rsidRDefault="00F07679" w:rsidP="00F07679">
            <w:pPr>
              <w:pStyle w:val="ListParagraph"/>
              <w:numPr>
                <w:ilvl w:val="0"/>
                <w:numId w:val="8"/>
              </w:numPr>
              <w:rPr>
                <w:sz w:val="20"/>
                <w:szCs w:val="20"/>
                <w:lang w:val="mk-MK"/>
              </w:rPr>
            </w:pPr>
            <w:r w:rsidRPr="009913D7">
              <w:rPr>
                <w:sz w:val="20"/>
                <w:szCs w:val="20"/>
                <w:lang w:val="mk-MK"/>
              </w:rPr>
              <w:t xml:space="preserve">Анализа на достапна локална статистика, релевантни документи и легислатива и идентификување на формалната и административна рамка за водење на процесот за подготовка на прототип на електронска платформа </w:t>
            </w:r>
          </w:p>
          <w:p w:rsidR="00F07679" w:rsidRPr="009913D7" w:rsidRDefault="00F07679" w:rsidP="00F07679">
            <w:pPr>
              <w:pStyle w:val="ListParagraph"/>
              <w:numPr>
                <w:ilvl w:val="0"/>
                <w:numId w:val="8"/>
              </w:numPr>
              <w:rPr>
                <w:sz w:val="20"/>
                <w:szCs w:val="20"/>
                <w:lang w:val="mk-MK"/>
              </w:rPr>
            </w:pPr>
            <w:r w:rsidRPr="009913D7">
              <w:rPr>
                <w:sz w:val="20"/>
                <w:szCs w:val="20"/>
                <w:lang w:val="mk-MK"/>
              </w:rPr>
              <w:t>Подготовка на релевантни показатели за буџетот на општината (Граѓански буџет-буџетска алокација по буџетски корисник и други показатели) и објавување на Предлог буџет, Буџетот и Статус на реализација на Буџетот.</w:t>
            </w:r>
          </w:p>
          <w:p w:rsidR="00F07679" w:rsidRPr="009913D7" w:rsidRDefault="00F07679" w:rsidP="00F07679">
            <w:pPr>
              <w:pStyle w:val="ListParagraph"/>
              <w:numPr>
                <w:ilvl w:val="0"/>
                <w:numId w:val="8"/>
              </w:numPr>
              <w:rPr>
                <w:sz w:val="20"/>
                <w:szCs w:val="20"/>
                <w:lang w:val="mk-MK"/>
              </w:rPr>
            </w:pPr>
            <w:r w:rsidRPr="009913D7">
              <w:rPr>
                <w:sz w:val="20"/>
                <w:szCs w:val="20"/>
                <w:lang w:val="mk-MK"/>
              </w:rPr>
              <w:t>Подготовка на листа на релевантни показатели за локалните услуги</w:t>
            </w:r>
          </w:p>
          <w:p w:rsidR="00F07679" w:rsidRPr="009913D7" w:rsidRDefault="00F07679" w:rsidP="00F07679">
            <w:pPr>
              <w:pStyle w:val="ListParagraph"/>
              <w:numPr>
                <w:ilvl w:val="0"/>
                <w:numId w:val="8"/>
              </w:numPr>
              <w:rPr>
                <w:sz w:val="20"/>
                <w:szCs w:val="20"/>
                <w:lang w:val="mk-MK"/>
              </w:rPr>
            </w:pPr>
            <w:r w:rsidRPr="009913D7">
              <w:rPr>
                <w:sz w:val="20"/>
                <w:szCs w:val="20"/>
                <w:lang w:val="mk-MK"/>
              </w:rPr>
              <w:t>Анализа и мапирање на клучни засегнати страни – чинители за секоја услуга и подготовка на План за нивно инволвирање</w:t>
            </w:r>
          </w:p>
          <w:p w:rsidR="00F07679" w:rsidRPr="009913D7" w:rsidRDefault="00F07679" w:rsidP="00F07679">
            <w:pPr>
              <w:pStyle w:val="ListParagraph"/>
              <w:numPr>
                <w:ilvl w:val="0"/>
                <w:numId w:val="8"/>
              </w:numPr>
              <w:rPr>
                <w:sz w:val="20"/>
                <w:szCs w:val="20"/>
                <w:lang w:val="mk-MK"/>
              </w:rPr>
            </w:pPr>
            <w:r w:rsidRPr="009913D7">
              <w:rPr>
                <w:sz w:val="20"/>
                <w:szCs w:val="20"/>
                <w:lang w:val="mk-MK"/>
              </w:rPr>
              <w:t xml:space="preserve">Заедничко (со засегнатите страни) дизајнирање на прототип на електронска платформа (dashboard) со показатели (индикатори) за испорачувањето на една или повеќе локални услуги </w:t>
            </w:r>
          </w:p>
          <w:p w:rsidR="00F07679" w:rsidRPr="009913D7" w:rsidRDefault="00F07679" w:rsidP="00F07679">
            <w:pPr>
              <w:pStyle w:val="ListParagraph"/>
              <w:numPr>
                <w:ilvl w:val="0"/>
                <w:numId w:val="8"/>
              </w:numPr>
              <w:rPr>
                <w:sz w:val="20"/>
                <w:szCs w:val="20"/>
                <w:lang w:val="mk-MK"/>
              </w:rPr>
            </w:pPr>
            <w:r w:rsidRPr="009913D7">
              <w:rPr>
                <w:sz w:val="20"/>
                <w:szCs w:val="20"/>
                <w:lang w:val="mk-MK"/>
              </w:rPr>
              <w:t>Подготовка на кориснички Прирачник и Прирачник за одржување на платформата</w:t>
            </w:r>
          </w:p>
        </w:tc>
      </w:tr>
      <w:tr w:rsidR="00F07679" w:rsidTr="005909F7">
        <w:tc>
          <w:tcPr>
            <w:tcW w:w="10710" w:type="dxa"/>
            <w:gridSpan w:val="7"/>
          </w:tcPr>
          <w:p w:rsidR="00F07679" w:rsidRDefault="00F07679" w:rsidP="00F07679">
            <w:pPr>
              <w:jc w:val="both"/>
              <w:rPr>
                <w:color w:val="878786"/>
                <w:spacing w:val="-6"/>
                <w:w w:val="124"/>
                <w:sz w:val="18"/>
                <w:szCs w:val="18"/>
                <w:lang w:val="mk-MK"/>
              </w:rPr>
            </w:pPr>
            <w:r w:rsidRPr="00026994">
              <w:rPr>
                <w:color w:val="878786"/>
                <w:spacing w:val="-6"/>
                <w:w w:val="124"/>
                <w:sz w:val="18"/>
                <w:szCs w:val="18"/>
                <w:lang w:val="mk-MK"/>
              </w:rPr>
              <w:t xml:space="preserve">Дополнителни информации </w:t>
            </w:r>
          </w:p>
          <w:p w:rsidR="00F07679" w:rsidRPr="00F07679" w:rsidRDefault="00F07679" w:rsidP="00F07679">
            <w:pPr>
              <w:jc w:val="both"/>
              <w:rPr>
                <w:lang w:val="mk-MK"/>
              </w:rPr>
            </w:pPr>
            <w:r w:rsidRPr="00F07679">
              <w:rPr>
                <w:lang w:val="mk-MK"/>
              </w:rPr>
              <w:t>Надградување на моделот на електронска платформа која што ќе пласира информации за услуги  во општината, како и за буџетот и неговата реализација.</w:t>
            </w:r>
          </w:p>
          <w:p w:rsidR="00F07679" w:rsidRDefault="00F07679" w:rsidP="00F07679">
            <w:pPr>
              <w:jc w:val="both"/>
              <w:rPr>
                <w:lang w:val="mk-MK"/>
              </w:rPr>
            </w:pPr>
            <w:r w:rsidRPr="00F07679">
              <w:rPr>
                <w:lang w:val="mk-MK"/>
              </w:rPr>
              <w:t>Ризик е обезбедувањето на соодветни средства за реализирање на сите предвидени активности до јуни 2016 година, како и временската рамка.</w:t>
            </w:r>
          </w:p>
          <w:p w:rsidR="00F07679" w:rsidRDefault="00F07679" w:rsidP="00F07679">
            <w:pPr>
              <w:jc w:val="both"/>
              <w:rPr>
                <w:b/>
                <w:lang w:val="mk-MK"/>
              </w:rPr>
            </w:pPr>
            <w:r w:rsidRPr="009913D7">
              <w:rPr>
                <w:sz w:val="20"/>
                <w:szCs w:val="20"/>
                <w:lang w:val="mk-MK"/>
              </w:rPr>
              <w:t>Доколку не се реализираат активностите во предвидениот рок ќе продолжат во рамките на следниот Акциски план.</w:t>
            </w:r>
          </w:p>
        </w:tc>
      </w:tr>
      <w:tr w:rsidR="00F07679" w:rsidTr="00484287">
        <w:trPr>
          <w:trHeight w:val="435"/>
        </w:trPr>
        <w:tc>
          <w:tcPr>
            <w:tcW w:w="3960" w:type="dxa"/>
            <w:gridSpan w:val="3"/>
            <w:vMerge w:val="restart"/>
          </w:tcPr>
          <w:p w:rsidR="00F07679" w:rsidRPr="00381F72" w:rsidRDefault="00F07679" w:rsidP="005909F7">
            <w:pPr>
              <w:jc w:val="both"/>
              <w:rPr>
                <w:color w:val="878786"/>
                <w:spacing w:val="-6"/>
                <w:w w:val="124"/>
                <w:sz w:val="18"/>
                <w:szCs w:val="18"/>
                <w:lang w:val="mk-MK"/>
              </w:rPr>
            </w:pPr>
          </w:p>
          <w:p w:rsidR="00F07679" w:rsidRPr="00381F72" w:rsidRDefault="00F07679" w:rsidP="005909F7">
            <w:pPr>
              <w:jc w:val="both"/>
              <w:rPr>
                <w:color w:val="878786"/>
                <w:spacing w:val="-6"/>
                <w:w w:val="124"/>
                <w:sz w:val="18"/>
                <w:szCs w:val="18"/>
                <w:lang w:val="mk-MK"/>
              </w:rPr>
            </w:pPr>
            <w:r w:rsidRPr="00381F72">
              <w:rPr>
                <w:color w:val="878786"/>
                <w:spacing w:val="-6"/>
                <w:w w:val="124"/>
                <w:sz w:val="18"/>
                <w:szCs w:val="18"/>
                <w:lang w:val="mk-MK"/>
              </w:rPr>
              <w:t>Ниво на проект</w:t>
            </w:r>
          </w:p>
          <w:p w:rsidR="00F07679" w:rsidRPr="00381F72" w:rsidRDefault="00F07679" w:rsidP="005909F7">
            <w:pPr>
              <w:jc w:val="both"/>
              <w:rPr>
                <w:color w:val="878786"/>
                <w:spacing w:val="-6"/>
                <w:w w:val="124"/>
                <w:sz w:val="18"/>
                <w:szCs w:val="18"/>
                <w:lang w:val="mk-MK"/>
              </w:rPr>
            </w:pPr>
          </w:p>
        </w:tc>
        <w:tc>
          <w:tcPr>
            <w:tcW w:w="1627" w:type="dxa"/>
          </w:tcPr>
          <w:p w:rsidR="00F07679" w:rsidRPr="00381F72" w:rsidRDefault="00F07679" w:rsidP="005909F7">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F07679" w:rsidRPr="00381F72" w:rsidRDefault="00F07679" w:rsidP="005909F7">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F07679" w:rsidRPr="00381F72" w:rsidRDefault="00F07679" w:rsidP="005909F7">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F07679" w:rsidRPr="00381F72" w:rsidRDefault="00F07679" w:rsidP="005909F7">
            <w:pPr>
              <w:jc w:val="both"/>
              <w:rPr>
                <w:color w:val="878786"/>
                <w:spacing w:val="-6"/>
                <w:w w:val="124"/>
                <w:sz w:val="18"/>
                <w:szCs w:val="18"/>
                <w:lang w:val="mk-MK"/>
              </w:rPr>
            </w:pPr>
            <w:r>
              <w:rPr>
                <w:color w:val="878786"/>
                <w:spacing w:val="-6"/>
                <w:w w:val="124"/>
                <w:sz w:val="18"/>
                <w:szCs w:val="18"/>
                <w:lang w:val="mk-MK"/>
              </w:rPr>
              <w:t>завршено</w:t>
            </w:r>
          </w:p>
        </w:tc>
      </w:tr>
      <w:tr w:rsidR="00F07679" w:rsidTr="00F07679">
        <w:trPr>
          <w:trHeight w:val="367"/>
        </w:trPr>
        <w:tc>
          <w:tcPr>
            <w:tcW w:w="3960" w:type="dxa"/>
            <w:gridSpan w:val="3"/>
            <w:vMerge/>
          </w:tcPr>
          <w:p w:rsidR="00F07679" w:rsidRPr="00381F72" w:rsidRDefault="00F07679" w:rsidP="005909F7">
            <w:pPr>
              <w:jc w:val="both"/>
              <w:rPr>
                <w:color w:val="878786"/>
                <w:spacing w:val="-6"/>
                <w:w w:val="124"/>
                <w:sz w:val="18"/>
                <w:szCs w:val="18"/>
                <w:lang w:val="mk-MK"/>
              </w:rPr>
            </w:pPr>
          </w:p>
        </w:tc>
        <w:tc>
          <w:tcPr>
            <w:tcW w:w="1627" w:type="dxa"/>
          </w:tcPr>
          <w:p w:rsidR="00F07679" w:rsidRPr="00381F72" w:rsidRDefault="00F07679" w:rsidP="005909F7">
            <w:pPr>
              <w:jc w:val="both"/>
              <w:rPr>
                <w:color w:val="878786"/>
                <w:spacing w:val="-6"/>
                <w:w w:val="124"/>
                <w:sz w:val="18"/>
                <w:szCs w:val="18"/>
                <w:lang w:val="mk-MK"/>
              </w:rPr>
            </w:pPr>
          </w:p>
        </w:tc>
        <w:tc>
          <w:tcPr>
            <w:tcW w:w="1724" w:type="dxa"/>
          </w:tcPr>
          <w:p w:rsidR="00F07679" w:rsidRPr="00381F72" w:rsidRDefault="00F07679" w:rsidP="005909F7">
            <w:pPr>
              <w:jc w:val="both"/>
              <w:rPr>
                <w:color w:val="878786"/>
                <w:spacing w:val="-6"/>
                <w:w w:val="124"/>
                <w:sz w:val="18"/>
                <w:szCs w:val="18"/>
                <w:lang w:val="mk-MK"/>
              </w:rPr>
            </w:pPr>
          </w:p>
        </w:tc>
        <w:tc>
          <w:tcPr>
            <w:tcW w:w="1564" w:type="dxa"/>
            <w:shd w:val="clear" w:color="auto" w:fill="548DD4" w:themeFill="text2" w:themeFillTint="99"/>
          </w:tcPr>
          <w:p w:rsidR="00F07679" w:rsidRPr="00381F72" w:rsidRDefault="00F07679" w:rsidP="005909F7">
            <w:pPr>
              <w:jc w:val="both"/>
              <w:rPr>
                <w:color w:val="878786"/>
                <w:spacing w:val="-6"/>
                <w:w w:val="124"/>
                <w:sz w:val="18"/>
                <w:szCs w:val="18"/>
                <w:lang w:val="mk-MK"/>
              </w:rPr>
            </w:pPr>
          </w:p>
        </w:tc>
        <w:tc>
          <w:tcPr>
            <w:tcW w:w="1835" w:type="dxa"/>
          </w:tcPr>
          <w:p w:rsidR="00F07679" w:rsidRPr="00381F72" w:rsidRDefault="00F07679" w:rsidP="005909F7">
            <w:pPr>
              <w:jc w:val="both"/>
              <w:rPr>
                <w:color w:val="878786"/>
                <w:spacing w:val="-6"/>
                <w:w w:val="124"/>
                <w:sz w:val="18"/>
                <w:szCs w:val="18"/>
                <w:lang w:val="mk-MK"/>
              </w:rPr>
            </w:pPr>
          </w:p>
        </w:tc>
      </w:tr>
      <w:tr w:rsidR="00F07679" w:rsidTr="00484287">
        <w:tc>
          <w:tcPr>
            <w:tcW w:w="3960" w:type="dxa"/>
            <w:gridSpan w:val="3"/>
          </w:tcPr>
          <w:p w:rsidR="00F07679" w:rsidRPr="00381F72" w:rsidRDefault="00F07679" w:rsidP="005909F7">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F07679" w:rsidRPr="00381F72" w:rsidRDefault="00F07679" w:rsidP="005909F7">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F07679" w:rsidRPr="009913D7" w:rsidRDefault="00F07679" w:rsidP="005909F7">
            <w:pPr>
              <w:rPr>
                <w:b/>
                <w:sz w:val="20"/>
                <w:szCs w:val="20"/>
                <w:lang w:val="mk-MK"/>
              </w:rPr>
            </w:pPr>
            <w:r>
              <w:rPr>
                <w:b/>
                <w:sz w:val="20"/>
                <w:szCs w:val="20"/>
                <w:lang w:val="mk-MK"/>
              </w:rPr>
              <w:t xml:space="preserve">Мерка </w:t>
            </w:r>
            <w:r w:rsidRPr="009913D7">
              <w:rPr>
                <w:b/>
                <w:sz w:val="20"/>
                <w:szCs w:val="20"/>
                <w:lang w:val="mk-MK"/>
              </w:rPr>
              <w:t>3</w:t>
            </w:r>
            <w:r w:rsidRPr="009913D7">
              <w:rPr>
                <w:b/>
                <w:sz w:val="20"/>
                <w:szCs w:val="20"/>
              </w:rPr>
              <w:t>. Воспоставување на институционални форми на соработка на локалните власти со граѓаните (ГО)</w:t>
            </w:r>
            <w:r w:rsidRPr="009913D7">
              <w:rPr>
                <w:b/>
                <w:sz w:val="20"/>
                <w:szCs w:val="20"/>
                <w:lang w:val="mk-MK"/>
              </w:rPr>
              <w:t xml:space="preserve"> заради испорака на квалитетни услуги</w:t>
            </w:r>
            <w:r w:rsidRPr="009913D7">
              <w:rPr>
                <w:b/>
                <w:sz w:val="20"/>
                <w:szCs w:val="20"/>
              </w:rPr>
              <w:t>,</w:t>
            </w:r>
          </w:p>
          <w:p w:rsidR="00F07679" w:rsidRPr="009913D7" w:rsidRDefault="00F07679" w:rsidP="00F07679">
            <w:pPr>
              <w:pStyle w:val="ListParagraph"/>
              <w:numPr>
                <w:ilvl w:val="0"/>
                <w:numId w:val="9"/>
              </w:numPr>
              <w:rPr>
                <w:sz w:val="20"/>
                <w:szCs w:val="20"/>
                <w:lang w:val="mk-MK"/>
              </w:rPr>
            </w:pPr>
            <w:r w:rsidRPr="009913D7">
              <w:rPr>
                <w:sz w:val="20"/>
                <w:szCs w:val="20"/>
              </w:rPr>
              <w:t>Во три плански региони, Вардарскиот, Полошкиот и Североисточниот се воспоставени Мрежи за инклузивен развој, институционална форма на соработка на јавниот сектор, бизнис заедницата и граѓанските организации кои што делуваат в</w:t>
            </w:r>
            <w:r w:rsidRPr="009913D7">
              <w:rPr>
                <w:sz w:val="20"/>
                <w:szCs w:val="20"/>
                <w:lang w:val="mk-MK"/>
              </w:rPr>
              <w:t>о општините од планскиот регион.</w:t>
            </w:r>
          </w:p>
          <w:p w:rsidR="00F07679" w:rsidRPr="009913D7" w:rsidRDefault="00F07679" w:rsidP="00F07679">
            <w:pPr>
              <w:pStyle w:val="ListParagraph"/>
              <w:numPr>
                <w:ilvl w:val="0"/>
                <w:numId w:val="9"/>
              </w:numPr>
              <w:rPr>
                <w:sz w:val="20"/>
                <w:szCs w:val="20"/>
                <w:lang w:val="mk-MK"/>
              </w:rPr>
            </w:pPr>
            <w:r w:rsidRPr="009913D7">
              <w:rPr>
                <w:sz w:val="20"/>
                <w:szCs w:val="20"/>
              </w:rPr>
              <w:t>Центарот за развој на Вардарскиот плански регион, со поддршка на УНДП организира “Ден на Партнерства”-редовен годишен настан на кој учествуваат локалните власти, бизнис заедницата и  граѓанскиот сектор</w:t>
            </w:r>
            <w:r w:rsidRPr="009913D7">
              <w:rPr>
                <w:sz w:val="20"/>
                <w:szCs w:val="20"/>
                <w:lang w:val="mk-MK"/>
              </w:rPr>
              <w:t>.</w:t>
            </w:r>
          </w:p>
          <w:p w:rsidR="00F07679" w:rsidRPr="00F07679" w:rsidRDefault="00F07679" w:rsidP="005909F7">
            <w:pPr>
              <w:pStyle w:val="ListParagraph"/>
              <w:numPr>
                <w:ilvl w:val="0"/>
                <w:numId w:val="9"/>
              </w:numPr>
              <w:rPr>
                <w:sz w:val="20"/>
                <w:szCs w:val="20"/>
                <w:lang w:val="mk-MK"/>
              </w:rPr>
            </w:pPr>
            <w:r w:rsidRPr="009913D7">
              <w:rPr>
                <w:sz w:val="20"/>
                <w:szCs w:val="20"/>
                <w:lang w:val="mk-MK"/>
              </w:rPr>
              <w:t>Во 57 општини инструментот за консултација на граѓаните преку организирање на “Форуми во заедниците” е вграден во Статутот на општината како задолжителен облик на консултација. Активноста е спроведена во рамките на проектот Форуми во заедниците, финансиран од Швајцарската агенција за развој, а координиран од ЗЕЛС.</w:t>
            </w:r>
          </w:p>
          <w:p w:rsidR="00F07679" w:rsidRPr="009913D7" w:rsidRDefault="00F07679" w:rsidP="005909F7">
            <w:pPr>
              <w:rPr>
                <w:sz w:val="20"/>
                <w:szCs w:val="20"/>
              </w:rPr>
            </w:pPr>
          </w:p>
        </w:tc>
      </w:tr>
      <w:tr w:rsidR="00F07679" w:rsidTr="00484287">
        <w:tc>
          <w:tcPr>
            <w:tcW w:w="3960" w:type="dxa"/>
            <w:gridSpan w:val="3"/>
          </w:tcPr>
          <w:p w:rsidR="00F07679" w:rsidRPr="00381F72" w:rsidRDefault="00F07679" w:rsidP="005909F7">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6750" w:type="dxa"/>
            <w:gridSpan w:val="4"/>
          </w:tcPr>
          <w:p w:rsidR="00F07679" w:rsidRPr="009913D7" w:rsidRDefault="00F07679" w:rsidP="005909F7">
            <w:pPr>
              <w:rPr>
                <w:sz w:val="20"/>
                <w:szCs w:val="20"/>
                <w:lang w:val="mk-MK"/>
              </w:rPr>
            </w:pPr>
            <w:r w:rsidRPr="009913D7">
              <w:rPr>
                <w:sz w:val="20"/>
                <w:szCs w:val="20"/>
                <w:lang w:val="mk-MK"/>
              </w:rPr>
              <w:t>Јуни  2016</w:t>
            </w:r>
          </w:p>
        </w:tc>
      </w:tr>
      <w:tr w:rsidR="00F07679" w:rsidTr="00484287">
        <w:tc>
          <w:tcPr>
            <w:tcW w:w="3960" w:type="dxa"/>
            <w:gridSpan w:val="3"/>
          </w:tcPr>
          <w:p w:rsidR="00F07679" w:rsidRPr="00381F72" w:rsidRDefault="00F07679" w:rsidP="005909F7">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F07679" w:rsidRPr="009913D7" w:rsidRDefault="00F07679" w:rsidP="00F07679">
            <w:pPr>
              <w:pStyle w:val="ListParagraph"/>
              <w:numPr>
                <w:ilvl w:val="0"/>
                <w:numId w:val="10"/>
              </w:numPr>
              <w:rPr>
                <w:sz w:val="20"/>
                <w:szCs w:val="20"/>
                <w:lang w:val="mk-MK"/>
              </w:rPr>
            </w:pPr>
            <w:r w:rsidRPr="009913D7">
              <w:rPr>
                <w:sz w:val="20"/>
                <w:szCs w:val="20"/>
              </w:rPr>
              <w:t>Воспоставување на мрежи за инклузивен развој во сите</w:t>
            </w:r>
            <w:r w:rsidRPr="009913D7">
              <w:rPr>
                <w:sz w:val="20"/>
                <w:szCs w:val="20"/>
                <w:lang w:val="mk-MK"/>
              </w:rPr>
              <w:t xml:space="preserve"> осум </w:t>
            </w:r>
            <w:r w:rsidRPr="009913D7">
              <w:rPr>
                <w:sz w:val="20"/>
                <w:szCs w:val="20"/>
              </w:rPr>
              <w:t xml:space="preserve"> плански региони</w:t>
            </w:r>
          </w:p>
          <w:p w:rsidR="00F07679" w:rsidRPr="009913D7" w:rsidRDefault="00F07679" w:rsidP="00F07679">
            <w:pPr>
              <w:pStyle w:val="ListParagraph"/>
              <w:numPr>
                <w:ilvl w:val="0"/>
                <w:numId w:val="10"/>
              </w:numPr>
              <w:rPr>
                <w:sz w:val="20"/>
                <w:szCs w:val="20"/>
                <w:lang w:val="mk-MK"/>
              </w:rPr>
            </w:pPr>
            <w:r w:rsidRPr="009913D7">
              <w:rPr>
                <w:sz w:val="20"/>
                <w:szCs w:val="20"/>
                <w:lang w:val="mk-MK"/>
              </w:rPr>
              <w:t>Во статутите на сите општини да се предвиди облик на задолжителна консултација</w:t>
            </w:r>
          </w:p>
        </w:tc>
      </w:tr>
      <w:tr w:rsidR="00F07679" w:rsidTr="005909F7">
        <w:tc>
          <w:tcPr>
            <w:tcW w:w="10710" w:type="dxa"/>
            <w:gridSpan w:val="7"/>
          </w:tcPr>
          <w:p w:rsidR="00F07679" w:rsidRDefault="004A43B6" w:rsidP="004A43B6">
            <w:pPr>
              <w:jc w:val="both"/>
              <w:rPr>
                <w:color w:val="878786"/>
                <w:spacing w:val="-6"/>
                <w:w w:val="124"/>
                <w:sz w:val="18"/>
                <w:szCs w:val="18"/>
                <w:lang w:val="mk-MK"/>
              </w:rPr>
            </w:pPr>
            <w:r>
              <w:rPr>
                <w:color w:val="878786"/>
                <w:spacing w:val="-6"/>
                <w:w w:val="124"/>
                <w:sz w:val="18"/>
                <w:szCs w:val="18"/>
                <w:lang w:val="mk-MK"/>
              </w:rPr>
              <w:t>Дополнителни информации</w:t>
            </w:r>
          </w:p>
          <w:p w:rsidR="004A43B6" w:rsidRPr="004A43B6" w:rsidRDefault="004A43B6" w:rsidP="004A43B6">
            <w:pPr>
              <w:ind w:left="1440" w:right="2219"/>
              <w:jc w:val="both"/>
              <w:rPr>
                <w:spacing w:val="-6"/>
                <w:w w:val="124"/>
                <w:sz w:val="20"/>
                <w:szCs w:val="20"/>
                <w:lang w:val="mk-MK"/>
              </w:rPr>
            </w:pPr>
            <w:r w:rsidRPr="009913D7">
              <w:rPr>
                <w:spacing w:val="-6"/>
                <w:w w:val="124"/>
                <w:sz w:val="20"/>
                <w:szCs w:val="20"/>
                <w:lang w:val="mk-MK"/>
              </w:rPr>
              <w:lastRenderedPageBreak/>
              <w:t xml:space="preserve">Мрежи за инклузивен развој да се воспостават по </w:t>
            </w:r>
            <w:r>
              <w:rPr>
                <w:spacing w:val="-6"/>
                <w:w w:val="124"/>
                <w:sz w:val="20"/>
                <w:szCs w:val="20"/>
                <w:lang w:val="mk-MK"/>
              </w:rPr>
              <w:t xml:space="preserve">пет плански региони, врз основа. </w:t>
            </w:r>
            <w:r w:rsidRPr="009913D7">
              <w:rPr>
                <w:spacing w:val="-6"/>
                <w:w w:val="124"/>
                <w:sz w:val="20"/>
                <w:szCs w:val="20"/>
                <w:lang w:val="mk-MK"/>
              </w:rPr>
              <w:t>Ризик е обезбедувањето на соодветни средства за реализирање на сите предвидени</w:t>
            </w:r>
          </w:p>
        </w:tc>
      </w:tr>
      <w:tr w:rsidR="00F07679" w:rsidTr="00484287">
        <w:trPr>
          <w:trHeight w:val="435"/>
        </w:trPr>
        <w:tc>
          <w:tcPr>
            <w:tcW w:w="3960" w:type="dxa"/>
            <w:gridSpan w:val="3"/>
            <w:vMerge w:val="restart"/>
          </w:tcPr>
          <w:p w:rsidR="00F07679" w:rsidRPr="00381F72" w:rsidRDefault="00F07679" w:rsidP="005909F7">
            <w:pPr>
              <w:jc w:val="both"/>
              <w:rPr>
                <w:color w:val="878786"/>
                <w:spacing w:val="-6"/>
                <w:w w:val="124"/>
                <w:sz w:val="18"/>
                <w:szCs w:val="18"/>
                <w:lang w:val="mk-MK"/>
              </w:rPr>
            </w:pPr>
          </w:p>
          <w:p w:rsidR="00F07679" w:rsidRPr="00381F72" w:rsidRDefault="00F07679" w:rsidP="005909F7">
            <w:pPr>
              <w:jc w:val="both"/>
              <w:rPr>
                <w:color w:val="878786"/>
                <w:spacing w:val="-6"/>
                <w:w w:val="124"/>
                <w:sz w:val="18"/>
                <w:szCs w:val="18"/>
                <w:lang w:val="mk-MK"/>
              </w:rPr>
            </w:pPr>
            <w:r w:rsidRPr="00381F72">
              <w:rPr>
                <w:color w:val="878786"/>
                <w:spacing w:val="-6"/>
                <w:w w:val="124"/>
                <w:sz w:val="18"/>
                <w:szCs w:val="18"/>
                <w:lang w:val="mk-MK"/>
              </w:rPr>
              <w:t>Ниво на проект</w:t>
            </w:r>
          </w:p>
          <w:p w:rsidR="00F07679" w:rsidRPr="00381F72" w:rsidRDefault="00F07679" w:rsidP="005909F7">
            <w:pPr>
              <w:jc w:val="both"/>
              <w:rPr>
                <w:color w:val="878786"/>
                <w:spacing w:val="-6"/>
                <w:w w:val="124"/>
                <w:sz w:val="18"/>
                <w:szCs w:val="18"/>
                <w:lang w:val="mk-MK"/>
              </w:rPr>
            </w:pPr>
          </w:p>
        </w:tc>
        <w:tc>
          <w:tcPr>
            <w:tcW w:w="1627" w:type="dxa"/>
          </w:tcPr>
          <w:p w:rsidR="00F07679" w:rsidRPr="00381F72" w:rsidRDefault="00F07679" w:rsidP="005909F7">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F07679" w:rsidRPr="00381F72" w:rsidRDefault="00F07679" w:rsidP="005909F7">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F07679" w:rsidRPr="00381F72" w:rsidRDefault="00F07679" w:rsidP="005909F7">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F07679" w:rsidRPr="00381F72" w:rsidRDefault="00F07679" w:rsidP="005909F7">
            <w:pPr>
              <w:jc w:val="both"/>
              <w:rPr>
                <w:color w:val="878786"/>
                <w:spacing w:val="-6"/>
                <w:w w:val="124"/>
                <w:sz w:val="18"/>
                <w:szCs w:val="18"/>
                <w:lang w:val="mk-MK"/>
              </w:rPr>
            </w:pPr>
            <w:r>
              <w:rPr>
                <w:color w:val="878786"/>
                <w:spacing w:val="-6"/>
                <w:w w:val="124"/>
                <w:sz w:val="18"/>
                <w:szCs w:val="18"/>
                <w:lang w:val="mk-MK"/>
              </w:rPr>
              <w:t>завршено</w:t>
            </w:r>
          </w:p>
        </w:tc>
      </w:tr>
      <w:tr w:rsidR="00F07679" w:rsidTr="004A43B6">
        <w:trPr>
          <w:trHeight w:val="367"/>
        </w:trPr>
        <w:tc>
          <w:tcPr>
            <w:tcW w:w="3960" w:type="dxa"/>
            <w:gridSpan w:val="3"/>
            <w:vMerge/>
          </w:tcPr>
          <w:p w:rsidR="00F07679" w:rsidRPr="00381F72" w:rsidRDefault="00F07679" w:rsidP="005909F7">
            <w:pPr>
              <w:jc w:val="both"/>
              <w:rPr>
                <w:color w:val="878786"/>
                <w:spacing w:val="-6"/>
                <w:w w:val="124"/>
                <w:sz w:val="18"/>
                <w:szCs w:val="18"/>
                <w:lang w:val="mk-MK"/>
              </w:rPr>
            </w:pPr>
          </w:p>
        </w:tc>
        <w:tc>
          <w:tcPr>
            <w:tcW w:w="1627" w:type="dxa"/>
          </w:tcPr>
          <w:p w:rsidR="00F07679" w:rsidRPr="00381F72" w:rsidRDefault="00F07679" w:rsidP="005909F7">
            <w:pPr>
              <w:jc w:val="both"/>
              <w:rPr>
                <w:color w:val="878786"/>
                <w:spacing w:val="-6"/>
                <w:w w:val="124"/>
                <w:sz w:val="18"/>
                <w:szCs w:val="18"/>
                <w:lang w:val="mk-MK"/>
              </w:rPr>
            </w:pPr>
          </w:p>
        </w:tc>
        <w:tc>
          <w:tcPr>
            <w:tcW w:w="1724" w:type="dxa"/>
          </w:tcPr>
          <w:p w:rsidR="00F07679" w:rsidRPr="00381F72" w:rsidRDefault="00F07679" w:rsidP="005909F7">
            <w:pPr>
              <w:jc w:val="both"/>
              <w:rPr>
                <w:color w:val="878786"/>
                <w:spacing w:val="-6"/>
                <w:w w:val="124"/>
                <w:sz w:val="18"/>
                <w:szCs w:val="18"/>
                <w:lang w:val="mk-MK"/>
              </w:rPr>
            </w:pPr>
          </w:p>
        </w:tc>
        <w:tc>
          <w:tcPr>
            <w:tcW w:w="1564" w:type="dxa"/>
            <w:shd w:val="clear" w:color="auto" w:fill="548DD4" w:themeFill="text2" w:themeFillTint="99"/>
          </w:tcPr>
          <w:p w:rsidR="00F07679" w:rsidRPr="00381F72" w:rsidRDefault="00F07679" w:rsidP="005909F7">
            <w:pPr>
              <w:jc w:val="both"/>
              <w:rPr>
                <w:color w:val="878786"/>
                <w:spacing w:val="-6"/>
                <w:w w:val="124"/>
                <w:sz w:val="18"/>
                <w:szCs w:val="18"/>
                <w:lang w:val="mk-MK"/>
              </w:rPr>
            </w:pPr>
          </w:p>
        </w:tc>
        <w:tc>
          <w:tcPr>
            <w:tcW w:w="1835" w:type="dxa"/>
          </w:tcPr>
          <w:p w:rsidR="00F07679" w:rsidRPr="00381F72" w:rsidRDefault="00F07679" w:rsidP="005909F7">
            <w:pPr>
              <w:jc w:val="both"/>
              <w:rPr>
                <w:color w:val="878786"/>
                <w:spacing w:val="-6"/>
                <w:w w:val="124"/>
                <w:sz w:val="18"/>
                <w:szCs w:val="18"/>
                <w:lang w:val="mk-MK"/>
              </w:rPr>
            </w:pPr>
          </w:p>
        </w:tc>
      </w:tr>
      <w:tr w:rsidR="00F07679" w:rsidTr="00484287">
        <w:tc>
          <w:tcPr>
            <w:tcW w:w="3960" w:type="dxa"/>
            <w:gridSpan w:val="3"/>
          </w:tcPr>
          <w:p w:rsidR="00F07679" w:rsidRPr="00381F72" w:rsidRDefault="00F07679" w:rsidP="005909F7">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F07679" w:rsidRPr="00381F72" w:rsidRDefault="00F07679" w:rsidP="005909F7">
            <w:pPr>
              <w:jc w:val="both"/>
              <w:rPr>
                <w:color w:val="878786"/>
                <w:spacing w:val="-6"/>
                <w:w w:val="124"/>
                <w:sz w:val="18"/>
                <w:szCs w:val="18"/>
                <w:lang w:val="mk-MK"/>
              </w:rPr>
            </w:pPr>
            <w:r w:rsidRPr="00381F72">
              <w:rPr>
                <w:color w:val="878786"/>
                <w:spacing w:val="-6"/>
                <w:w w:val="124"/>
                <w:sz w:val="18"/>
                <w:szCs w:val="18"/>
                <w:lang w:val="mk-MK"/>
              </w:rPr>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4A43B6" w:rsidRPr="009913D7" w:rsidRDefault="00211FD7" w:rsidP="004A43B6">
            <w:pPr>
              <w:rPr>
                <w:b/>
                <w:sz w:val="20"/>
                <w:szCs w:val="20"/>
              </w:rPr>
            </w:pPr>
            <w:r>
              <w:rPr>
                <w:b/>
                <w:sz w:val="20"/>
                <w:szCs w:val="20"/>
                <w:lang w:val="mk-MK"/>
              </w:rPr>
              <w:t xml:space="preserve">Мерка </w:t>
            </w:r>
            <w:r w:rsidR="004A43B6" w:rsidRPr="009913D7">
              <w:rPr>
                <w:b/>
                <w:sz w:val="20"/>
                <w:szCs w:val="20"/>
              </w:rPr>
              <w:t>4.Трансформирање на дел од локалните услуги во е-услуги</w:t>
            </w:r>
          </w:p>
          <w:p w:rsidR="004A43B6" w:rsidRPr="009913D7" w:rsidRDefault="004A43B6" w:rsidP="004A43B6">
            <w:pPr>
              <w:pStyle w:val="ListParagraph"/>
              <w:numPr>
                <w:ilvl w:val="0"/>
                <w:numId w:val="11"/>
              </w:numPr>
              <w:rPr>
                <w:sz w:val="20"/>
                <w:szCs w:val="20"/>
              </w:rPr>
            </w:pPr>
            <w:r w:rsidRPr="009913D7">
              <w:rPr>
                <w:sz w:val="20"/>
                <w:szCs w:val="20"/>
              </w:rPr>
              <w:t>Направено е истражување за потребите и можностите на ЕЛС за трансформирање на дел од локалните услуги во Е-услуги.</w:t>
            </w:r>
          </w:p>
          <w:p w:rsidR="004A43B6" w:rsidRPr="009913D7" w:rsidRDefault="004A43B6" w:rsidP="004A43B6">
            <w:pPr>
              <w:pStyle w:val="ListParagraph"/>
              <w:numPr>
                <w:ilvl w:val="0"/>
                <w:numId w:val="11"/>
              </w:numPr>
              <w:rPr>
                <w:sz w:val="20"/>
                <w:szCs w:val="20"/>
              </w:rPr>
            </w:pPr>
            <w:r w:rsidRPr="009913D7">
              <w:rPr>
                <w:sz w:val="20"/>
                <w:szCs w:val="20"/>
              </w:rPr>
              <w:t xml:space="preserve">Канцелариски преглед на документите - сеопфатна анализа на релевантните документи и податоци за спроведени релевантни проекти, закони и подзаконски акти, стратешки документи на национално, меѓународно и локално ниво. Освен тоа, со помош на оваа алатка, изработен е Инвентар на постоечките услуги на локално ниво, преку анализа на законите и подзаконските акти со кои се уредува правото на општините да испорачуваат конкретни локални услуги. Паралелно со ова, во канцеларискиот преглед беше опфатен и преглед на е-услугите достапни преку веб-страниците на општините, со цел да се оцени постоечкиот степен на искористеност на оваа алатка и разликите меѓу ЕЛС. </w:t>
            </w:r>
          </w:p>
          <w:p w:rsidR="004A43B6" w:rsidRPr="009913D7" w:rsidRDefault="004A43B6" w:rsidP="004A43B6">
            <w:pPr>
              <w:pStyle w:val="ListParagraph"/>
              <w:numPr>
                <w:ilvl w:val="0"/>
                <w:numId w:val="11"/>
              </w:numPr>
              <w:rPr>
                <w:sz w:val="20"/>
                <w:szCs w:val="20"/>
              </w:rPr>
            </w:pPr>
            <w:r w:rsidRPr="009913D7">
              <w:rPr>
                <w:sz w:val="20"/>
                <w:szCs w:val="20"/>
              </w:rPr>
              <w:t>Теренски посети на пилот-општините -  Беа изведени теренски посети во пет општини, три урбани и две рурални (Карпош, Тетово, Велес, Дојран, и Чешиново - Облешево) избрани од страна на УНДП и Министерството за локална самоуправа. Целта на ваквите посети беше длабинска анализа на постојните услуги и капацитети на општините за воведување на нови е-услуги во подрачјето на нивната општина.</w:t>
            </w:r>
          </w:p>
          <w:p w:rsidR="004A43B6" w:rsidRPr="009913D7" w:rsidRDefault="004A43B6" w:rsidP="004A43B6">
            <w:pPr>
              <w:pStyle w:val="ListParagraph"/>
              <w:numPr>
                <w:ilvl w:val="0"/>
                <w:numId w:val="11"/>
              </w:numPr>
              <w:rPr>
                <w:sz w:val="20"/>
                <w:szCs w:val="20"/>
              </w:rPr>
            </w:pPr>
            <w:r w:rsidRPr="009913D7">
              <w:rPr>
                <w:sz w:val="20"/>
                <w:szCs w:val="20"/>
              </w:rPr>
              <w:t>Анкетно истражување - Беше изработен структуриран прашалник и доставен до сите ЕЛС во Република Македонија, а одговори беа добиени од 37 единици на локална самоуправа. Целта на овој прашалник беше да се соберат информации за постоечките е-услуги на општинско ниво, нивното искуство со е-услугите и нивните потреби, како и за очекувањата околу идните услуги. Анкетата беше од помош и за да се испитаат капацитетите на општините за трансформирање на постоечките услуги во е-услуги.</w:t>
            </w:r>
          </w:p>
          <w:p w:rsidR="00F07679" w:rsidRDefault="004A43B6" w:rsidP="004A43B6">
            <w:pPr>
              <w:jc w:val="both"/>
              <w:rPr>
                <w:b/>
                <w:lang w:val="mk-MK"/>
              </w:rPr>
            </w:pPr>
            <w:r w:rsidRPr="009913D7">
              <w:rPr>
                <w:sz w:val="20"/>
                <w:szCs w:val="20"/>
              </w:rPr>
              <w:t>Консултативни настани – Беа организирани три работилници за да се проверат методолошкиот пристап и наодите од канцелариското и теренското истражување. Сите релевантни институции и чинители на национално и локално ниво учествуваа во консултативните настани, вклучувајќи ги и компаниите и невладиниот сектор.</w:t>
            </w:r>
          </w:p>
        </w:tc>
      </w:tr>
      <w:tr w:rsidR="00211FD7" w:rsidTr="00484287">
        <w:tc>
          <w:tcPr>
            <w:tcW w:w="3960" w:type="dxa"/>
            <w:gridSpan w:val="3"/>
          </w:tcPr>
          <w:p w:rsidR="00211FD7" w:rsidRPr="00381F72" w:rsidRDefault="00211FD7" w:rsidP="005909F7">
            <w:pPr>
              <w:jc w:val="both"/>
              <w:rPr>
                <w:color w:val="878786"/>
                <w:spacing w:val="-6"/>
                <w:w w:val="124"/>
                <w:sz w:val="18"/>
                <w:szCs w:val="18"/>
                <w:lang w:val="mk-MK"/>
              </w:rPr>
            </w:pPr>
            <w:r w:rsidRPr="00381F72">
              <w:rPr>
                <w:color w:val="878786"/>
                <w:spacing w:val="-6"/>
                <w:w w:val="124"/>
                <w:sz w:val="18"/>
                <w:szCs w:val="18"/>
                <w:lang w:val="mk-MK"/>
              </w:rPr>
              <w:t>Краен датум</w:t>
            </w:r>
          </w:p>
        </w:tc>
        <w:tc>
          <w:tcPr>
            <w:tcW w:w="6750" w:type="dxa"/>
            <w:gridSpan w:val="4"/>
          </w:tcPr>
          <w:p w:rsidR="00211FD7" w:rsidRPr="009913D7" w:rsidRDefault="00211FD7" w:rsidP="005909F7">
            <w:pPr>
              <w:rPr>
                <w:sz w:val="20"/>
                <w:szCs w:val="20"/>
                <w:lang w:val="mk-MK"/>
              </w:rPr>
            </w:pPr>
            <w:r w:rsidRPr="009913D7">
              <w:rPr>
                <w:sz w:val="20"/>
                <w:szCs w:val="20"/>
                <w:lang w:val="mk-MK"/>
              </w:rPr>
              <w:t>Јуни  2016</w:t>
            </w:r>
          </w:p>
        </w:tc>
      </w:tr>
      <w:tr w:rsidR="00211FD7" w:rsidTr="00484287">
        <w:tc>
          <w:tcPr>
            <w:tcW w:w="3960" w:type="dxa"/>
            <w:gridSpan w:val="3"/>
          </w:tcPr>
          <w:p w:rsidR="00211FD7" w:rsidRPr="00381F72" w:rsidRDefault="00211FD7" w:rsidP="005909F7">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211FD7" w:rsidRPr="009913D7" w:rsidRDefault="00211FD7" w:rsidP="00211FD7">
            <w:pPr>
              <w:pStyle w:val="ListParagraph"/>
              <w:numPr>
                <w:ilvl w:val="0"/>
                <w:numId w:val="12"/>
              </w:numPr>
              <w:rPr>
                <w:sz w:val="20"/>
                <w:szCs w:val="20"/>
              </w:rPr>
            </w:pPr>
            <w:r w:rsidRPr="009913D7">
              <w:rPr>
                <w:sz w:val="20"/>
                <w:szCs w:val="20"/>
              </w:rPr>
              <w:t xml:space="preserve">Дизајнирање на интерактивни веб решенија. </w:t>
            </w:r>
          </w:p>
          <w:p w:rsidR="00211FD7" w:rsidRPr="009913D7" w:rsidRDefault="00211FD7" w:rsidP="00211FD7">
            <w:pPr>
              <w:pStyle w:val="ListParagraph"/>
              <w:numPr>
                <w:ilvl w:val="0"/>
                <w:numId w:val="12"/>
              </w:numPr>
              <w:rPr>
                <w:sz w:val="20"/>
                <w:szCs w:val="20"/>
              </w:rPr>
            </w:pPr>
            <w:r w:rsidRPr="009913D7">
              <w:rPr>
                <w:sz w:val="20"/>
                <w:szCs w:val="20"/>
              </w:rPr>
              <w:t xml:space="preserve"> Евалуација на степенот на ефикасност и ефективност во поглед на подготовката и испораката на услугите од квантитативен и квалитативен аспект.</w:t>
            </w:r>
          </w:p>
          <w:p w:rsidR="00211FD7" w:rsidRPr="009913D7" w:rsidRDefault="00211FD7" w:rsidP="005909F7">
            <w:pPr>
              <w:pStyle w:val="ListParagraph"/>
              <w:rPr>
                <w:sz w:val="20"/>
                <w:szCs w:val="20"/>
              </w:rPr>
            </w:pPr>
          </w:p>
        </w:tc>
      </w:tr>
      <w:tr w:rsidR="00211FD7" w:rsidTr="005909F7">
        <w:tc>
          <w:tcPr>
            <w:tcW w:w="10710" w:type="dxa"/>
            <w:gridSpan w:val="7"/>
          </w:tcPr>
          <w:p w:rsidR="00211FD7" w:rsidRDefault="00211FD7" w:rsidP="00211FD7">
            <w:pPr>
              <w:jc w:val="both"/>
              <w:rPr>
                <w:color w:val="878786"/>
                <w:spacing w:val="-6"/>
                <w:w w:val="124"/>
                <w:sz w:val="18"/>
                <w:szCs w:val="18"/>
                <w:lang w:val="mk-MK"/>
              </w:rPr>
            </w:pPr>
            <w:r w:rsidRPr="00026994">
              <w:rPr>
                <w:color w:val="878786"/>
                <w:spacing w:val="-6"/>
                <w:w w:val="124"/>
                <w:sz w:val="18"/>
                <w:szCs w:val="18"/>
                <w:lang w:val="mk-MK"/>
              </w:rPr>
              <w:t xml:space="preserve">Дополнителни информации </w:t>
            </w:r>
          </w:p>
          <w:p w:rsidR="00211FD7" w:rsidRDefault="00211FD7" w:rsidP="00211FD7">
            <w:pPr>
              <w:jc w:val="both"/>
              <w:rPr>
                <w:sz w:val="20"/>
                <w:szCs w:val="20"/>
                <w:lang w:val="mk-MK"/>
              </w:rPr>
            </w:pPr>
            <w:r w:rsidRPr="009913D7">
              <w:rPr>
                <w:sz w:val="20"/>
                <w:szCs w:val="20"/>
                <w:lang w:val="mk-MK"/>
              </w:rPr>
              <w:t>Ризик е обезбедувањето на соодветни средства за реализирање на сите предвидени активности до јуни  2016 година</w:t>
            </w:r>
            <w:r w:rsidR="007E3EF1">
              <w:rPr>
                <w:sz w:val="20"/>
                <w:szCs w:val="20"/>
                <w:lang w:val="mk-MK"/>
              </w:rPr>
              <w:t>.</w:t>
            </w:r>
          </w:p>
          <w:p w:rsidR="007E3EF1" w:rsidRDefault="007E3EF1" w:rsidP="00211FD7">
            <w:pPr>
              <w:jc w:val="both"/>
              <w:rPr>
                <w:b/>
                <w:lang w:val="mk-MK"/>
              </w:rPr>
            </w:pPr>
            <w:r w:rsidRPr="009913D7">
              <w:rPr>
                <w:sz w:val="20"/>
                <w:szCs w:val="20"/>
              </w:rPr>
              <w:t>Доколку не се реализираат активностите во предвидениот рок ќе продолжат во рамките на следниот Акциски план.</w:t>
            </w:r>
          </w:p>
        </w:tc>
      </w:tr>
      <w:tr w:rsidR="00211FD7" w:rsidTr="00484287">
        <w:trPr>
          <w:trHeight w:val="435"/>
        </w:trPr>
        <w:tc>
          <w:tcPr>
            <w:tcW w:w="3960" w:type="dxa"/>
            <w:gridSpan w:val="3"/>
            <w:vMerge w:val="restart"/>
          </w:tcPr>
          <w:p w:rsidR="00211FD7" w:rsidRPr="00381F72" w:rsidRDefault="00211FD7" w:rsidP="005909F7">
            <w:pPr>
              <w:jc w:val="both"/>
              <w:rPr>
                <w:color w:val="878786"/>
                <w:spacing w:val="-6"/>
                <w:w w:val="124"/>
                <w:sz w:val="18"/>
                <w:szCs w:val="18"/>
                <w:lang w:val="mk-MK"/>
              </w:rPr>
            </w:pPr>
          </w:p>
          <w:p w:rsidR="00211FD7" w:rsidRPr="00381F72" w:rsidRDefault="00211FD7" w:rsidP="005909F7">
            <w:pPr>
              <w:jc w:val="both"/>
              <w:rPr>
                <w:color w:val="878786"/>
                <w:spacing w:val="-6"/>
                <w:w w:val="124"/>
                <w:sz w:val="18"/>
                <w:szCs w:val="18"/>
                <w:lang w:val="mk-MK"/>
              </w:rPr>
            </w:pPr>
            <w:r w:rsidRPr="00381F72">
              <w:rPr>
                <w:color w:val="878786"/>
                <w:spacing w:val="-6"/>
                <w:w w:val="124"/>
                <w:sz w:val="18"/>
                <w:szCs w:val="18"/>
                <w:lang w:val="mk-MK"/>
              </w:rPr>
              <w:t>Ниво на проект</w:t>
            </w:r>
          </w:p>
          <w:p w:rsidR="00211FD7" w:rsidRPr="00381F72" w:rsidRDefault="00211FD7" w:rsidP="005909F7">
            <w:pPr>
              <w:jc w:val="both"/>
              <w:rPr>
                <w:color w:val="878786"/>
                <w:spacing w:val="-6"/>
                <w:w w:val="124"/>
                <w:sz w:val="18"/>
                <w:szCs w:val="18"/>
                <w:lang w:val="mk-MK"/>
              </w:rPr>
            </w:pPr>
          </w:p>
        </w:tc>
        <w:tc>
          <w:tcPr>
            <w:tcW w:w="1627" w:type="dxa"/>
          </w:tcPr>
          <w:p w:rsidR="00211FD7" w:rsidRPr="00381F72" w:rsidRDefault="00211FD7" w:rsidP="005909F7">
            <w:pPr>
              <w:jc w:val="both"/>
              <w:rPr>
                <w:color w:val="878786"/>
                <w:spacing w:val="-6"/>
                <w:w w:val="124"/>
                <w:sz w:val="18"/>
                <w:szCs w:val="18"/>
                <w:lang w:val="mk-MK"/>
              </w:rPr>
            </w:pPr>
            <w:r>
              <w:rPr>
                <w:color w:val="878786"/>
                <w:spacing w:val="-6"/>
                <w:w w:val="124"/>
                <w:sz w:val="18"/>
                <w:szCs w:val="18"/>
                <w:lang w:val="mk-MK"/>
              </w:rPr>
              <w:t>незапочнато</w:t>
            </w:r>
          </w:p>
        </w:tc>
        <w:tc>
          <w:tcPr>
            <w:tcW w:w="1724" w:type="dxa"/>
          </w:tcPr>
          <w:p w:rsidR="00211FD7" w:rsidRPr="00381F72" w:rsidRDefault="00211FD7" w:rsidP="005909F7">
            <w:pPr>
              <w:jc w:val="both"/>
              <w:rPr>
                <w:color w:val="878786"/>
                <w:spacing w:val="-6"/>
                <w:w w:val="124"/>
                <w:sz w:val="18"/>
                <w:szCs w:val="18"/>
                <w:lang w:val="mk-MK"/>
              </w:rPr>
            </w:pPr>
            <w:r>
              <w:rPr>
                <w:color w:val="878786"/>
                <w:spacing w:val="-6"/>
                <w:w w:val="124"/>
                <w:sz w:val="18"/>
                <w:szCs w:val="18"/>
                <w:lang w:val="mk-MK"/>
              </w:rPr>
              <w:t>ограничено</w:t>
            </w:r>
          </w:p>
        </w:tc>
        <w:tc>
          <w:tcPr>
            <w:tcW w:w="1564" w:type="dxa"/>
          </w:tcPr>
          <w:p w:rsidR="00211FD7" w:rsidRPr="00381F72" w:rsidRDefault="00211FD7" w:rsidP="005909F7">
            <w:pPr>
              <w:jc w:val="both"/>
              <w:rPr>
                <w:color w:val="878786"/>
                <w:spacing w:val="-6"/>
                <w:w w:val="124"/>
                <w:sz w:val="18"/>
                <w:szCs w:val="18"/>
                <w:lang w:val="mk-MK"/>
              </w:rPr>
            </w:pPr>
            <w:r>
              <w:rPr>
                <w:color w:val="878786"/>
                <w:spacing w:val="-6"/>
                <w:w w:val="124"/>
                <w:sz w:val="18"/>
                <w:szCs w:val="18"/>
                <w:lang w:val="mk-MK"/>
              </w:rPr>
              <w:t>значително</w:t>
            </w:r>
          </w:p>
        </w:tc>
        <w:tc>
          <w:tcPr>
            <w:tcW w:w="1835" w:type="dxa"/>
          </w:tcPr>
          <w:p w:rsidR="00211FD7" w:rsidRPr="00381F72" w:rsidRDefault="00211FD7" w:rsidP="005909F7">
            <w:pPr>
              <w:jc w:val="both"/>
              <w:rPr>
                <w:color w:val="878786"/>
                <w:spacing w:val="-6"/>
                <w:w w:val="124"/>
                <w:sz w:val="18"/>
                <w:szCs w:val="18"/>
                <w:lang w:val="mk-MK"/>
              </w:rPr>
            </w:pPr>
            <w:r>
              <w:rPr>
                <w:color w:val="878786"/>
                <w:spacing w:val="-6"/>
                <w:w w:val="124"/>
                <w:sz w:val="18"/>
                <w:szCs w:val="18"/>
                <w:lang w:val="mk-MK"/>
              </w:rPr>
              <w:t>завршено</w:t>
            </w:r>
          </w:p>
        </w:tc>
      </w:tr>
      <w:tr w:rsidR="00211FD7" w:rsidTr="007E3EF1">
        <w:trPr>
          <w:trHeight w:val="367"/>
        </w:trPr>
        <w:tc>
          <w:tcPr>
            <w:tcW w:w="3960" w:type="dxa"/>
            <w:gridSpan w:val="3"/>
            <w:vMerge/>
          </w:tcPr>
          <w:p w:rsidR="00211FD7" w:rsidRPr="00381F72" w:rsidRDefault="00211FD7" w:rsidP="005909F7">
            <w:pPr>
              <w:jc w:val="both"/>
              <w:rPr>
                <w:color w:val="878786"/>
                <w:spacing w:val="-6"/>
                <w:w w:val="124"/>
                <w:sz w:val="18"/>
                <w:szCs w:val="18"/>
                <w:lang w:val="mk-MK"/>
              </w:rPr>
            </w:pPr>
          </w:p>
        </w:tc>
        <w:tc>
          <w:tcPr>
            <w:tcW w:w="1627" w:type="dxa"/>
          </w:tcPr>
          <w:p w:rsidR="00211FD7" w:rsidRPr="00381F72" w:rsidRDefault="00211FD7" w:rsidP="005909F7">
            <w:pPr>
              <w:jc w:val="both"/>
              <w:rPr>
                <w:color w:val="878786"/>
                <w:spacing w:val="-6"/>
                <w:w w:val="124"/>
                <w:sz w:val="18"/>
                <w:szCs w:val="18"/>
                <w:lang w:val="mk-MK"/>
              </w:rPr>
            </w:pPr>
          </w:p>
        </w:tc>
        <w:tc>
          <w:tcPr>
            <w:tcW w:w="1724" w:type="dxa"/>
            <w:shd w:val="clear" w:color="auto" w:fill="548DD4" w:themeFill="text2" w:themeFillTint="99"/>
          </w:tcPr>
          <w:p w:rsidR="00211FD7" w:rsidRPr="00381F72" w:rsidRDefault="00211FD7" w:rsidP="005909F7">
            <w:pPr>
              <w:jc w:val="both"/>
              <w:rPr>
                <w:color w:val="878786"/>
                <w:spacing w:val="-6"/>
                <w:w w:val="124"/>
                <w:sz w:val="18"/>
                <w:szCs w:val="18"/>
                <w:lang w:val="mk-MK"/>
              </w:rPr>
            </w:pPr>
          </w:p>
        </w:tc>
        <w:tc>
          <w:tcPr>
            <w:tcW w:w="1564" w:type="dxa"/>
          </w:tcPr>
          <w:p w:rsidR="00211FD7" w:rsidRPr="00381F72" w:rsidRDefault="00211FD7" w:rsidP="005909F7">
            <w:pPr>
              <w:jc w:val="both"/>
              <w:rPr>
                <w:color w:val="878786"/>
                <w:spacing w:val="-6"/>
                <w:w w:val="124"/>
                <w:sz w:val="18"/>
                <w:szCs w:val="18"/>
                <w:lang w:val="mk-MK"/>
              </w:rPr>
            </w:pPr>
          </w:p>
        </w:tc>
        <w:tc>
          <w:tcPr>
            <w:tcW w:w="1835" w:type="dxa"/>
          </w:tcPr>
          <w:p w:rsidR="00211FD7" w:rsidRPr="00381F72" w:rsidRDefault="00211FD7" w:rsidP="005909F7">
            <w:pPr>
              <w:jc w:val="both"/>
              <w:rPr>
                <w:color w:val="878786"/>
                <w:spacing w:val="-6"/>
                <w:w w:val="124"/>
                <w:sz w:val="18"/>
                <w:szCs w:val="18"/>
                <w:lang w:val="mk-MK"/>
              </w:rPr>
            </w:pPr>
          </w:p>
        </w:tc>
      </w:tr>
      <w:tr w:rsidR="007E3EF1" w:rsidTr="00484287">
        <w:tc>
          <w:tcPr>
            <w:tcW w:w="3960" w:type="dxa"/>
            <w:gridSpan w:val="3"/>
          </w:tcPr>
          <w:p w:rsidR="007E3EF1" w:rsidRPr="00381F72" w:rsidRDefault="007E3EF1" w:rsidP="005909F7">
            <w:pPr>
              <w:jc w:val="both"/>
              <w:rPr>
                <w:color w:val="878786"/>
                <w:spacing w:val="-6"/>
                <w:w w:val="124"/>
                <w:sz w:val="18"/>
                <w:szCs w:val="18"/>
                <w:lang w:val="mk-MK"/>
              </w:rPr>
            </w:pPr>
            <w:r w:rsidRPr="00381F72">
              <w:rPr>
                <w:color w:val="878786"/>
                <w:spacing w:val="-6"/>
                <w:w w:val="124"/>
                <w:sz w:val="18"/>
                <w:szCs w:val="18"/>
                <w:lang w:val="mk-MK"/>
              </w:rPr>
              <w:t>Опис на резултатите</w:t>
            </w:r>
          </w:p>
          <w:p w:rsidR="007E3EF1" w:rsidRPr="00381F72" w:rsidRDefault="007E3EF1" w:rsidP="005909F7">
            <w:pPr>
              <w:jc w:val="both"/>
              <w:rPr>
                <w:color w:val="878786"/>
                <w:spacing w:val="-6"/>
                <w:w w:val="124"/>
                <w:sz w:val="18"/>
                <w:szCs w:val="18"/>
                <w:lang w:val="mk-MK"/>
              </w:rPr>
            </w:pPr>
            <w:r w:rsidRPr="00381F72">
              <w:rPr>
                <w:color w:val="878786"/>
                <w:spacing w:val="-6"/>
                <w:w w:val="124"/>
                <w:sz w:val="18"/>
                <w:szCs w:val="18"/>
                <w:lang w:val="mk-MK"/>
              </w:rPr>
              <w:lastRenderedPageBreak/>
              <w:t>Се вклучуваат специфични активности во рамките на периодот на известување (прва или втора година од Акциониот план) и, каде што е можно, Ве молиме наведете дали имало докази дека граѓаните ја применуваат заложбата или дека заложбата има ефект.</w:t>
            </w:r>
          </w:p>
        </w:tc>
        <w:tc>
          <w:tcPr>
            <w:tcW w:w="6750" w:type="dxa"/>
            <w:gridSpan w:val="4"/>
          </w:tcPr>
          <w:p w:rsidR="007E3EF1" w:rsidRPr="009913D7" w:rsidRDefault="007E3EF1" w:rsidP="005909F7">
            <w:pPr>
              <w:rPr>
                <w:b/>
                <w:sz w:val="20"/>
                <w:szCs w:val="20"/>
                <w:lang w:val="mk-MK"/>
              </w:rPr>
            </w:pPr>
            <w:r w:rsidRPr="009913D7">
              <w:rPr>
                <w:b/>
                <w:sz w:val="20"/>
                <w:szCs w:val="20"/>
              </w:rPr>
              <w:lastRenderedPageBreak/>
              <w:t>5.Партиципативно креирање политики на локално ниво</w:t>
            </w:r>
            <w:r w:rsidRPr="009913D7">
              <w:rPr>
                <w:b/>
                <w:sz w:val="20"/>
                <w:szCs w:val="20"/>
                <w:lang w:val="mk-MK"/>
              </w:rPr>
              <w:t xml:space="preserve"> - креирање на </w:t>
            </w:r>
            <w:r w:rsidRPr="009913D7">
              <w:rPr>
                <w:b/>
                <w:sz w:val="20"/>
                <w:szCs w:val="20"/>
                <w:lang w:val="mk-MK"/>
              </w:rPr>
              <w:lastRenderedPageBreak/>
              <w:t>процедури за спроведување на задолжителна консултација и користење на иновативни алатки</w:t>
            </w:r>
          </w:p>
          <w:p w:rsidR="007E3EF1" w:rsidRPr="009913D7" w:rsidRDefault="007E3EF1" w:rsidP="007E3EF1">
            <w:pPr>
              <w:pStyle w:val="ListParagraph"/>
              <w:numPr>
                <w:ilvl w:val="0"/>
                <w:numId w:val="13"/>
              </w:numPr>
              <w:rPr>
                <w:sz w:val="20"/>
                <w:szCs w:val="20"/>
                <w:lang w:val="mk-MK"/>
              </w:rPr>
            </w:pPr>
            <w:r w:rsidRPr="009913D7">
              <w:rPr>
                <w:sz w:val="20"/>
                <w:szCs w:val="20"/>
                <w:lang w:val="mk-MK"/>
              </w:rPr>
              <w:t>Во периодот од 2006-2014 година преку организирање на 95 форумски сесии, во 59 општини, општинската администрација имала можност да спроведе широк консултативен процес за утврдување на буџетските или проектните приоритети. Форумите во заедниците се прифатен модел за консултација во 57 општини.</w:t>
            </w:r>
          </w:p>
        </w:tc>
      </w:tr>
      <w:tr w:rsidR="007E3EF1" w:rsidTr="00484287">
        <w:tc>
          <w:tcPr>
            <w:tcW w:w="3960" w:type="dxa"/>
            <w:gridSpan w:val="3"/>
          </w:tcPr>
          <w:p w:rsidR="007E3EF1" w:rsidRPr="00381F72" w:rsidRDefault="007E3EF1" w:rsidP="005909F7">
            <w:pPr>
              <w:jc w:val="both"/>
              <w:rPr>
                <w:color w:val="878786"/>
                <w:spacing w:val="-6"/>
                <w:w w:val="124"/>
                <w:sz w:val="18"/>
                <w:szCs w:val="18"/>
                <w:lang w:val="mk-MK"/>
              </w:rPr>
            </w:pPr>
            <w:r w:rsidRPr="00381F72">
              <w:rPr>
                <w:color w:val="878786"/>
                <w:spacing w:val="-6"/>
                <w:w w:val="124"/>
                <w:sz w:val="18"/>
                <w:szCs w:val="18"/>
                <w:lang w:val="mk-MK"/>
              </w:rPr>
              <w:lastRenderedPageBreak/>
              <w:t>Краен датум</w:t>
            </w:r>
          </w:p>
        </w:tc>
        <w:tc>
          <w:tcPr>
            <w:tcW w:w="6750" w:type="dxa"/>
            <w:gridSpan w:val="4"/>
          </w:tcPr>
          <w:p w:rsidR="007E3EF1" w:rsidRPr="009913D7" w:rsidRDefault="007E3EF1" w:rsidP="005909F7">
            <w:pPr>
              <w:rPr>
                <w:sz w:val="20"/>
                <w:szCs w:val="20"/>
                <w:lang w:val="mk-MK"/>
              </w:rPr>
            </w:pPr>
            <w:r w:rsidRPr="009913D7">
              <w:rPr>
                <w:sz w:val="20"/>
                <w:szCs w:val="20"/>
                <w:lang w:val="mk-MK"/>
              </w:rPr>
              <w:t>Континуирано</w:t>
            </w:r>
          </w:p>
        </w:tc>
      </w:tr>
      <w:tr w:rsidR="007E3EF1" w:rsidTr="00484287">
        <w:tc>
          <w:tcPr>
            <w:tcW w:w="3960" w:type="dxa"/>
            <w:gridSpan w:val="3"/>
          </w:tcPr>
          <w:p w:rsidR="007E3EF1" w:rsidRPr="00381F72" w:rsidRDefault="007E3EF1" w:rsidP="005909F7">
            <w:pPr>
              <w:jc w:val="both"/>
              <w:rPr>
                <w:color w:val="878786"/>
                <w:spacing w:val="-6"/>
                <w:w w:val="124"/>
                <w:sz w:val="18"/>
                <w:szCs w:val="18"/>
                <w:lang w:val="mk-MK"/>
              </w:rPr>
            </w:pPr>
            <w:r w:rsidRPr="00381F72">
              <w:rPr>
                <w:color w:val="878786"/>
                <w:spacing w:val="-6"/>
                <w:w w:val="124"/>
                <w:sz w:val="18"/>
                <w:szCs w:val="18"/>
                <w:lang w:val="mk-MK"/>
              </w:rPr>
              <w:t>Следни чекори</w:t>
            </w:r>
          </w:p>
        </w:tc>
        <w:tc>
          <w:tcPr>
            <w:tcW w:w="6750" w:type="dxa"/>
            <w:gridSpan w:val="4"/>
          </w:tcPr>
          <w:p w:rsidR="007E3EF1" w:rsidRPr="009913D7" w:rsidRDefault="007E3EF1" w:rsidP="005909F7">
            <w:pPr>
              <w:rPr>
                <w:sz w:val="20"/>
                <w:szCs w:val="20"/>
                <w:lang w:val="mk-MK"/>
              </w:rPr>
            </w:pPr>
            <w:r w:rsidRPr="009913D7">
              <w:rPr>
                <w:sz w:val="20"/>
                <w:szCs w:val="20"/>
                <w:lang w:val="mk-MK"/>
              </w:rPr>
              <w:t>Креирање на стандарди за транспарентност на локално ниво</w:t>
            </w:r>
          </w:p>
          <w:p w:rsidR="007E3EF1" w:rsidRPr="009913D7" w:rsidRDefault="007E3EF1" w:rsidP="005909F7">
            <w:pPr>
              <w:rPr>
                <w:sz w:val="20"/>
                <w:szCs w:val="20"/>
                <w:lang w:val="mk-MK"/>
              </w:rPr>
            </w:pPr>
            <w:r w:rsidRPr="009913D7">
              <w:rPr>
                <w:sz w:val="20"/>
                <w:szCs w:val="20"/>
                <w:lang w:val="mk-MK"/>
              </w:rPr>
              <w:t>Подготовка на процедури за спроведување на консултативен процес</w:t>
            </w:r>
          </w:p>
        </w:tc>
      </w:tr>
      <w:tr w:rsidR="007E3EF1" w:rsidTr="005909F7">
        <w:tc>
          <w:tcPr>
            <w:tcW w:w="10710" w:type="dxa"/>
            <w:gridSpan w:val="7"/>
          </w:tcPr>
          <w:p w:rsidR="007E3EF1" w:rsidRDefault="007E3EF1" w:rsidP="00F66E31">
            <w:pPr>
              <w:jc w:val="both"/>
              <w:rPr>
                <w:color w:val="878786"/>
                <w:spacing w:val="-6"/>
                <w:w w:val="124"/>
                <w:sz w:val="18"/>
                <w:szCs w:val="18"/>
                <w:lang w:val="mk-MK"/>
              </w:rPr>
            </w:pPr>
            <w:r w:rsidRPr="00026994">
              <w:rPr>
                <w:color w:val="878786"/>
                <w:spacing w:val="-6"/>
                <w:w w:val="124"/>
                <w:sz w:val="18"/>
                <w:szCs w:val="18"/>
                <w:lang w:val="mk-MK"/>
              </w:rPr>
              <w:t xml:space="preserve">Дополнителни информации </w:t>
            </w:r>
          </w:p>
          <w:p w:rsidR="00F66E31" w:rsidRDefault="00F66E31" w:rsidP="00F66E31">
            <w:pPr>
              <w:jc w:val="both"/>
              <w:rPr>
                <w:sz w:val="20"/>
                <w:szCs w:val="20"/>
                <w:lang w:val="mk-MK"/>
              </w:rPr>
            </w:pPr>
            <w:r w:rsidRPr="009913D7">
              <w:rPr>
                <w:sz w:val="20"/>
                <w:szCs w:val="20"/>
                <w:lang w:val="mk-MK"/>
              </w:rPr>
              <w:t>Ризик е обезбедувањето на соодветни средства за реализирање на сите предвидени активности до јуни  2016 година</w:t>
            </w:r>
            <w:r>
              <w:rPr>
                <w:sz w:val="20"/>
                <w:szCs w:val="20"/>
                <w:lang w:val="mk-MK"/>
              </w:rPr>
              <w:t>.</w:t>
            </w:r>
          </w:p>
          <w:p w:rsidR="00F66E31" w:rsidRDefault="00F66E31" w:rsidP="00F66E31">
            <w:pPr>
              <w:jc w:val="both"/>
              <w:rPr>
                <w:b/>
                <w:lang w:val="mk-MK"/>
              </w:rPr>
            </w:pPr>
            <w:r w:rsidRPr="009913D7">
              <w:rPr>
                <w:sz w:val="20"/>
                <w:szCs w:val="20"/>
              </w:rPr>
              <w:t>Доколку не се реализираат активностите во предвидениот рок ќе продолжат во рамките на следниот Акциски план.</w:t>
            </w:r>
          </w:p>
        </w:tc>
      </w:tr>
    </w:tbl>
    <w:p w:rsidR="005B7A34" w:rsidRPr="00E63737" w:rsidRDefault="005B7A34" w:rsidP="00852AE9">
      <w:pPr>
        <w:jc w:val="both"/>
        <w:rPr>
          <w:b/>
          <w:lang w:val="mk-MK"/>
        </w:rPr>
      </w:pPr>
    </w:p>
    <w:p w:rsidR="00E63737" w:rsidRDefault="00E63737">
      <w:pPr>
        <w:rPr>
          <w:b/>
          <w:lang w:val="mk-MK"/>
        </w:rPr>
      </w:pPr>
      <w:r w:rsidRPr="00E63737">
        <w:rPr>
          <w:b/>
          <w:lang w:val="mk-MK"/>
        </w:rPr>
        <w:t>Табела 2 . Збирен приказ на ниво на реализација за секој поединечен приоритет од Акцискиот план 2014-2016 година за кој е започната имплементацијата</w:t>
      </w:r>
    </w:p>
    <w:p w:rsidR="00A90AE5" w:rsidRPr="00DE1AFF" w:rsidRDefault="00DE1AFF" w:rsidP="00DE1AFF">
      <w:pPr>
        <w:jc w:val="both"/>
        <w:rPr>
          <w:lang w:val="mk-MK"/>
        </w:rPr>
      </w:pPr>
      <w:r w:rsidRPr="00DE1AFF">
        <w:rPr>
          <w:lang w:val="mk-MK"/>
        </w:rPr>
        <w:t>Од вкупно 44 мерки од акцискиот план за кои е започната</w:t>
      </w:r>
      <w:r w:rsidR="00B62599">
        <w:rPr>
          <w:lang w:val="mk-MK"/>
        </w:rPr>
        <w:t xml:space="preserve"> имплементација, 11</w:t>
      </w:r>
      <w:r w:rsidRPr="00DE1AFF">
        <w:rPr>
          <w:lang w:val="mk-MK"/>
        </w:rPr>
        <w:t xml:space="preserve"> мерки се целосно завршени, 18 имаат зна</w:t>
      </w:r>
      <w:r w:rsidR="00B62599">
        <w:rPr>
          <w:lang w:val="mk-MK"/>
        </w:rPr>
        <w:t>чителни ниво на реализација , 13</w:t>
      </w:r>
      <w:r w:rsidRPr="00DE1AFF">
        <w:rPr>
          <w:lang w:val="mk-MK"/>
        </w:rPr>
        <w:t xml:space="preserve"> се на ограничено ниво а за 2 мерки се очекува нивното спроведување за започне крајот на 2015 година.</w:t>
      </w:r>
    </w:p>
    <w:tbl>
      <w:tblPr>
        <w:tblStyle w:val="TableGrid"/>
        <w:tblW w:w="9606" w:type="dxa"/>
        <w:tblInd w:w="534" w:type="dxa"/>
        <w:tblLayout w:type="fixed"/>
        <w:tblLook w:val="04A0"/>
      </w:tblPr>
      <w:tblGrid>
        <w:gridCol w:w="3794"/>
        <w:gridCol w:w="709"/>
        <w:gridCol w:w="850"/>
        <w:gridCol w:w="851"/>
        <w:gridCol w:w="708"/>
        <w:gridCol w:w="2694"/>
      </w:tblGrid>
      <w:tr w:rsidR="00A90AE5" w:rsidTr="00E31A1B">
        <w:tc>
          <w:tcPr>
            <w:tcW w:w="3794" w:type="dxa"/>
            <w:shd w:val="clear" w:color="auto" w:fill="DDD9C3" w:themeFill="background2" w:themeFillShade="E6"/>
          </w:tcPr>
          <w:p w:rsidR="00A90AE5" w:rsidRPr="00DE1AFF" w:rsidRDefault="00A90AE5" w:rsidP="002133FA">
            <w:pPr>
              <w:jc w:val="center"/>
              <w:rPr>
                <w:b/>
                <w:sz w:val="16"/>
                <w:szCs w:val="16"/>
                <w:lang w:val="mk-MK"/>
              </w:rPr>
            </w:pPr>
            <w:r w:rsidRPr="00DE1AFF">
              <w:rPr>
                <w:b/>
                <w:sz w:val="16"/>
                <w:szCs w:val="16"/>
                <w:lang w:val="mk-MK"/>
              </w:rPr>
              <w:t>ПРИОРИТЕТ  И  МЕРКИ</w:t>
            </w:r>
          </w:p>
        </w:tc>
        <w:tc>
          <w:tcPr>
            <w:tcW w:w="3118" w:type="dxa"/>
            <w:gridSpan w:val="4"/>
            <w:shd w:val="clear" w:color="auto" w:fill="DDD9C3" w:themeFill="background2" w:themeFillShade="E6"/>
          </w:tcPr>
          <w:p w:rsidR="00A90AE5" w:rsidRPr="00DE1AFF" w:rsidRDefault="00A90AE5" w:rsidP="002133FA">
            <w:pPr>
              <w:jc w:val="center"/>
              <w:rPr>
                <w:b/>
                <w:sz w:val="16"/>
                <w:szCs w:val="16"/>
                <w:lang w:val="mk-MK"/>
              </w:rPr>
            </w:pPr>
            <w:r w:rsidRPr="00DE1AFF">
              <w:rPr>
                <w:b/>
                <w:sz w:val="16"/>
                <w:szCs w:val="16"/>
                <w:lang w:val="mk-MK"/>
              </w:rPr>
              <w:t>НИВО НА РЕАЛИЗАЦИЈА</w:t>
            </w:r>
          </w:p>
        </w:tc>
        <w:tc>
          <w:tcPr>
            <w:tcW w:w="2694" w:type="dxa"/>
            <w:shd w:val="clear" w:color="auto" w:fill="DDD9C3" w:themeFill="background2" w:themeFillShade="E6"/>
          </w:tcPr>
          <w:p w:rsidR="00A90AE5" w:rsidRPr="00DE1AFF" w:rsidRDefault="00A90AE5" w:rsidP="002133FA">
            <w:pPr>
              <w:jc w:val="center"/>
              <w:rPr>
                <w:b/>
                <w:sz w:val="16"/>
                <w:szCs w:val="16"/>
                <w:lang w:val="mk-MK"/>
              </w:rPr>
            </w:pPr>
            <w:r w:rsidRPr="00DE1AFF">
              <w:rPr>
                <w:b/>
                <w:sz w:val="16"/>
                <w:szCs w:val="16"/>
                <w:lang w:val="mk-MK"/>
              </w:rPr>
              <w:t>КРАЕН ДАТУМ</w:t>
            </w:r>
          </w:p>
        </w:tc>
      </w:tr>
      <w:tr w:rsidR="00A90AE5" w:rsidTr="00E31A1B">
        <w:trPr>
          <w:trHeight w:val="2242"/>
        </w:trPr>
        <w:tc>
          <w:tcPr>
            <w:tcW w:w="3794" w:type="dxa"/>
            <w:shd w:val="clear" w:color="auto" w:fill="F2F2F2" w:themeFill="background1" w:themeFillShade="F2"/>
          </w:tcPr>
          <w:p w:rsidR="00A90AE5" w:rsidRPr="00DE1AFF" w:rsidRDefault="00A90AE5" w:rsidP="002133FA">
            <w:pPr>
              <w:rPr>
                <w:b/>
                <w:sz w:val="16"/>
                <w:szCs w:val="16"/>
                <w:lang w:val="mk-MK"/>
              </w:rPr>
            </w:pPr>
          </w:p>
          <w:p w:rsidR="00A90AE5" w:rsidRPr="00DE1AFF" w:rsidRDefault="00A90AE5" w:rsidP="002133FA">
            <w:pPr>
              <w:rPr>
                <w:b/>
                <w:sz w:val="16"/>
                <w:szCs w:val="16"/>
                <w:lang w:val="mk-MK"/>
              </w:rPr>
            </w:pPr>
          </w:p>
          <w:p w:rsidR="00A90AE5" w:rsidRPr="00DE1AFF" w:rsidRDefault="00A90AE5" w:rsidP="002133FA">
            <w:pPr>
              <w:tabs>
                <w:tab w:val="left" w:pos="945"/>
              </w:tabs>
              <w:rPr>
                <w:b/>
                <w:sz w:val="16"/>
                <w:szCs w:val="16"/>
                <w:lang w:val="mk-MK"/>
              </w:rPr>
            </w:pPr>
            <w:r w:rsidRPr="00DE1AFF">
              <w:rPr>
                <w:b/>
                <w:sz w:val="16"/>
                <w:szCs w:val="16"/>
                <w:lang w:val="mk-MK"/>
              </w:rPr>
              <w:tab/>
            </w:r>
          </w:p>
          <w:p w:rsidR="00A90AE5" w:rsidRPr="00DE1AFF" w:rsidRDefault="00A90AE5" w:rsidP="002133FA">
            <w:pPr>
              <w:rPr>
                <w:b/>
                <w:sz w:val="16"/>
                <w:szCs w:val="16"/>
                <w:lang w:val="mk-MK"/>
              </w:rPr>
            </w:pPr>
          </w:p>
          <w:p w:rsidR="00A90AE5" w:rsidRPr="00DE1AFF" w:rsidRDefault="00A90AE5" w:rsidP="002133FA">
            <w:pPr>
              <w:rPr>
                <w:b/>
                <w:sz w:val="16"/>
                <w:szCs w:val="16"/>
                <w:lang w:val="mk-MK"/>
              </w:rPr>
            </w:pPr>
          </w:p>
          <w:p w:rsidR="00A90AE5" w:rsidRPr="00DE1AFF" w:rsidRDefault="00A90AE5" w:rsidP="002133FA">
            <w:pPr>
              <w:rPr>
                <w:b/>
                <w:sz w:val="16"/>
                <w:szCs w:val="16"/>
                <w:lang w:val="mk-MK"/>
              </w:rPr>
            </w:pPr>
          </w:p>
          <w:p w:rsidR="00A90AE5" w:rsidRPr="00DE1AFF" w:rsidRDefault="00A90AE5" w:rsidP="002133FA">
            <w:pPr>
              <w:rPr>
                <w:b/>
                <w:sz w:val="16"/>
                <w:szCs w:val="16"/>
                <w:lang w:val="mk-MK"/>
              </w:rPr>
            </w:pPr>
          </w:p>
          <w:p w:rsidR="00A90AE5" w:rsidRPr="00DE1AFF" w:rsidRDefault="00A90AE5" w:rsidP="002133FA">
            <w:pPr>
              <w:rPr>
                <w:b/>
                <w:sz w:val="16"/>
                <w:szCs w:val="16"/>
                <w:lang w:val="mk-MK"/>
              </w:rPr>
            </w:pPr>
          </w:p>
          <w:p w:rsidR="00A90AE5" w:rsidRPr="00DE1AFF" w:rsidRDefault="00A90AE5" w:rsidP="002133FA">
            <w:pPr>
              <w:rPr>
                <w:b/>
                <w:sz w:val="16"/>
                <w:szCs w:val="16"/>
                <w:lang w:val="mk-MK"/>
              </w:rPr>
            </w:pPr>
          </w:p>
        </w:tc>
        <w:tc>
          <w:tcPr>
            <w:tcW w:w="709" w:type="dxa"/>
            <w:shd w:val="clear" w:color="auto" w:fill="EEECE1" w:themeFill="background2"/>
          </w:tcPr>
          <w:p w:rsidR="00A90AE5" w:rsidRPr="00DE1AFF" w:rsidRDefault="00A90AE5" w:rsidP="002133FA">
            <w:pPr>
              <w:jc w:val="center"/>
              <w:rPr>
                <w:b/>
                <w:sz w:val="16"/>
                <w:szCs w:val="16"/>
                <w:lang w:val="mk-MK"/>
              </w:rPr>
            </w:pPr>
            <w:r w:rsidRPr="00DE1AFF">
              <w:rPr>
                <w:b/>
                <w:sz w:val="16"/>
                <w:szCs w:val="16"/>
                <w:lang w:val="mk-MK"/>
              </w:rPr>
              <w:t>Н</w:t>
            </w:r>
          </w:p>
          <w:p w:rsidR="00A90AE5" w:rsidRPr="00DE1AFF" w:rsidRDefault="00A90AE5" w:rsidP="002133FA">
            <w:pPr>
              <w:jc w:val="center"/>
              <w:rPr>
                <w:b/>
                <w:sz w:val="16"/>
                <w:szCs w:val="16"/>
                <w:lang w:val="mk-MK"/>
              </w:rPr>
            </w:pPr>
            <w:r w:rsidRPr="00DE1AFF">
              <w:rPr>
                <w:b/>
                <w:sz w:val="16"/>
                <w:szCs w:val="16"/>
                <w:lang w:val="mk-MK"/>
              </w:rPr>
              <w:t>Е</w:t>
            </w:r>
          </w:p>
          <w:p w:rsidR="00A90AE5" w:rsidRPr="00DE1AFF" w:rsidRDefault="00A90AE5" w:rsidP="002133FA">
            <w:pPr>
              <w:jc w:val="center"/>
              <w:rPr>
                <w:b/>
                <w:sz w:val="16"/>
                <w:szCs w:val="16"/>
                <w:lang w:val="mk-MK"/>
              </w:rPr>
            </w:pPr>
            <w:r w:rsidRPr="00DE1AFF">
              <w:rPr>
                <w:b/>
                <w:sz w:val="16"/>
                <w:szCs w:val="16"/>
                <w:lang w:val="mk-MK"/>
              </w:rPr>
              <w:t>З</w:t>
            </w:r>
          </w:p>
          <w:p w:rsidR="00A90AE5" w:rsidRPr="00DE1AFF" w:rsidRDefault="00A90AE5" w:rsidP="002133FA">
            <w:pPr>
              <w:jc w:val="center"/>
              <w:rPr>
                <w:b/>
                <w:sz w:val="16"/>
                <w:szCs w:val="16"/>
                <w:lang w:val="mk-MK"/>
              </w:rPr>
            </w:pPr>
            <w:r w:rsidRPr="00DE1AFF">
              <w:rPr>
                <w:b/>
                <w:sz w:val="16"/>
                <w:szCs w:val="16"/>
                <w:lang w:val="mk-MK"/>
              </w:rPr>
              <w:t>А</w:t>
            </w:r>
          </w:p>
          <w:p w:rsidR="00A90AE5" w:rsidRPr="00DE1AFF" w:rsidRDefault="00A90AE5" w:rsidP="002133FA">
            <w:pPr>
              <w:jc w:val="center"/>
              <w:rPr>
                <w:b/>
                <w:sz w:val="16"/>
                <w:szCs w:val="16"/>
                <w:lang w:val="mk-MK"/>
              </w:rPr>
            </w:pPr>
            <w:r w:rsidRPr="00DE1AFF">
              <w:rPr>
                <w:b/>
                <w:sz w:val="16"/>
                <w:szCs w:val="16"/>
                <w:lang w:val="mk-MK"/>
              </w:rPr>
              <w:t>П</w:t>
            </w:r>
          </w:p>
          <w:p w:rsidR="00A90AE5" w:rsidRPr="00DE1AFF" w:rsidRDefault="00A90AE5" w:rsidP="002133FA">
            <w:pPr>
              <w:jc w:val="center"/>
              <w:rPr>
                <w:b/>
                <w:sz w:val="16"/>
                <w:szCs w:val="16"/>
                <w:lang w:val="mk-MK"/>
              </w:rPr>
            </w:pPr>
            <w:r w:rsidRPr="00DE1AFF">
              <w:rPr>
                <w:b/>
                <w:sz w:val="16"/>
                <w:szCs w:val="16"/>
                <w:lang w:val="mk-MK"/>
              </w:rPr>
              <w:t>О</w:t>
            </w:r>
          </w:p>
          <w:p w:rsidR="00A90AE5" w:rsidRPr="00DE1AFF" w:rsidRDefault="00A90AE5" w:rsidP="002133FA">
            <w:pPr>
              <w:jc w:val="center"/>
              <w:rPr>
                <w:b/>
                <w:sz w:val="16"/>
                <w:szCs w:val="16"/>
                <w:lang w:val="mk-MK"/>
              </w:rPr>
            </w:pPr>
            <w:r w:rsidRPr="00DE1AFF">
              <w:rPr>
                <w:b/>
                <w:sz w:val="16"/>
                <w:szCs w:val="16"/>
                <w:lang w:val="mk-MK"/>
              </w:rPr>
              <w:t>Ч</w:t>
            </w:r>
          </w:p>
          <w:p w:rsidR="00A90AE5" w:rsidRPr="00DE1AFF" w:rsidRDefault="00A90AE5" w:rsidP="002133FA">
            <w:pPr>
              <w:jc w:val="center"/>
              <w:rPr>
                <w:b/>
                <w:sz w:val="16"/>
                <w:szCs w:val="16"/>
                <w:lang w:val="mk-MK"/>
              </w:rPr>
            </w:pPr>
            <w:r w:rsidRPr="00DE1AFF">
              <w:rPr>
                <w:b/>
                <w:sz w:val="16"/>
                <w:szCs w:val="16"/>
                <w:lang w:val="mk-MK"/>
              </w:rPr>
              <w:t>Н</w:t>
            </w:r>
          </w:p>
          <w:p w:rsidR="00A90AE5" w:rsidRPr="00DE1AFF" w:rsidRDefault="00A90AE5" w:rsidP="002133FA">
            <w:pPr>
              <w:jc w:val="center"/>
              <w:rPr>
                <w:b/>
                <w:sz w:val="16"/>
                <w:szCs w:val="16"/>
                <w:lang w:val="mk-MK"/>
              </w:rPr>
            </w:pPr>
            <w:r w:rsidRPr="00DE1AFF">
              <w:rPr>
                <w:b/>
                <w:sz w:val="16"/>
                <w:szCs w:val="16"/>
                <w:lang w:val="mk-MK"/>
              </w:rPr>
              <w:t>А</w:t>
            </w:r>
          </w:p>
          <w:p w:rsidR="00A90AE5" w:rsidRPr="00DE1AFF" w:rsidRDefault="00A90AE5" w:rsidP="002133FA">
            <w:pPr>
              <w:jc w:val="center"/>
              <w:rPr>
                <w:b/>
                <w:sz w:val="16"/>
                <w:szCs w:val="16"/>
                <w:lang w:val="mk-MK"/>
              </w:rPr>
            </w:pPr>
            <w:r w:rsidRPr="00DE1AFF">
              <w:rPr>
                <w:b/>
                <w:sz w:val="16"/>
                <w:szCs w:val="16"/>
                <w:lang w:val="mk-MK"/>
              </w:rPr>
              <w:t>Т</w:t>
            </w:r>
          </w:p>
          <w:p w:rsidR="00A90AE5" w:rsidRPr="00DE1AFF" w:rsidRDefault="00A90AE5" w:rsidP="002133FA">
            <w:pPr>
              <w:jc w:val="center"/>
              <w:rPr>
                <w:b/>
                <w:sz w:val="16"/>
                <w:szCs w:val="16"/>
                <w:lang w:val="mk-MK"/>
              </w:rPr>
            </w:pPr>
            <w:r w:rsidRPr="00DE1AFF">
              <w:rPr>
                <w:b/>
                <w:sz w:val="16"/>
                <w:szCs w:val="16"/>
                <w:lang w:val="mk-MK"/>
              </w:rPr>
              <w:t>О</w:t>
            </w:r>
          </w:p>
        </w:tc>
        <w:tc>
          <w:tcPr>
            <w:tcW w:w="850" w:type="dxa"/>
            <w:shd w:val="clear" w:color="auto" w:fill="EEECE1" w:themeFill="background2"/>
          </w:tcPr>
          <w:p w:rsidR="00A90AE5" w:rsidRPr="00DE1AFF" w:rsidRDefault="00A90AE5" w:rsidP="002133FA">
            <w:pPr>
              <w:jc w:val="center"/>
              <w:rPr>
                <w:b/>
                <w:sz w:val="16"/>
                <w:szCs w:val="16"/>
                <w:lang w:val="mk-MK"/>
              </w:rPr>
            </w:pPr>
            <w:r w:rsidRPr="00DE1AFF">
              <w:rPr>
                <w:b/>
                <w:sz w:val="16"/>
                <w:szCs w:val="16"/>
                <w:lang w:val="mk-MK"/>
              </w:rPr>
              <w:t>О</w:t>
            </w:r>
          </w:p>
          <w:p w:rsidR="00A90AE5" w:rsidRPr="00DE1AFF" w:rsidRDefault="00A90AE5" w:rsidP="002133FA">
            <w:pPr>
              <w:jc w:val="center"/>
              <w:rPr>
                <w:b/>
                <w:sz w:val="16"/>
                <w:szCs w:val="16"/>
                <w:lang w:val="mk-MK"/>
              </w:rPr>
            </w:pPr>
            <w:r w:rsidRPr="00DE1AFF">
              <w:rPr>
                <w:b/>
                <w:sz w:val="16"/>
                <w:szCs w:val="16"/>
                <w:lang w:val="mk-MK"/>
              </w:rPr>
              <w:t>Г</w:t>
            </w:r>
          </w:p>
          <w:p w:rsidR="00A90AE5" w:rsidRPr="00DE1AFF" w:rsidRDefault="00A90AE5" w:rsidP="002133FA">
            <w:pPr>
              <w:jc w:val="center"/>
              <w:rPr>
                <w:b/>
                <w:sz w:val="16"/>
                <w:szCs w:val="16"/>
                <w:lang w:val="mk-MK"/>
              </w:rPr>
            </w:pPr>
            <w:r w:rsidRPr="00DE1AFF">
              <w:rPr>
                <w:b/>
                <w:sz w:val="16"/>
                <w:szCs w:val="16"/>
                <w:lang w:val="mk-MK"/>
              </w:rPr>
              <w:t>Р</w:t>
            </w:r>
          </w:p>
          <w:p w:rsidR="00A90AE5" w:rsidRPr="00DE1AFF" w:rsidRDefault="00A90AE5" w:rsidP="002133FA">
            <w:pPr>
              <w:jc w:val="center"/>
              <w:rPr>
                <w:b/>
                <w:sz w:val="16"/>
                <w:szCs w:val="16"/>
                <w:lang w:val="mk-MK"/>
              </w:rPr>
            </w:pPr>
            <w:r w:rsidRPr="00DE1AFF">
              <w:rPr>
                <w:b/>
                <w:sz w:val="16"/>
                <w:szCs w:val="16"/>
                <w:lang w:val="mk-MK"/>
              </w:rPr>
              <w:t>А</w:t>
            </w:r>
          </w:p>
          <w:p w:rsidR="00A90AE5" w:rsidRPr="00DE1AFF" w:rsidRDefault="00A90AE5" w:rsidP="002133FA">
            <w:pPr>
              <w:jc w:val="center"/>
              <w:rPr>
                <w:b/>
                <w:sz w:val="16"/>
                <w:szCs w:val="16"/>
                <w:lang w:val="mk-MK"/>
              </w:rPr>
            </w:pPr>
            <w:r w:rsidRPr="00DE1AFF">
              <w:rPr>
                <w:b/>
                <w:sz w:val="16"/>
                <w:szCs w:val="16"/>
                <w:lang w:val="mk-MK"/>
              </w:rPr>
              <w:t>Н</w:t>
            </w:r>
          </w:p>
          <w:p w:rsidR="00A90AE5" w:rsidRPr="00DE1AFF" w:rsidRDefault="00A90AE5" w:rsidP="002133FA">
            <w:pPr>
              <w:jc w:val="center"/>
              <w:rPr>
                <w:b/>
                <w:sz w:val="16"/>
                <w:szCs w:val="16"/>
                <w:lang w:val="mk-MK"/>
              </w:rPr>
            </w:pPr>
            <w:r w:rsidRPr="00DE1AFF">
              <w:rPr>
                <w:b/>
                <w:sz w:val="16"/>
                <w:szCs w:val="16"/>
                <w:lang w:val="mk-MK"/>
              </w:rPr>
              <w:t>И</w:t>
            </w:r>
          </w:p>
          <w:p w:rsidR="00A90AE5" w:rsidRPr="00DE1AFF" w:rsidRDefault="00A90AE5" w:rsidP="002133FA">
            <w:pPr>
              <w:jc w:val="center"/>
              <w:rPr>
                <w:b/>
                <w:sz w:val="16"/>
                <w:szCs w:val="16"/>
                <w:lang w:val="mk-MK"/>
              </w:rPr>
            </w:pPr>
            <w:r w:rsidRPr="00DE1AFF">
              <w:rPr>
                <w:b/>
                <w:sz w:val="16"/>
                <w:szCs w:val="16"/>
                <w:lang w:val="mk-MK"/>
              </w:rPr>
              <w:t>Ч</w:t>
            </w:r>
          </w:p>
          <w:p w:rsidR="00A90AE5" w:rsidRPr="00DE1AFF" w:rsidRDefault="00A90AE5" w:rsidP="002133FA">
            <w:pPr>
              <w:jc w:val="center"/>
              <w:rPr>
                <w:b/>
                <w:sz w:val="16"/>
                <w:szCs w:val="16"/>
                <w:lang w:val="mk-MK"/>
              </w:rPr>
            </w:pPr>
            <w:r w:rsidRPr="00DE1AFF">
              <w:rPr>
                <w:b/>
                <w:sz w:val="16"/>
                <w:szCs w:val="16"/>
                <w:lang w:val="mk-MK"/>
              </w:rPr>
              <w:t>Е</w:t>
            </w:r>
          </w:p>
          <w:p w:rsidR="00A90AE5" w:rsidRPr="00DE1AFF" w:rsidRDefault="00A90AE5" w:rsidP="002133FA">
            <w:pPr>
              <w:jc w:val="center"/>
              <w:rPr>
                <w:b/>
                <w:sz w:val="16"/>
                <w:szCs w:val="16"/>
                <w:lang w:val="mk-MK"/>
              </w:rPr>
            </w:pPr>
            <w:r w:rsidRPr="00DE1AFF">
              <w:rPr>
                <w:b/>
                <w:sz w:val="16"/>
                <w:szCs w:val="16"/>
                <w:lang w:val="mk-MK"/>
              </w:rPr>
              <w:t>Н</w:t>
            </w:r>
          </w:p>
          <w:p w:rsidR="00A90AE5" w:rsidRPr="00DE1AFF" w:rsidRDefault="00A90AE5" w:rsidP="002133FA">
            <w:pPr>
              <w:jc w:val="center"/>
              <w:rPr>
                <w:b/>
                <w:sz w:val="16"/>
                <w:szCs w:val="16"/>
                <w:lang w:val="mk-MK"/>
              </w:rPr>
            </w:pPr>
            <w:r w:rsidRPr="00DE1AFF">
              <w:rPr>
                <w:b/>
                <w:sz w:val="16"/>
                <w:szCs w:val="16"/>
                <w:lang w:val="mk-MK"/>
              </w:rPr>
              <w:t>О</w:t>
            </w:r>
          </w:p>
        </w:tc>
        <w:tc>
          <w:tcPr>
            <w:tcW w:w="851" w:type="dxa"/>
            <w:shd w:val="clear" w:color="auto" w:fill="EEECE1" w:themeFill="background2"/>
          </w:tcPr>
          <w:p w:rsidR="00A90AE5" w:rsidRPr="00DE1AFF" w:rsidRDefault="00A90AE5" w:rsidP="002133FA">
            <w:pPr>
              <w:jc w:val="center"/>
              <w:rPr>
                <w:b/>
                <w:sz w:val="16"/>
                <w:szCs w:val="16"/>
                <w:lang w:val="mk-MK"/>
              </w:rPr>
            </w:pPr>
            <w:r w:rsidRPr="00DE1AFF">
              <w:rPr>
                <w:b/>
                <w:sz w:val="16"/>
                <w:szCs w:val="16"/>
                <w:lang w:val="mk-MK"/>
              </w:rPr>
              <w:t>З</w:t>
            </w:r>
          </w:p>
          <w:p w:rsidR="00A90AE5" w:rsidRPr="00DE1AFF" w:rsidRDefault="00A90AE5" w:rsidP="002133FA">
            <w:pPr>
              <w:jc w:val="center"/>
              <w:rPr>
                <w:b/>
                <w:sz w:val="16"/>
                <w:szCs w:val="16"/>
                <w:lang w:val="mk-MK"/>
              </w:rPr>
            </w:pPr>
            <w:r w:rsidRPr="00DE1AFF">
              <w:rPr>
                <w:b/>
                <w:sz w:val="16"/>
                <w:szCs w:val="16"/>
                <w:lang w:val="mk-MK"/>
              </w:rPr>
              <w:t>Н</w:t>
            </w:r>
          </w:p>
          <w:p w:rsidR="00A90AE5" w:rsidRPr="00DE1AFF" w:rsidRDefault="00A90AE5" w:rsidP="002133FA">
            <w:pPr>
              <w:jc w:val="center"/>
              <w:rPr>
                <w:b/>
                <w:sz w:val="16"/>
                <w:szCs w:val="16"/>
                <w:lang w:val="mk-MK"/>
              </w:rPr>
            </w:pPr>
            <w:r w:rsidRPr="00DE1AFF">
              <w:rPr>
                <w:b/>
                <w:sz w:val="16"/>
                <w:szCs w:val="16"/>
                <w:lang w:val="mk-MK"/>
              </w:rPr>
              <w:t>А</w:t>
            </w:r>
          </w:p>
          <w:p w:rsidR="00A90AE5" w:rsidRPr="00DE1AFF" w:rsidRDefault="00A90AE5" w:rsidP="002133FA">
            <w:pPr>
              <w:jc w:val="center"/>
              <w:rPr>
                <w:b/>
                <w:sz w:val="16"/>
                <w:szCs w:val="16"/>
                <w:lang w:val="mk-MK"/>
              </w:rPr>
            </w:pPr>
            <w:r w:rsidRPr="00DE1AFF">
              <w:rPr>
                <w:b/>
                <w:sz w:val="16"/>
                <w:szCs w:val="16"/>
                <w:lang w:val="mk-MK"/>
              </w:rPr>
              <w:t>Ч</w:t>
            </w:r>
          </w:p>
          <w:p w:rsidR="00A90AE5" w:rsidRPr="00DE1AFF" w:rsidRDefault="00A90AE5" w:rsidP="002133FA">
            <w:pPr>
              <w:jc w:val="center"/>
              <w:rPr>
                <w:b/>
                <w:sz w:val="16"/>
                <w:szCs w:val="16"/>
                <w:lang w:val="mk-MK"/>
              </w:rPr>
            </w:pPr>
            <w:r w:rsidRPr="00DE1AFF">
              <w:rPr>
                <w:b/>
                <w:sz w:val="16"/>
                <w:szCs w:val="16"/>
                <w:lang w:val="mk-MK"/>
              </w:rPr>
              <w:t>И</w:t>
            </w:r>
          </w:p>
          <w:p w:rsidR="00A90AE5" w:rsidRPr="00DE1AFF" w:rsidRDefault="00A90AE5" w:rsidP="002133FA">
            <w:pPr>
              <w:jc w:val="center"/>
              <w:rPr>
                <w:b/>
                <w:sz w:val="16"/>
                <w:szCs w:val="16"/>
                <w:lang w:val="mk-MK"/>
              </w:rPr>
            </w:pPr>
            <w:r w:rsidRPr="00DE1AFF">
              <w:rPr>
                <w:b/>
                <w:sz w:val="16"/>
                <w:szCs w:val="16"/>
                <w:lang w:val="mk-MK"/>
              </w:rPr>
              <w:t>Т</w:t>
            </w:r>
          </w:p>
          <w:p w:rsidR="00A90AE5" w:rsidRPr="00DE1AFF" w:rsidRDefault="00A90AE5" w:rsidP="002133FA">
            <w:pPr>
              <w:jc w:val="center"/>
              <w:rPr>
                <w:b/>
                <w:sz w:val="16"/>
                <w:szCs w:val="16"/>
                <w:lang w:val="mk-MK"/>
              </w:rPr>
            </w:pPr>
            <w:r w:rsidRPr="00DE1AFF">
              <w:rPr>
                <w:b/>
                <w:sz w:val="16"/>
                <w:szCs w:val="16"/>
                <w:lang w:val="mk-MK"/>
              </w:rPr>
              <w:t>Е</w:t>
            </w:r>
          </w:p>
          <w:p w:rsidR="00A90AE5" w:rsidRPr="00DE1AFF" w:rsidRDefault="00A90AE5" w:rsidP="002133FA">
            <w:pPr>
              <w:jc w:val="center"/>
              <w:rPr>
                <w:b/>
                <w:sz w:val="16"/>
                <w:szCs w:val="16"/>
                <w:lang w:val="mk-MK"/>
              </w:rPr>
            </w:pPr>
            <w:r w:rsidRPr="00DE1AFF">
              <w:rPr>
                <w:b/>
                <w:sz w:val="16"/>
                <w:szCs w:val="16"/>
                <w:lang w:val="mk-MK"/>
              </w:rPr>
              <w:t>Л</w:t>
            </w:r>
          </w:p>
          <w:p w:rsidR="00A90AE5" w:rsidRPr="00DE1AFF" w:rsidRDefault="00A90AE5" w:rsidP="002133FA">
            <w:pPr>
              <w:jc w:val="center"/>
              <w:rPr>
                <w:b/>
                <w:sz w:val="16"/>
                <w:szCs w:val="16"/>
                <w:lang w:val="mk-MK"/>
              </w:rPr>
            </w:pPr>
            <w:r w:rsidRPr="00DE1AFF">
              <w:rPr>
                <w:b/>
                <w:sz w:val="16"/>
                <w:szCs w:val="16"/>
                <w:lang w:val="mk-MK"/>
              </w:rPr>
              <w:t>Н</w:t>
            </w:r>
          </w:p>
          <w:p w:rsidR="00A90AE5" w:rsidRPr="00DE1AFF" w:rsidRDefault="00A90AE5" w:rsidP="002133FA">
            <w:pPr>
              <w:jc w:val="center"/>
              <w:rPr>
                <w:b/>
                <w:sz w:val="16"/>
                <w:szCs w:val="16"/>
                <w:lang w:val="mk-MK"/>
              </w:rPr>
            </w:pPr>
            <w:r w:rsidRPr="00DE1AFF">
              <w:rPr>
                <w:b/>
                <w:sz w:val="16"/>
                <w:szCs w:val="16"/>
                <w:lang w:val="mk-MK"/>
              </w:rPr>
              <w:t>О</w:t>
            </w:r>
          </w:p>
        </w:tc>
        <w:tc>
          <w:tcPr>
            <w:tcW w:w="708" w:type="dxa"/>
            <w:shd w:val="clear" w:color="auto" w:fill="EEECE1" w:themeFill="background2"/>
          </w:tcPr>
          <w:p w:rsidR="00A90AE5" w:rsidRPr="00DE1AFF" w:rsidRDefault="00A90AE5" w:rsidP="002133FA">
            <w:pPr>
              <w:jc w:val="center"/>
              <w:rPr>
                <w:b/>
                <w:sz w:val="16"/>
                <w:szCs w:val="16"/>
                <w:lang w:val="mk-MK"/>
              </w:rPr>
            </w:pPr>
            <w:r w:rsidRPr="00DE1AFF">
              <w:rPr>
                <w:b/>
                <w:sz w:val="16"/>
                <w:szCs w:val="16"/>
                <w:lang w:val="mk-MK"/>
              </w:rPr>
              <w:t>З</w:t>
            </w:r>
          </w:p>
          <w:p w:rsidR="00A90AE5" w:rsidRPr="00DE1AFF" w:rsidRDefault="00A90AE5" w:rsidP="002133FA">
            <w:pPr>
              <w:jc w:val="center"/>
              <w:rPr>
                <w:b/>
                <w:sz w:val="16"/>
                <w:szCs w:val="16"/>
                <w:lang w:val="mk-MK"/>
              </w:rPr>
            </w:pPr>
            <w:r w:rsidRPr="00DE1AFF">
              <w:rPr>
                <w:b/>
                <w:sz w:val="16"/>
                <w:szCs w:val="16"/>
                <w:lang w:val="mk-MK"/>
              </w:rPr>
              <w:t>А</w:t>
            </w:r>
          </w:p>
          <w:p w:rsidR="00A90AE5" w:rsidRPr="00DE1AFF" w:rsidRDefault="00A90AE5" w:rsidP="002133FA">
            <w:pPr>
              <w:jc w:val="center"/>
              <w:rPr>
                <w:b/>
                <w:sz w:val="16"/>
                <w:szCs w:val="16"/>
                <w:lang w:val="mk-MK"/>
              </w:rPr>
            </w:pPr>
            <w:r w:rsidRPr="00DE1AFF">
              <w:rPr>
                <w:b/>
                <w:sz w:val="16"/>
                <w:szCs w:val="16"/>
                <w:lang w:val="mk-MK"/>
              </w:rPr>
              <w:t>В</w:t>
            </w:r>
          </w:p>
          <w:p w:rsidR="00A90AE5" w:rsidRPr="00DE1AFF" w:rsidRDefault="00A90AE5" w:rsidP="002133FA">
            <w:pPr>
              <w:jc w:val="center"/>
              <w:rPr>
                <w:b/>
                <w:sz w:val="16"/>
                <w:szCs w:val="16"/>
                <w:lang w:val="mk-MK"/>
              </w:rPr>
            </w:pPr>
            <w:r w:rsidRPr="00DE1AFF">
              <w:rPr>
                <w:b/>
                <w:sz w:val="16"/>
                <w:szCs w:val="16"/>
                <w:lang w:val="mk-MK"/>
              </w:rPr>
              <w:t>Р</w:t>
            </w:r>
          </w:p>
          <w:p w:rsidR="00A90AE5" w:rsidRPr="00DE1AFF" w:rsidRDefault="00A90AE5" w:rsidP="002133FA">
            <w:pPr>
              <w:jc w:val="center"/>
              <w:rPr>
                <w:b/>
                <w:sz w:val="16"/>
                <w:szCs w:val="16"/>
                <w:lang w:val="mk-MK"/>
              </w:rPr>
            </w:pPr>
            <w:r w:rsidRPr="00DE1AFF">
              <w:rPr>
                <w:b/>
                <w:sz w:val="16"/>
                <w:szCs w:val="16"/>
                <w:lang w:val="mk-MK"/>
              </w:rPr>
              <w:t>Ш</w:t>
            </w:r>
          </w:p>
          <w:p w:rsidR="00A90AE5" w:rsidRPr="00DE1AFF" w:rsidRDefault="00A90AE5" w:rsidP="002133FA">
            <w:pPr>
              <w:jc w:val="center"/>
              <w:rPr>
                <w:b/>
                <w:sz w:val="16"/>
                <w:szCs w:val="16"/>
                <w:lang w:val="mk-MK"/>
              </w:rPr>
            </w:pPr>
            <w:r w:rsidRPr="00DE1AFF">
              <w:rPr>
                <w:b/>
                <w:sz w:val="16"/>
                <w:szCs w:val="16"/>
                <w:lang w:val="mk-MK"/>
              </w:rPr>
              <w:t>Е</w:t>
            </w:r>
          </w:p>
          <w:p w:rsidR="00A90AE5" w:rsidRPr="00DE1AFF" w:rsidRDefault="00A90AE5" w:rsidP="002133FA">
            <w:pPr>
              <w:jc w:val="center"/>
              <w:rPr>
                <w:b/>
                <w:sz w:val="16"/>
                <w:szCs w:val="16"/>
                <w:lang w:val="mk-MK"/>
              </w:rPr>
            </w:pPr>
            <w:r w:rsidRPr="00DE1AFF">
              <w:rPr>
                <w:b/>
                <w:sz w:val="16"/>
                <w:szCs w:val="16"/>
                <w:lang w:val="mk-MK"/>
              </w:rPr>
              <w:t>Н</w:t>
            </w:r>
          </w:p>
          <w:p w:rsidR="00A90AE5" w:rsidRPr="00DE1AFF" w:rsidRDefault="00A90AE5" w:rsidP="002133FA">
            <w:pPr>
              <w:jc w:val="center"/>
              <w:rPr>
                <w:b/>
                <w:sz w:val="16"/>
                <w:szCs w:val="16"/>
                <w:lang w:val="mk-MK"/>
              </w:rPr>
            </w:pPr>
            <w:r w:rsidRPr="00DE1AFF">
              <w:rPr>
                <w:b/>
                <w:sz w:val="16"/>
                <w:szCs w:val="16"/>
                <w:lang w:val="mk-MK"/>
              </w:rPr>
              <w:t>О</w:t>
            </w:r>
          </w:p>
        </w:tc>
        <w:tc>
          <w:tcPr>
            <w:tcW w:w="2694" w:type="dxa"/>
            <w:shd w:val="clear" w:color="auto" w:fill="F2F2F2" w:themeFill="background1" w:themeFillShade="F2"/>
          </w:tcPr>
          <w:p w:rsidR="00A90AE5" w:rsidRPr="00DE1AFF" w:rsidRDefault="00A90AE5" w:rsidP="002133FA">
            <w:pPr>
              <w:rPr>
                <w:b/>
                <w:sz w:val="16"/>
                <w:szCs w:val="16"/>
                <w:lang w:val="mk-MK"/>
              </w:rPr>
            </w:pPr>
          </w:p>
          <w:p w:rsidR="00A90AE5" w:rsidRPr="00DE1AFF" w:rsidRDefault="00A90AE5" w:rsidP="002133FA">
            <w:pPr>
              <w:rPr>
                <w:b/>
                <w:sz w:val="16"/>
                <w:szCs w:val="16"/>
                <w:lang w:val="mk-MK"/>
              </w:rPr>
            </w:pPr>
          </w:p>
          <w:p w:rsidR="00A90AE5" w:rsidRPr="00DE1AFF" w:rsidRDefault="00A90AE5" w:rsidP="002133FA">
            <w:pPr>
              <w:rPr>
                <w:b/>
                <w:sz w:val="16"/>
                <w:szCs w:val="16"/>
                <w:lang w:val="mk-MK"/>
              </w:rPr>
            </w:pPr>
          </w:p>
          <w:p w:rsidR="00A90AE5" w:rsidRPr="00DE1AFF" w:rsidRDefault="00A90AE5" w:rsidP="002133FA">
            <w:pPr>
              <w:rPr>
                <w:b/>
                <w:sz w:val="16"/>
                <w:szCs w:val="16"/>
                <w:lang w:val="mk-MK"/>
              </w:rPr>
            </w:pPr>
          </w:p>
          <w:p w:rsidR="00A90AE5" w:rsidRPr="00DE1AFF" w:rsidRDefault="00A90AE5" w:rsidP="002133FA">
            <w:pPr>
              <w:jc w:val="center"/>
              <w:rPr>
                <w:b/>
                <w:sz w:val="16"/>
                <w:szCs w:val="16"/>
                <w:lang w:val="mk-MK"/>
              </w:rPr>
            </w:pPr>
          </w:p>
        </w:tc>
      </w:tr>
      <w:tr w:rsidR="00A90AE5" w:rsidRPr="00DE1AFF" w:rsidTr="00E31A1B">
        <w:trPr>
          <w:trHeight w:val="1457"/>
        </w:trPr>
        <w:tc>
          <w:tcPr>
            <w:tcW w:w="3794" w:type="dxa"/>
          </w:tcPr>
          <w:p w:rsidR="00A90AE5" w:rsidRDefault="00A90AE5" w:rsidP="00DE1AFF">
            <w:pPr>
              <w:spacing w:after="200" w:line="276" w:lineRule="auto"/>
              <w:jc w:val="both"/>
              <w:rPr>
                <w:lang w:val="mk-MK"/>
              </w:rPr>
            </w:pPr>
            <w:r>
              <w:rPr>
                <w:lang w:val="mk-MK"/>
              </w:rPr>
              <w:t>01.М1</w:t>
            </w:r>
            <w:r w:rsidRPr="00DE1AFF">
              <w:rPr>
                <w:lang w:val="mk-MK"/>
              </w:rPr>
              <w:t xml:space="preserve"> Усовршување на порталот ЕНЕР и оптимизација на процесот на консултација со јавноста</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shd w:val="clear" w:color="auto" w:fill="FFFFFF" w:themeFill="background1"/>
          </w:tcPr>
          <w:p w:rsidR="00A90AE5" w:rsidRPr="00DE1AFF" w:rsidRDefault="00A90AE5" w:rsidP="00DE1AFF">
            <w:pPr>
              <w:spacing w:after="200" w:line="276" w:lineRule="auto"/>
              <w:jc w:val="both"/>
              <w:rPr>
                <w:lang w:val="mk-MK"/>
              </w:rPr>
            </w:pPr>
          </w:p>
        </w:tc>
        <w:tc>
          <w:tcPr>
            <w:tcW w:w="708" w:type="dxa"/>
            <w:shd w:val="clear" w:color="auto" w:fill="4F81BD" w:themeFill="accent1"/>
          </w:tcPr>
          <w:p w:rsidR="00A90AE5" w:rsidRPr="00DE1AFF" w:rsidRDefault="00A90AE5" w:rsidP="00DE1AFF">
            <w:pPr>
              <w:spacing w:after="200" w:line="276" w:lineRule="auto"/>
              <w:jc w:val="both"/>
              <w:rPr>
                <w:lang w:val="mk-MK"/>
              </w:rPr>
            </w:pPr>
          </w:p>
        </w:tc>
        <w:tc>
          <w:tcPr>
            <w:tcW w:w="2694" w:type="dxa"/>
          </w:tcPr>
          <w:p w:rsidR="00A90AE5" w:rsidRPr="00DE1AFF" w:rsidRDefault="00A90AE5" w:rsidP="00DE1AFF">
            <w:pPr>
              <w:spacing w:after="200" w:line="276" w:lineRule="auto"/>
              <w:jc w:val="both"/>
              <w:rPr>
                <w:lang w:val="mk-MK"/>
              </w:rPr>
            </w:pPr>
          </w:p>
          <w:p w:rsidR="00A90AE5" w:rsidRPr="00E35B9F" w:rsidRDefault="00A90AE5" w:rsidP="00DE1AFF">
            <w:pPr>
              <w:spacing w:after="200" w:line="276" w:lineRule="auto"/>
              <w:jc w:val="both"/>
              <w:rPr>
                <w:lang w:val="mk-MK"/>
              </w:rPr>
            </w:pPr>
            <w:r>
              <w:rPr>
                <w:lang w:val="mk-MK"/>
              </w:rPr>
              <w:t>Септември 2015</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 xml:space="preserve">01.М2 </w:t>
            </w:r>
            <w:r w:rsidRPr="008539F8">
              <w:rPr>
                <w:lang w:val="mk-MK"/>
              </w:rPr>
              <w:t>Зајакнување на правилата за работа и користење на</w:t>
            </w:r>
            <w:r w:rsidRPr="00C17423">
              <w:rPr>
                <w:lang w:val="mk-MK"/>
              </w:rPr>
              <w:t>ЕНЕР</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shd w:val="clear" w:color="auto" w:fill="FFFFFF" w:themeFill="background1"/>
          </w:tcPr>
          <w:p w:rsidR="00A90AE5" w:rsidRPr="00DE1AFF" w:rsidRDefault="00A90AE5" w:rsidP="00DE1AFF">
            <w:pPr>
              <w:spacing w:after="200" w:line="276" w:lineRule="auto"/>
              <w:jc w:val="both"/>
              <w:rPr>
                <w:lang w:val="mk-MK"/>
              </w:rPr>
            </w:pPr>
          </w:p>
        </w:tc>
        <w:tc>
          <w:tcPr>
            <w:tcW w:w="708" w:type="dxa"/>
            <w:shd w:val="clear" w:color="auto" w:fill="4F81BD" w:themeFill="accent1"/>
          </w:tcPr>
          <w:p w:rsidR="00A90AE5" w:rsidRPr="00DE1AFF" w:rsidRDefault="00A90AE5" w:rsidP="00DE1AFF">
            <w:pPr>
              <w:spacing w:after="200" w:line="276" w:lineRule="auto"/>
              <w:jc w:val="both"/>
              <w:rPr>
                <w:lang w:val="mk-MK"/>
              </w:rPr>
            </w:pPr>
          </w:p>
        </w:tc>
        <w:tc>
          <w:tcPr>
            <w:tcW w:w="2694" w:type="dxa"/>
          </w:tcPr>
          <w:p w:rsidR="00A90AE5" w:rsidRDefault="00A90AE5" w:rsidP="00DE1AFF">
            <w:pPr>
              <w:spacing w:after="200" w:line="276" w:lineRule="auto"/>
              <w:jc w:val="both"/>
              <w:rPr>
                <w:lang w:val="mk-MK"/>
              </w:rPr>
            </w:pPr>
          </w:p>
          <w:p w:rsidR="00A90AE5" w:rsidRPr="00E81A28" w:rsidRDefault="00A90AE5" w:rsidP="00DE1AFF">
            <w:pPr>
              <w:spacing w:after="200" w:line="276" w:lineRule="auto"/>
              <w:jc w:val="both"/>
              <w:rPr>
                <w:lang w:val="mk-MK"/>
              </w:rPr>
            </w:pPr>
            <w:r w:rsidRPr="00E81A28">
              <w:rPr>
                <w:lang w:val="mk-MK"/>
              </w:rPr>
              <w:t>Септември 2015</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 xml:space="preserve">01.М3 </w:t>
            </w:r>
            <w:r w:rsidRPr="00177E1E">
              <w:rPr>
                <w:lang w:val="mk-MK"/>
              </w:rPr>
              <w:t>Објавување на резултати за користење на ЕНЕР-„Огледало на Владата</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shd w:val="clear" w:color="auto" w:fill="4F81BD" w:themeFill="accent1"/>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Default="00A90AE5" w:rsidP="00DE1AFF">
            <w:pPr>
              <w:spacing w:after="200" w:line="276" w:lineRule="auto"/>
              <w:jc w:val="both"/>
              <w:rPr>
                <w:lang w:val="mk-MK"/>
              </w:rPr>
            </w:pPr>
          </w:p>
          <w:p w:rsidR="00A90AE5" w:rsidRPr="00B564E5" w:rsidRDefault="00A90AE5" w:rsidP="00DE1AFF">
            <w:pPr>
              <w:spacing w:after="200" w:line="276" w:lineRule="auto"/>
              <w:jc w:val="both"/>
              <w:rPr>
                <w:lang w:val="mk-MK"/>
              </w:rPr>
            </w:pPr>
            <w:r>
              <w:rPr>
                <w:lang w:val="mk-MK"/>
              </w:rPr>
              <w:t>30.04.2016 со можност за продолжување</w:t>
            </w:r>
          </w:p>
        </w:tc>
      </w:tr>
      <w:tr w:rsidR="00A90AE5" w:rsidRPr="00DE1AFF" w:rsidTr="00E31A1B">
        <w:trPr>
          <w:trHeight w:val="1842"/>
        </w:trPr>
        <w:tc>
          <w:tcPr>
            <w:tcW w:w="3794" w:type="dxa"/>
          </w:tcPr>
          <w:p w:rsidR="00A90AE5" w:rsidRDefault="00A90AE5" w:rsidP="00DE1AFF">
            <w:pPr>
              <w:spacing w:after="200" w:line="276" w:lineRule="auto"/>
              <w:jc w:val="both"/>
              <w:rPr>
                <w:lang w:val="mk-MK"/>
              </w:rPr>
            </w:pPr>
            <w:r>
              <w:rPr>
                <w:lang w:val="mk-MK"/>
              </w:rPr>
              <w:lastRenderedPageBreak/>
              <w:t xml:space="preserve">01.М4 </w:t>
            </w:r>
            <w:r w:rsidRPr="00210DAD">
              <w:rPr>
                <w:lang w:val="mk-MK"/>
              </w:rPr>
              <w:t>Следење на отвореност на Владини институции во процесите на креирање политики и подготовка на закони „ Огледало на Владата: учество на јавноста во проц</w:t>
            </w:r>
            <w:r>
              <w:rPr>
                <w:lang w:val="mk-MK"/>
              </w:rPr>
              <w:t>есите на подготовка на закони “</w:t>
            </w:r>
          </w:p>
        </w:tc>
        <w:tc>
          <w:tcPr>
            <w:tcW w:w="709" w:type="dxa"/>
          </w:tcPr>
          <w:p w:rsidR="00A90AE5" w:rsidRPr="00DE1AFF" w:rsidRDefault="00A90AE5" w:rsidP="00DE1AFF">
            <w:pPr>
              <w:spacing w:after="200" w:line="276" w:lineRule="auto"/>
              <w:jc w:val="both"/>
              <w:rPr>
                <w:lang w:val="mk-MK"/>
              </w:rPr>
            </w:pPr>
          </w:p>
        </w:tc>
        <w:tc>
          <w:tcPr>
            <w:tcW w:w="850" w:type="dxa"/>
            <w:shd w:val="clear" w:color="auto" w:fill="FFFFFF" w:themeFill="background1"/>
          </w:tcPr>
          <w:p w:rsidR="00A90AE5" w:rsidRPr="00DE1AFF" w:rsidRDefault="00A90AE5" w:rsidP="00DE1AFF">
            <w:pPr>
              <w:spacing w:after="200" w:line="276" w:lineRule="auto"/>
              <w:jc w:val="both"/>
              <w:rPr>
                <w:lang w:val="mk-MK"/>
              </w:rPr>
            </w:pPr>
          </w:p>
        </w:tc>
        <w:tc>
          <w:tcPr>
            <w:tcW w:w="851" w:type="dxa"/>
            <w:shd w:val="clear" w:color="auto" w:fill="4F81BD" w:themeFill="accent1"/>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DE1AFF" w:rsidRDefault="00A90AE5" w:rsidP="00DE1AFF">
            <w:pPr>
              <w:spacing w:after="200" w:line="276" w:lineRule="auto"/>
              <w:jc w:val="both"/>
              <w:rPr>
                <w:lang w:val="mk-MK"/>
              </w:rPr>
            </w:pPr>
            <w:r w:rsidRPr="00DE1AFF">
              <w:rPr>
                <w:lang w:val="mk-MK"/>
              </w:rPr>
              <w:t>30.04.2016 со можност за продолжување</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 xml:space="preserve">01.М5 </w:t>
            </w:r>
            <w:r w:rsidRPr="005C5F5E">
              <w:rPr>
                <w:lang w:val="mk-MK"/>
              </w:rPr>
              <w:t>Градење на капацитетите на граѓанските организации за мониторинг на спроведувањето на политиките</w:t>
            </w:r>
          </w:p>
        </w:tc>
        <w:tc>
          <w:tcPr>
            <w:tcW w:w="709" w:type="dxa"/>
          </w:tcPr>
          <w:p w:rsidR="00A90AE5" w:rsidRPr="00DE1AFF" w:rsidRDefault="00A90AE5" w:rsidP="00DE1AFF">
            <w:pPr>
              <w:spacing w:after="200" w:line="276" w:lineRule="auto"/>
              <w:jc w:val="both"/>
              <w:rPr>
                <w:lang w:val="mk-MK"/>
              </w:rPr>
            </w:pPr>
          </w:p>
        </w:tc>
        <w:tc>
          <w:tcPr>
            <w:tcW w:w="850" w:type="dxa"/>
            <w:shd w:val="clear" w:color="auto" w:fill="4F81BD" w:themeFill="accent1"/>
          </w:tcPr>
          <w:p w:rsidR="00A90AE5" w:rsidRPr="00DE1AFF" w:rsidRDefault="00A90AE5" w:rsidP="00DE1AFF">
            <w:pPr>
              <w:spacing w:after="200" w:line="276" w:lineRule="auto"/>
              <w:jc w:val="both"/>
              <w:rPr>
                <w:lang w:val="mk-MK"/>
              </w:rPr>
            </w:pPr>
          </w:p>
        </w:tc>
        <w:tc>
          <w:tcPr>
            <w:tcW w:w="851" w:type="dxa"/>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Default="00A90AE5" w:rsidP="00DE1AFF">
            <w:pPr>
              <w:spacing w:after="200" w:line="276" w:lineRule="auto"/>
              <w:jc w:val="both"/>
              <w:rPr>
                <w:lang w:val="mk-MK"/>
              </w:rPr>
            </w:pPr>
          </w:p>
          <w:p w:rsidR="00A90AE5" w:rsidRPr="00591AAF" w:rsidRDefault="00A90AE5" w:rsidP="00DE1AFF">
            <w:pPr>
              <w:spacing w:after="200" w:line="276" w:lineRule="auto"/>
              <w:jc w:val="both"/>
              <w:rPr>
                <w:lang w:val="mk-MK"/>
              </w:rPr>
            </w:pPr>
            <w:r>
              <w:rPr>
                <w:lang w:val="mk-MK"/>
              </w:rPr>
              <w:t>Декември 2016</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01.М6</w:t>
            </w:r>
            <w:r w:rsidRPr="00C72919">
              <w:rPr>
                <w:lang w:val="mk-MK"/>
              </w:rPr>
              <w:t>Подигнување на свеста за придобивките од отворено владино партнесрство</w:t>
            </w:r>
          </w:p>
        </w:tc>
        <w:tc>
          <w:tcPr>
            <w:tcW w:w="709" w:type="dxa"/>
          </w:tcPr>
          <w:p w:rsidR="00A90AE5" w:rsidRPr="00DE1AFF" w:rsidRDefault="00A90AE5" w:rsidP="00DE1AFF">
            <w:pPr>
              <w:spacing w:after="200" w:line="276" w:lineRule="auto"/>
              <w:jc w:val="both"/>
              <w:rPr>
                <w:lang w:val="mk-MK"/>
              </w:rPr>
            </w:pPr>
          </w:p>
        </w:tc>
        <w:tc>
          <w:tcPr>
            <w:tcW w:w="850" w:type="dxa"/>
            <w:shd w:val="clear" w:color="auto" w:fill="4F81BD" w:themeFill="accent1"/>
          </w:tcPr>
          <w:p w:rsidR="00A90AE5" w:rsidRPr="00DE1AFF" w:rsidRDefault="00A90AE5" w:rsidP="00DE1AFF">
            <w:pPr>
              <w:spacing w:after="200" w:line="276" w:lineRule="auto"/>
              <w:jc w:val="both"/>
              <w:rPr>
                <w:lang w:val="mk-MK"/>
              </w:rPr>
            </w:pPr>
          </w:p>
        </w:tc>
        <w:tc>
          <w:tcPr>
            <w:tcW w:w="851" w:type="dxa"/>
            <w:shd w:val="clear" w:color="auto" w:fill="FFFFFF" w:themeFill="background1"/>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DE1AFF" w:rsidRDefault="00A90AE5" w:rsidP="00DE1AFF">
            <w:pPr>
              <w:spacing w:after="200" w:line="276" w:lineRule="auto"/>
              <w:jc w:val="both"/>
              <w:rPr>
                <w:lang w:val="mk-MK"/>
              </w:rPr>
            </w:pPr>
            <w:r w:rsidRPr="00DE1AFF">
              <w:rPr>
                <w:lang w:val="mk-MK"/>
              </w:rPr>
              <w:t>Декември 2016</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01.М7</w:t>
            </w:r>
            <w:r w:rsidRPr="00C72919">
              <w:rPr>
                <w:lang w:val="mk-MK"/>
              </w:rPr>
              <w:t xml:space="preserve">Поголема јавна свест и користење на партиципативното креирање на политики преку интернет порталот е-демократија од страна на институциите, фирмите, коморите, граѓанското општество и граѓаните  </w:t>
            </w:r>
          </w:p>
        </w:tc>
        <w:tc>
          <w:tcPr>
            <w:tcW w:w="709" w:type="dxa"/>
          </w:tcPr>
          <w:p w:rsidR="00A90AE5" w:rsidRPr="00DE1AFF" w:rsidRDefault="00A90AE5" w:rsidP="00DE1AFF">
            <w:pPr>
              <w:spacing w:after="200" w:line="276" w:lineRule="auto"/>
              <w:jc w:val="both"/>
              <w:rPr>
                <w:lang w:val="mk-MK"/>
              </w:rPr>
            </w:pPr>
          </w:p>
        </w:tc>
        <w:tc>
          <w:tcPr>
            <w:tcW w:w="850" w:type="dxa"/>
            <w:shd w:val="clear" w:color="auto" w:fill="FFFFFF" w:themeFill="background1"/>
          </w:tcPr>
          <w:p w:rsidR="00A90AE5" w:rsidRPr="00DE1AFF" w:rsidRDefault="00A90AE5" w:rsidP="00DE1AFF">
            <w:pPr>
              <w:spacing w:after="200" w:line="276" w:lineRule="auto"/>
              <w:jc w:val="both"/>
              <w:rPr>
                <w:lang w:val="mk-MK"/>
              </w:rPr>
            </w:pPr>
          </w:p>
        </w:tc>
        <w:tc>
          <w:tcPr>
            <w:tcW w:w="851" w:type="dxa"/>
            <w:shd w:val="clear" w:color="auto" w:fill="4F81BD" w:themeFill="accent1"/>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Default="00A90AE5" w:rsidP="00DE1AFF">
            <w:pPr>
              <w:spacing w:after="200" w:line="276" w:lineRule="auto"/>
              <w:jc w:val="both"/>
              <w:rPr>
                <w:lang w:val="mk-MK"/>
              </w:rPr>
            </w:pPr>
          </w:p>
          <w:p w:rsidR="00A90AE5" w:rsidRPr="00F62B4A" w:rsidRDefault="00A90AE5" w:rsidP="00DE1AFF">
            <w:pPr>
              <w:spacing w:after="200" w:line="276" w:lineRule="auto"/>
              <w:jc w:val="both"/>
              <w:rPr>
                <w:lang w:val="mk-MK"/>
              </w:rPr>
            </w:pPr>
            <w:r>
              <w:rPr>
                <w:lang w:val="mk-MK"/>
              </w:rPr>
              <w:t xml:space="preserve">  Јуни 2016</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01.М8</w:t>
            </w:r>
            <w:r w:rsidRPr="00C72919">
              <w:rPr>
                <w:lang w:val="mk-MK"/>
              </w:rPr>
              <w:t>Формирање на советодавно тело за унапредување на соработката, дијалогот и поттикнување на развојот на граѓанскиот сектор составен од претставници на Владата, органите на државна управа и граѓански организации</w:t>
            </w:r>
          </w:p>
        </w:tc>
        <w:tc>
          <w:tcPr>
            <w:tcW w:w="709" w:type="dxa"/>
          </w:tcPr>
          <w:p w:rsidR="00A90AE5" w:rsidRPr="00DE1AFF" w:rsidRDefault="00A90AE5" w:rsidP="00DE1AFF">
            <w:pPr>
              <w:spacing w:after="200" w:line="276" w:lineRule="auto"/>
              <w:jc w:val="both"/>
              <w:rPr>
                <w:lang w:val="mk-MK"/>
              </w:rPr>
            </w:pPr>
          </w:p>
        </w:tc>
        <w:tc>
          <w:tcPr>
            <w:tcW w:w="850" w:type="dxa"/>
            <w:shd w:val="clear" w:color="auto" w:fill="4F81BD" w:themeFill="accent1"/>
          </w:tcPr>
          <w:p w:rsidR="00A90AE5" w:rsidRPr="00DE1AFF" w:rsidRDefault="00A90AE5" w:rsidP="00DE1AFF">
            <w:pPr>
              <w:spacing w:after="200" w:line="276" w:lineRule="auto"/>
              <w:jc w:val="both"/>
              <w:rPr>
                <w:lang w:val="mk-MK"/>
              </w:rPr>
            </w:pPr>
          </w:p>
        </w:tc>
        <w:tc>
          <w:tcPr>
            <w:tcW w:w="851" w:type="dxa"/>
            <w:shd w:val="clear" w:color="auto" w:fill="FFFFFF" w:themeFill="background1"/>
          </w:tcPr>
          <w:p w:rsidR="00A90AE5" w:rsidRPr="00DE1AFF" w:rsidRDefault="00A90AE5" w:rsidP="00DE1AFF">
            <w:pPr>
              <w:spacing w:after="200" w:line="276" w:lineRule="auto"/>
              <w:jc w:val="both"/>
              <w:rPr>
                <w:lang w:val="mk-MK"/>
              </w:rPr>
            </w:pPr>
          </w:p>
        </w:tc>
        <w:tc>
          <w:tcPr>
            <w:tcW w:w="708" w:type="dxa"/>
            <w:shd w:val="clear" w:color="auto" w:fill="FFFFFF" w:themeFill="background1"/>
          </w:tcPr>
          <w:p w:rsidR="00A90AE5" w:rsidRPr="00DE1AFF" w:rsidRDefault="00A90AE5" w:rsidP="00DE1AFF">
            <w:pPr>
              <w:spacing w:after="200" w:line="276" w:lineRule="auto"/>
              <w:jc w:val="both"/>
              <w:rPr>
                <w:lang w:val="mk-MK"/>
              </w:rPr>
            </w:pPr>
          </w:p>
        </w:tc>
        <w:tc>
          <w:tcPr>
            <w:tcW w:w="2694" w:type="dxa"/>
          </w:tcPr>
          <w:p w:rsidR="00A90AE5" w:rsidRDefault="00A90AE5" w:rsidP="00DE1AFF">
            <w:pPr>
              <w:spacing w:after="200" w:line="276" w:lineRule="auto"/>
              <w:jc w:val="both"/>
              <w:rPr>
                <w:lang w:val="mk-MK"/>
              </w:rPr>
            </w:pPr>
          </w:p>
          <w:p w:rsidR="00A90AE5" w:rsidRDefault="00A90AE5" w:rsidP="00DE1AFF">
            <w:pPr>
              <w:spacing w:after="200" w:line="276" w:lineRule="auto"/>
              <w:jc w:val="both"/>
              <w:rPr>
                <w:lang w:val="mk-MK"/>
              </w:rPr>
            </w:pPr>
          </w:p>
          <w:p w:rsidR="00A90AE5" w:rsidRPr="00BC50EE" w:rsidRDefault="00A90AE5" w:rsidP="00DE1AFF">
            <w:pPr>
              <w:spacing w:after="200" w:line="276" w:lineRule="auto"/>
              <w:jc w:val="both"/>
              <w:rPr>
                <w:lang w:val="mk-MK"/>
              </w:rPr>
            </w:pPr>
            <w:r>
              <w:rPr>
                <w:lang w:val="mk-MK"/>
              </w:rPr>
              <w:t xml:space="preserve">     Континуирано</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01.М9</w:t>
            </w:r>
            <w:r w:rsidRPr="001F59EC">
              <w:rPr>
                <w:lang w:val="mk-MK"/>
              </w:rPr>
              <w:t>Унапредена примена на Кодексот за добри практики за учество на граѓанскиот сектор во процесот на креирање на политики</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shd w:val="clear" w:color="auto" w:fill="4F81BD" w:themeFill="accent1"/>
          </w:tcPr>
          <w:p w:rsidR="00A90AE5" w:rsidRPr="00DE1AFF" w:rsidRDefault="00A90AE5" w:rsidP="00DE1AFF">
            <w:pPr>
              <w:spacing w:after="200" w:line="276" w:lineRule="auto"/>
              <w:jc w:val="both"/>
              <w:rPr>
                <w:lang w:val="mk-MK"/>
              </w:rPr>
            </w:pPr>
          </w:p>
        </w:tc>
        <w:tc>
          <w:tcPr>
            <w:tcW w:w="708" w:type="dxa"/>
            <w:shd w:val="clear" w:color="auto" w:fill="FFFFFF" w:themeFill="background1"/>
          </w:tcPr>
          <w:p w:rsidR="00A90AE5" w:rsidRPr="00DE1AFF" w:rsidRDefault="00A90AE5" w:rsidP="00DE1AFF">
            <w:pPr>
              <w:spacing w:after="200" w:line="276" w:lineRule="auto"/>
              <w:jc w:val="both"/>
              <w:rPr>
                <w:lang w:val="mk-MK"/>
              </w:rPr>
            </w:pPr>
          </w:p>
        </w:tc>
        <w:tc>
          <w:tcPr>
            <w:tcW w:w="2694" w:type="dxa"/>
          </w:tcPr>
          <w:p w:rsidR="00A90AE5" w:rsidRDefault="00A90AE5" w:rsidP="00DE1AFF">
            <w:pPr>
              <w:spacing w:after="200" w:line="276" w:lineRule="auto"/>
              <w:jc w:val="both"/>
              <w:rPr>
                <w:lang w:val="mk-MK"/>
              </w:rPr>
            </w:pPr>
          </w:p>
          <w:p w:rsidR="00A90AE5" w:rsidRDefault="00A90AE5" w:rsidP="00DE1AFF">
            <w:pPr>
              <w:spacing w:after="200" w:line="276" w:lineRule="auto"/>
              <w:jc w:val="both"/>
              <w:rPr>
                <w:lang w:val="mk-MK"/>
              </w:rPr>
            </w:pPr>
            <w:r w:rsidRPr="00845E14">
              <w:rPr>
                <w:lang w:val="mk-MK"/>
              </w:rPr>
              <w:t>Континуирано</w:t>
            </w:r>
          </w:p>
          <w:p w:rsidR="00A90AE5" w:rsidRPr="00845E14" w:rsidRDefault="00A90AE5" w:rsidP="00DE1AFF">
            <w:pPr>
              <w:spacing w:after="200" w:line="276" w:lineRule="auto"/>
              <w:jc w:val="both"/>
              <w:rPr>
                <w:lang w:val="mk-MK"/>
              </w:rPr>
            </w:pPr>
          </w:p>
        </w:tc>
      </w:tr>
      <w:tr w:rsidR="00A90AE5" w:rsidRPr="00DE1AFF" w:rsidTr="00E31A1B">
        <w:tc>
          <w:tcPr>
            <w:tcW w:w="3794" w:type="dxa"/>
          </w:tcPr>
          <w:p w:rsidR="00A90AE5" w:rsidRDefault="00A90AE5" w:rsidP="00DE1AFF">
            <w:pPr>
              <w:spacing w:after="200" w:line="276" w:lineRule="auto"/>
              <w:jc w:val="both"/>
              <w:rPr>
                <w:lang w:val="mk-MK"/>
              </w:rPr>
            </w:pPr>
            <w:r>
              <w:rPr>
                <w:lang w:val="mk-MK"/>
              </w:rPr>
              <w:t xml:space="preserve">01.М10 </w:t>
            </w:r>
            <w:r w:rsidRPr="00637FF2">
              <w:rPr>
                <w:lang w:val="mk-MK"/>
              </w:rPr>
              <w:t xml:space="preserve">Имплементација на мерките од Стратегијата за соработка на Владата со граѓанскиот сектор (2012-2017) и навремено ажурирање на веб страницата на Одделението за </w:t>
            </w:r>
            <w:r w:rsidRPr="00637FF2">
              <w:rPr>
                <w:lang w:val="mk-MK"/>
              </w:rPr>
              <w:lastRenderedPageBreak/>
              <w:t>соработка со невладини организации</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shd w:val="clear" w:color="auto" w:fill="4F81BD" w:themeFill="accent1"/>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Default="00A90AE5" w:rsidP="00DE1AFF">
            <w:pPr>
              <w:spacing w:after="200" w:line="276" w:lineRule="auto"/>
              <w:jc w:val="both"/>
              <w:rPr>
                <w:lang w:val="mk-MK"/>
              </w:rPr>
            </w:pPr>
          </w:p>
          <w:p w:rsidR="00A90AE5" w:rsidRPr="009C175B" w:rsidRDefault="00A90AE5" w:rsidP="00DE1AFF">
            <w:pPr>
              <w:spacing w:after="200" w:line="276" w:lineRule="auto"/>
              <w:jc w:val="both"/>
              <w:rPr>
                <w:lang w:val="mk-MK"/>
              </w:rPr>
            </w:pPr>
            <w:r w:rsidRPr="009C175B">
              <w:rPr>
                <w:lang w:val="mk-MK"/>
              </w:rPr>
              <w:t>Континуирано</w:t>
            </w:r>
          </w:p>
        </w:tc>
      </w:tr>
      <w:tr w:rsidR="00A90AE5" w:rsidRPr="00DE1AFF" w:rsidTr="00EF52B6">
        <w:tc>
          <w:tcPr>
            <w:tcW w:w="3794" w:type="dxa"/>
          </w:tcPr>
          <w:p w:rsidR="00A90AE5" w:rsidRDefault="00A90AE5" w:rsidP="00DE1AFF">
            <w:pPr>
              <w:spacing w:after="200" w:line="276" w:lineRule="auto"/>
              <w:jc w:val="both"/>
              <w:rPr>
                <w:lang w:val="mk-MK"/>
              </w:rPr>
            </w:pPr>
            <w:r>
              <w:rPr>
                <w:lang w:val="mk-MK"/>
              </w:rPr>
              <w:lastRenderedPageBreak/>
              <w:t>02.М1</w:t>
            </w:r>
            <w:r w:rsidRPr="0088772C">
              <w:rPr>
                <w:lang w:val="mk-MK"/>
              </w:rPr>
              <w:t>Отворени податоци од органите и институциите од јавниот сектор согласно нивните технички можности кои ги создаваат во вршењето на своите надлежности кои ќе ги  направат достапни за користење</w:t>
            </w:r>
          </w:p>
        </w:tc>
        <w:tc>
          <w:tcPr>
            <w:tcW w:w="709" w:type="dxa"/>
          </w:tcPr>
          <w:p w:rsidR="00A90AE5" w:rsidRPr="00DE1AFF" w:rsidRDefault="00A90AE5" w:rsidP="00DE1AFF">
            <w:pPr>
              <w:spacing w:after="200" w:line="276" w:lineRule="auto"/>
              <w:jc w:val="both"/>
              <w:rPr>
                <w:lang w:val="mk-MK"/>
              </w:rPr>
            </w:pPr>
          </w:p>
        </w:tc>
        <w:tc>
          <w:tcPr>
            <w:tcW w:w="850" w:type="dxa"/>
            <w:shd w:val="clear" w:color="auto" w:fill="548DD4" w:themeFill="text2" w:themeFillTint="99"/>
          </w:tcPr>
          <w:p w:rsidR="00A90AE5" w:rsidRPr="00DE1AFF" w:rsidRDefault="00A90AE5" w:rsidP="00DE1AFF">
            <w:pPr>
              <w:spacing w:after="200" w:line="276" w:lineRule="auto"/>
              <w:jc w:val="both"/>
              <w:rPr>
                <w:lang w:val="mk-MK"/>
              </w:rPr>
            </w:pPr>
          </w:p>
        </w:tc>
        <w:tc>
          <w:tcPr>
            <w:tcW w:w="851" w:type="dxa"/>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DE1AFF" w:rsidRDefault="00EF52B6" w:rsidP="00DE1AFF">
            <w:pPr>
              <w:spacing w:after="200" w:line="276" w:lineRule="auto"/>
              <w:jc w:val="both"/>
              <w:rPr>
                <w:lang w:val="mk-MK"/>
              </w:rPr>
            </w:pPr>
            <w:r>
              <w:rPr>
                <w:lang w:val="mk-MK"/>
              </w:rPr>
              <w:t>2016</w:t>
            </w:r>
          </w:p>
        </w:tc>
      </w:tr>
      <w:tr w:rsidR="00A90AE5" w:rsidRPr="00DE1AFF" w:rsidTr="00EF52B6">
        <w:tc>
          <w:tcPr>
            <w:tcW w:w="3794" w:type="dxa"/>
          </w:tcPr>
          <w:p w:rsidR="00A90AE5" w:rsidRDefault="00A90AE5" w:rsidP="00DE1AFF">
            <w:pPr>
              <w:spacing w:after="200" w:line="276" w:lineRule="auto"/>
              <w:jc w:val="both"/>
              <w:rPr>
                <w:lang w:val="mk-MK"/>
              </w:rPr>
            </w:pPr>
            <w:r>
              <w:rPr>
                <w:lang w:val="mk-MK"/>
              </w:rPr>
              <w:t>02.М2</w:t>
            </w:r>
            <w:r w:rsidRPr="0088772C">
              <w:rPr>
                <w:lang w:val="mk-MK"/>
              </w:rPr>
              <w:t>Утврдување на техничките нормативи за форматот на податоците и начинот на објавување на истите ги утврдува Министерот за информатичко општество и администрација.</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tcPr>
          <w:p w:rsidR="00A90AE5" w:rsidRPr="00DE1AFF" w:rsidRDefault="00A90AE5" w:rsidP="00DE1AFF">
            <w:pPr>
              <w:spacing w:after="200" w:line="276" w:lineRule="auto"/>
              <w:jc w:val="both"/>
              <w:rPr>
                <w:lang w:val="mk-MK"/>
              </w:rPr>
            </w:pPr>
          </w:p>
        </w:tc>
        <w:tc>
          <w:tcPr>
            <w:tcW w:w="708" w:type="dxa"/>
            <w:shd w:val="clear" w:color="auto" w:fill="548DD4" w:themeFill="text2" w:themeFillTint="99"/>
          </w:tcPr>
          <w:p w:rsidR="00A90AE5" w:rsidRPr="00DE1AFF" w:rsidRDefault="00A90AE5" w:rsidP="00DE1AFF">
            <w:pPr>
              <w:spacing w:after="200" w:line="276" w:lineRule="auto"/>
              <w:jc w:val="both"/>
              <w:rPr>
                <w:lang w:val="mk-MK"/>
              </w:rPr>
            </w:pPr>
          </w:p>
        </w:tc>
        <w:tc>
          <w:tcPr>
            <w:tcW w:w="2694" w:type="dxa"/>
          </w:tcPr>
          <w:p w:rsidR="00A90AE5" w:rsidRPr="00DE1AFF" w:rsidRDefault="00EF52B6" w:rsidP="00DE1AFF">
            <w:pPr>
              <w:spacing w:after="200" w:line="276" w:lineRule="auto"/>
              <w:jc w:val="both"/>
              <w:rPr>
                <w:lang w:val="mk-MK"/>
              </w:rPr>
            </w:pPr>
            <w:r>
              <w:rPr>
                <w:lang w:val="mk-MK"/>
              </w:rPr>
              <w:t>2015</w:t>
            </w:r>
          </w:p>
        </w:tc>
      </w:tr>
      <w:tr w:rsidR="00A90AE5" w:rsidRPr="00DE1AFF" w:rsidTr="00EF52B6">
        <w:tc>
          <w:tcPr>
            <w:tcW w:w="3794" w:type="dxa"/>
          </w:tcPr>
          <w:p w:rsidR="00A90AE5" w:rsidRDefault="00A90AE5" w:rsidP="00DE1AFF">
            <w:pPr>
              <w:spacing w:after="200" w:line="276" w:lineRule="auto"/>
              <w:jc w:val="both"/>
              <w:rPr>
                <w:lang w:val="mk-MK"/>
              </w:rPr>
            </w:pPr>
            <w:r>
              <w:rPr>
                <w:lang w:val="mk-MK"/>
              </w:rPr>
              <w:t>02.М3</w:t>
            </w:r>
            <w:r w:rsidRPr="00AA3F10">
              <w:rPr>
                <w:lang w:val="mk-MK"/>
              </w:rPr>
              <w:t>Формирање на Централен каталог на податоците од јавниот сектор објавени за користење врз основа на каталог на податоци од органите и институциите од јавниот сектор на  www.otvorenipodatoci.gov.mk</w:t>
            </w:r>
          </w:p>
        </w:tc>
        <w:tc>
          <w:tcPr>
            <w:tcW w:w="709" w:type="dxa"/>
          </w:tcPr>
          <w:p w:rsidR="00A90AE5" w:rsidRPr="00DE1AFF" w:rsidRDefault="00A90AE5" w:rsidP="00DE1AFF">
            <w:pPr>
              <w:spacing w:after="200" w:line="276" w:lineRule="auto"/>
              <w:jc w:val="both"/>
              <w:rPr>
                <w:lang w:val="mk-MK"/>
              </w:rPr>
            </w:pPr>
          </w:p>
        </w:tc>
        <w:tc>
          <w:tcPr>
            <w:tcW w:w="850" w:type="dxa"/>
            <w:shd w:val="clear" w:color="auto" w:fill="548DD4" w:themeFill="text2" w:themeFillTint="99"/>
          </w:tcPr>
          <w:p w:rsidR="00A90AE5" w:rsidRPr="00DE1AFF" w:rsidRDefault="00A90AE5" w:rsidP="00DE1AFF">
            <w:pPr>
              <w:spacing w:after="200" w:line="276" w:lineRule="auto"/>
              <w:jc w:val="both"/>
              <w:rPr>
                <w:lang w:val="mk-MK"/>
              </w:rPr>
            </w:pPr>
          </w:p>
        </w:tc>
        <w:tc>
          <w:tcPr>
            <w:tcW w:w="851" w:type="dxa"/>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DE1AFF" w:rsidRDefault="00EF52B6" w:rsidP="00DE1AFF">
            <w:pPr>
              <w:spacing w:after="200" w:line="276" w:lineRule="auto"/>
              <w:jc w:val="both"/>
              <w:rPr>
                <w:lang w:val="mk-MK"/>
              </w:rPr>
            </w:pPr>
            <w:r>
              <w:rPr>
                <w:lang w:val="mk-MK"/>
              </w:rPr>
              <w:t>2016</w:t>
            </w:r>
          </w:p>
        </w:tc>
      </w:tr>
      <w:tr w:rsidR="00A90AE5" w:rsidRPr="00DE1AFF" w:rsidTr="00EF52B6">
        <w:tc>
          <w:tcPr>
            <w:tcW w:w="3794" w:type="dxa"/>
          </w:tcPr>
          <w:p w:rsidR="00A90AE5" w:rsidRPr="00C6441B" w:rsidRDefault="00A90AE5" w:rsidP="00DE1AFF">
            <w:pPr>
              <w:spacing w:after="200" w:line="276" w:lineRule="auto"/>
              <w:jc w:val="both"/>
              <w:rPr>
                <w:lang w:val="mk-MK"/>
              </w:rPr>
            </w:pPr>
            <w:r w:rsidRPr="00C6441B">
              <w:rPr>
                <w:lang w:val="mk-MK"/>
              </w:rPr>
              <w:t>02.М4Воспоставување на датабаза за контакт лица во органите и институциите од јавниот сектор каде се определува лице задолжено за  техничко прилагодување и објавување  на податоците за нивно користење, нивно објавување на веб страната на органот и за обврските за ажурност на каталогот на податоци на www.otvorenipodatoci.gov.mk</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tcPr>
          <w:p w:rsidR="00A90AE5" w:rsidRPr="00DE1AFF" w:rsidRDefault="00A90AE5" w:rsidP="00DE1AFF">
            <w:pPr>
              <w:spacing w:after="200" w:line="276" w:lineRule="auto"/>
              <w:jc w:val="both"/>
              <w:rPr>
                <w:lang w:val="mk-MK"/>
              </w:rPr>
            </w:pPr>
          </w:p>
        </w:tc>
        <w:tc>
          <w:tcPr>
            <w:tcW w:w="708" w:type="dxa"/>
            <w:shd w:val="clear" w:color="auto" w:fill="548DD4" w:themeFill="text2" w:themeFillTint="99"/>
          </w:tcPr>
          <w:p w:rsidR="00A90AE5" w:rsidRPr="00DE1AFF" w:rsidRDefault="00A90AE5" w:rsidP="00DE1AFF">
            <w:pPr>
              <w:spacing w:after="200" w:line="276" w:lineRule="auto"/>
              <w:jc w:val="both"/>
              <w:rPr>
                <w:lang w:val="mk-MK"/>
              </w:rPr>
            </w:pPr>
          </w:p>
        </w:tc>
        <w:tc>
          <w:tcPr>
            <w:tcW w:w="2694" w:type="dxa"/>
          </w:tcPr>
          <w:p w:rsidR="00A90AE5" w:rsidRPr="00DE1AFF" w:rsidRDefault="00EF52B6" w:rsidP="00DE1AFF">
            <w:pPr>
              <w:spacing w:after="200" w:line="276" w:lineRule="auto"/>
              <w:jc w:val="both"/>
              <w:rPr>
                <w:lang w:val="mk-MK"/>
              </w:rPr>
            </w:pPr>
            <w:r>
              <w:rPr>
                <w:lang w:val="mk-MK"/>
              </w:rPr>
              <w:t>2015</w:t>
            </w:r>
          </w:p>
        </w:tc>
      </w:tr>
      <w:tr w:rsidR="00A90AE5" w:rsidRPr="00DE1AFF" w:rsidTr="00EF52B6">
        <w:tc>
          <w:tcPr>
            <w:tcW w:w="3794" w:type="dxa"/>
          </w:tcPr>
          <w:p w:rsidR="00A90AE5" w:rsidRDefault="00A90AE5" w:rsidP="00DE1AFF">
            <w:pPr>
              <w:spacing w:after="200" w:line="276" w:lineRule="auto"/>
              <w:jc w:val="both"/>
              <w:rPr>
                <w:lang w:val="mk-MK"/>
              </w:rPr>
            </w:pPr>
            <w:r>
              <w:rPr>
                <w:lang w:val="mk-MK"/>
              </w:rPr>
              <w:t xml:space="preserve">02.М5 </w:t>
            </w:r>
            <w:r w:rsidRPr="00C6441B">
              <w:rPr>
                <w:lang w:val="mk-MK"/>
              </w:rPr>
              <w:t>Воспоставување можност за доставување барање од заинтересирани страни за нови податочни сетови за користење</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tcPr>
          <w:p w:rsidR="00A90AE5" w:rsidRPr="00DE1AFF" w:rsidRDefault="00A90AE5" w:rsidP="00DE1AFF">
            <w:pPr>
              <w:spacing w:after="200" w:line="276" w:lineRule="auto"/>
              <w:jc w:val="both"/>
              <w:rPr>
                <w:lang w:val="mk-MK"/>
              </w:rPr>
            </w:pPr>
          </w:p>
        </w:tc>
        <w:tc>
          <w:tcPr>
            <w:tcW w:w="708" w:type="dxa"/>
            <w:shd w:val="clear" w:color="auto" w:fill="548DD4" w:themeFill="text2" w:themeFillTint="99"/>
          </w:tcPr>
          <w:p w:rsidR="00A90AE5" w:rsidRPr="00DE1AFF" w:rsidRDefault="00A90AE5" w:rsidP="00DE1AFF">
            <w:pPr>
              <w:spacing w:after="200" w:line="276" w:lineRule="auto"/>
              <w:jc w:val="both"/>
              <w:rPr>
                <w:lang w:val="mk-MK"/>
              </w:rPr>
            </w:pPr>
          </w:p>
        </w:tc>
        <w:tc>
          <w:tcPr>
            <w:tcW w:w="2694" w:type="dxa"/>
          </w:tcPr>
          <w:p w:rsidR="00A90AE5" w:rsidRPr="00DE1AFF" w:rsidRDefault="00EF52B6" w:rsidP="00DE1AFF">
            <w:pPr>
              <w:spacing w:after="200" w:line="276" w:lineRule="auto"/>
              <w:jc w:val="both"/>
              <w:rPr>
                <w:lang w:val="mk-MK"/>
              </w:rPr>
            </w:pPr>
            <w:r>
              <w:rPr>
                <w:lang w:val="mk-MK"/>
              </w:rPr>
              <w:t>2015</w:t>
            </w:r>
          </w:p>
        </w:tc>
      </w:tr>
      <w:tr w:rsidR="00A90AE5" w:rsidRPr="00DE1AFF" w:rsidTr="00EF52B6">
        <w:tc>
          <w:tcPr>
            <w:tcW w:w="3794" w:type="dxa"/>
          </w:tcPr>
          <w:p w:rsidR="00A90AE5" w:rsidRDefault="00A90AE5" w:rsidP="00DE1AFF">
            <w:pPr>
              <w:spacing w:after="200" w:line="276" w:lineRule="auto"/>
              <w:jc w:val="both"/>
              <w:rPr>
                <w:lang w:val="mk-MK"/>
              </w:rPr>
            </w:pPr>
            <w:r>
              <w:rPr>
                <w:lang w:val="mk-MK"/>
              </w:rPr>
              <w:t xml:space="preserve">02.М6 </w:t>
            </w:r>
            <w:r w:rsidRPr="00725F61">
              <w:rPr>
                <w:lang w:val="mk-MK"/>
              </w:rPr>
              <w:t xml:space="preserve">Воспоставување на платформа за вкрстување на податоците (пилот </w:t>
            </w:r>
            <w:r w:rsidRPr="00725F61">
              <w:rPr>
                <w:lang w:val="mk-MK"/>
              </w:rPr>
              <w:lastRenderedPageBreak/>
              <w:t>11  институции)</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tcPr>
          <w:p w:rsidR="00A90AE5" w:rsidRPr="00DE1AFF" w:rsidRDefault="00A90AE5" w:rsidP="00DE1AFF">
            <w:pPr>
              <w:spacing w:after="200" w:line="276" w:lineRule="auto"/>
              <w:jc w:val="both"/>
              <w:rPr>
                <w:lang w:val="mk-MK"/>
              </w:rPr>
            </w:pPr>
          </w:p>
        </w:tc>
        <w:tc>
          <w:tcPr>
            <w:tcW w:w="708" w:type="dxa"/>
            <w:shd w:val="clear" w:color="auto" w:fill="548DD4" w:themeFill="text2" w:themeFillTint="99"/>
          </w:tcPr>
          <w:p w:rsidR="00A90AE5" w:rsidRPr="00DE1AFF" w:rsidRDefault="00A90AE5" w:rsidP="00DE1AFF">
            <w:pPr>
              <w:spacing w:after="200" w:line="276" w:lineRule="auto"/>
              <w:jc w:val="both"/>
              <w:rPr>
                <w:lang w:val="mk-MK"/>
              </w:rPr>
            </w:pPr>
          </w:p>
        </w:tc>
        <w:tc>
          <w:tcPr>
            <w:tcW w:w="2694" w:type="dxa"/>
          </w:tcPr>
          <w:p w:rsidR="00A90AE5" w:rsidRPr="00DE1AFF" w:rsidRDefault="00EF52B6" w:rsidP="00DE1AFF">
            <w:pPr>
              <w:spacing w:after="200" w:line="276" w:lineRule="auto"/>
              <w:jc w:val="both"/>
              <w:rPr>
                <w:lang w:val="mk-MK"/>
              </w:rPr>
            </w:pPr>
            <w:r>
              <w:rPr>
                <w:lang w:val="mk-MK"/>
              </w:rPr>
              <w:t>2015</w:t>
            </w:r>
          </w:p>
        </w:tc>
      </w:tr>
      <w:tr w:rsidR="00A90AE5" w:rsidRPr="00DE1AFF" w:rsidTr="00EF52B6">
        <w:tc>
          <w:tcPr>
            <w:tcW w:w="3794" w:type="dxa"/>
          </w:tcPr>
          <w:p w:rsidR="00A90AE5" w:rsidRDefault="00A90AE5" w:rsidP="00DE1AFF">
            <w:pPr>
              <w:spacing w:after="200" w:line="276" w:lineRule="auto"/>
              <w:jc w:val="both"/>
              <w:rPr>
                <w:lang w:val="mk-MK"/>
              </w:rPr>
            </w:pPr>
            <w:r>
              <w:rPr>
                <w:lang w:val="mk-MK"/>
              </w:rPr>
              <w:lastRenderedPageBreak/>
              <w:t xml:space="preserve">02.М7 </w:t>
            </w:r>
            <w:r w:rsidRPr="0024644D">
              <w:rPr>
                <w:lang w:val="mk-MK"/>
              </w:rPr>
              <w:t>Обуки за  спроведување на Законот за користење на податоците од јавниот сектор</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tcPr>
          <w:p w:rsidR="00A90AE5" w:rsidRPr="00DE1AFF" w:rsidRDefault="00A90AE5" w:rsidP="00DE1AFF">
            <w:pPr>
              <w:spacing w:after="200" w:line="276" w:lineRule="auto"/>
              <w:jc w:val="both"/>
              <w:rPr>
                <w:lang w:val="mk-MK"/>
              </w:rPr>
            </w:pPr>
          </w:p>
        </w:tc>
        <w:tc>
          <w:tcPr>
            <w:tcW w:w="708" w:type="dxa"/>
            <w:shd w:val="clear" w:color="auto" w:fill="548DD4" w:themeFill="text2" w:themeFillTint="99"/>
          </w:tcPr>
          <w:p w:rsidR="00A90AE5" w:rsidRPr="00DE1AFF" w:rsidRDefault="00A90AE5" w:rsidP="00DE1AFF">
            <w:pPr>
              <w:spacing w:after="200" w:line="276" w:lineRule="auto"/>
              <w:jc w:val="both"/>
              <w:rPr>
                <w:lang w:val="mk-MK"/>
              </w:rPr>
            </w:pPr>
          </w:p>
        </w:tc>
        <w:tc>
          <w:tcPr>
            <w:tcW w:w="2694" w:type="dxa"/>
          </w:tcPr>
          <w:p w:rsidR="00A90AE5" w:rsidRPr="00DE1AFF" w:rsidRDefault="00EF52B6" w:rsidP="00DE1AFF">
            <w:pPr>
              <w:spacing w:after="200" w:line="276" w:lineRule="auto"/>
              <w:jc w:val="both"/>
              <w:rPr>
                <w:lang w:val="mk-MK"/>
              </w:rPr>
            </w:pPr>
            <w:r>
              <w:rPr>
                <w:lang w:val="mk-MK"/>
              </w:rPr>
              <w:t>2014</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 xml:space="preserve">03.М1 </w:t>
            </w:r>
            <w:r w:rsidRPr="00C10A8B">
              <w:rPr>
                <w:lang w:val="mk-MK"/>
              </w:rPr>
              <w:t>Подигање на свеста кај јавноста за правото на слободен пристап до информации од јавен карактер преку креирана и спроведена медиумска презентација и едукативна кампања</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shd w:val="clear" w:color="auto" w:fill="4F81BD" w:themeFill="accent1"/>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DE1AFF" w:rsidRDefault="00A90AE5" w:rsidP="00DE1AFF">
            <w:pPr>
              <w:spacing w:after="200" w:line="276" w:lineRule="auto"/>
              <w:jc w:val="both"/>
              <w:rPr>
                <w:lang w:val="mk-MK"/>
              </w:rPr>
            </w:pPr>
          </w:p>
          <w:p w:rsidR="00A90AE5" w:rsidRPr="00DE1AFF" w:rsidRDefault="00A90AE5" w:rsidP="00DE1AFF">
            <w:pPr>
              <w:spacing w:after="200" w:line="276" w:lineRule="auto"/>
              <w:jc w:val="both"/>
              <w:rPr>
                <w:lang w:val="mk-MK"/>
              </w:rPr>
            </w:pPr>
            <w:r w:rsidRPr="00DE1AFF">
              <w:rPr>
                <w:lang w:val="mk-MK"/>
              </w:rPr>
              <w:t>Декември 2016</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 xml:space="preserve">03.М2 </w:t>
            </w:r>
            <w:r w:rsidRPr="00F33A01">
              <w:rPr>
                <w:lang w:val="mk-MK"/>
              </w:rPr>
              <w:t>Едукација на службените и одговорните лица кај имателите на информации</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shd w:val="clear" w:color="auto" w:fill="4F81BD" w:themeFill="accent1"/>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DE1AFF" w:rsidRDefault="00A90AE5" w:rsidP="00DE1AFF">
            <w:pPr>
              <w:spacing w:after="200" w:line="276" w:lineRule="auto"/>
              <w:jc w:val="both"/>
              <w:rPr>
                <w:lang w:val="mk-MK"/>
              </w:rPr>
            </w:pPr>
            <w:r w:rsidRPr="00DE1AFF">
              <w:rPr>
                <w:lang w:val="mk-MK"/>
              </w:rPr>
              <w:t>Декември 2016</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03.М3</w:t>
            </w:r>
            <w:r w:rsidRPr="00E677BA">
              <w:rPr>
                <w:lang w:val="mk-MK"/>
              </w:rPr>
              <w:t>Изработка на нова веб локација на Комисијата</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tcPr>
          <w:p w:rsidR="00A90AE5" w:rsidRPr="00DE1AFF" w:rsidRDefault="00A90AE5" w:rsidP="00DE1AFF">
            <w:pPr>
              <w:spacing w:after="200" w:line="276" w:lineRule="auto"/>
              <w:jc w:val="both"/>
              <w:rPr>
                <w:lang w:val="mk-MK"/>
              </w:rPr>
            </w:pPr>
          </w:p>
        </w:tc>
        <w:tc>
          <w:tcPr>
            <w:tcW w:w="708" w:type="dxa"/>
            <w:shd w:val="clear" w:color="auto" w:fill="4F81BD" w:themeFill="accent1"/>
          </w:tcPr>
          <w:p w:rsidR="00A90AE5" w:rsidRPr="00DE1AFF" w:rsidRDefault="00A90AE5" w:rsidP="00DE1AFF">
            <w:pPr>
              <w:spacing w:after="200" w:line="276" w:lineRule="auto"/>
              <w:jc w:val="both"/>
              <w:rPr>
                <w:lang w:val="mk-MK"/>
              </w:rPr>
            </w:pPr>
          </w:p>
        </w:tc>
        <w:tc>
          <w:tcPr>
            <w:tcW w:w="2694" w:type="dxa"/>
          </w:tcPr>
          <w:p w:rsidR="00A90AE5" w:rsidRPr="00DE1AFF" w:rsidRDefault="00A90AE5" w:rsidP="00DE1AFF">
            <w:pPr>
              <w:spacing w:after="200" w:line="276" w:lineRule="auto"/>
              <w:jc w:val="both"/>
              <w:rPr>
                <w:lang w:val="mk-MK"/>
              </w:rPr>
            </w:pPr>
            <w:r w:rsidRPr="00DE1AFF">
              <w:rPr>
                <w:lang w:val="mk-MK"/>
              </w:rPr>
              <w:t>Декември 2014  - Април 2015</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 xml:space="preserve">03.М4 </w:t>
            </w:r>
            <w:r w:rsidRPr="00E83A34">
              <w:rPr>
                <w:lang w:val="mk-MK"/>
              </w:rPr>
              <w:t>Редовно објавување и ажурирање на Листа на информации кај имателите</w:t>
            </w:r>
          </w:p>
        </w:tc>
        <w:tc>
          <w:tcPr>
            <w:tcW w:w="709" w:type="dxa"/>
          </w:tcPr>
          <w:p w:rsidR="00A90AE5" w:rsidRPr="00DE1AFF" w:rsidRDefault="00A90AE5" w:rsidP="00DE1AFF">
            <w:pPr>
              <w:spacing w:after="200" w:line="276" w:lineRule="auto"/>
              <w:jc w:val="both"/>
              <w:rPr>
                <w:lang w:val="mk-MK"/>
              </w:rPr>
            </w:pPr>
          </w:p>
        </w:tc>
        <w:tc>
          <w:tcPr>
            <w:tcW w:w="850" w:type="dxa"/>
            <w:shd w:val="clear" w:color="auto" w:fill="4F81BD" w:themeFill="accent1"/>
          </w:tcPr>
          <w:p w:rsidR="00A90AE5" w:rsidRPr="00DE1AFF" w:rsidRDefault="00A90AE5" w:rsidP="00DE1AFF">
            <w:pPr>
              <w:spacing w:after="200" w:line="276" w:lineRule="auto"/>
              <w:jc w:val="both"/>
              <w:rPr>
                <w:lang w:val="mk-MK"/>
              </w:rPr>
            </w:pPr>
          </w:p>
        </w:tc>
        <w:tc>
          <w:tcPr>
            <w:tcW w:w="851" w:type="dxa"/>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DE1AFF" w:rsidRDefault="00A90AE5" w:rsidP="00DE1AFF">
            <w:pPr>
              <w:spacing w:after="200" w:line="276" w:lineRule="auto"/>
              <w:jc w:val="both"/>
              <w:rPr>
                <w:lang w:val="mk-MK"/>
              </w:rPr>
            </w:pPr>
            <w:r w:rsidRPr="00DE1AFF">
              <w:rPr>
                <w:lang w:val="mk-MK"/>
              </w:rPr>
              <w:t xml:space="preserve">Септември 2015 – </w:t>
            </w:r>
          </w:p>
          <w:p w:rsidR="00A90AE5" w:rsidRPr="00DE1AFF" w:rsidRDefault="00A90AE5" w:rsidP="00DE1AFF">
            <w:pPr>
              <w:spacing w:after="200" w:line="276" w:lineRule="auto"/>
              <w:jc w:val="both"/>
              <w:rPr>
                <w:lang w:val="mk-MK"/>
              </w:rPr>
            </w:pPr>
            <w:r w:rsidRPr="00DE1AFF">
              <w:rPr>
                <w:lang w:val="mk-MK"/>
              </w:rPr>
              <w:t>Декември 2016 година</w:t>
            </w:r>
          </w:p>
          <w:p w:rsidR="00A90AE5" w:rsidRPr="00DE1AFF" w:rsidRDefault="00A90AE5" w:rsidP="00DE1AFF">
            <w:pPr>
              <w:spacing w:after="200" w:line="276" w:lineRule="auto"/>
              <w:jc w:val="both"/>
              <w:rPr>
                <w:lang w:val="mk-MK"/>
              </w:rPr>
            </w:pPr>
          </w:p>
        </w:tc>
      </w:tr>
      <w:tr w:rsidR="00A90AE5" w:rsidRPr="00DE1AFF" w:rsidTr="00E31A1B">
        <w:tc>
          <w:tcPr>
            <w:tcW w:w="3794" w:type="dxa"/>
          </w:tcPr>
          <w:p w:rsidR="00A90AE5" w:rsidRDefault="00A90AE5" w:rsidP="00DE1AFF">
            <w:pPr>
              <w:spacing w:after="200" w:line="276" w:lineRule="auto"/>
              <w:jc w:val="both"/>
              <w:rPr>
                <w:lang w:val="mk-MK"/>
              </w:rPr>
            </w:pPr>
            <w:r>
              <w:rPr>
                <w:lang w:val="mk-MK"/>
              </w:rPr>
              <w:t xml:space="preserve">03.М5 </w:t>
            </w:r>
            <w:r w:rsidRPr="00261184">
              <w:rPr>
                <w:lang w:val="mk-MK"/>
              </w:rPr>
              <w:t>Достапност на сите информации од јавен карактер на веб локациите на имателите</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shd w:val="clear" w:color="auto" w:fill="4F81BD" w:themeFill="accent1"/>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DE1AFF" w:rsidRDefault="00A90AE5" w:rsidP="00DE1AFF">
            <w:pPr>
              <w:spacing w:after="200" w:line="276" w:lineRule="auto"/>
              <w:jc w:val="both"/>
              <w:rPr>
                <w:lang w:val="mk-MK"/>
              </w:rPr>
            </w:pPr>
            <w:r w:rsidRPr="00DE1AFF">
              <w:rPr>
                <w:lang w:val="mk-MK"/>
              </w:rPr>
              <w:t>Декември 2016</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03.М6</w:t>
            </w:r>
            <w:r w:rsidRPr="006E7401">
              <w:rPr>
                <w:lang w:val="mk-MK"/>
              </w:rPr>
              <w:t>Унапредување на финансиските и човечките ресурси на Комисијата</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tcPr>
          <w:p w:rsidR="00A90AE5" w:rsidRPr="00DE1AFF" w:rsidRDefault="00A90AE5" w:rsidP="00DE1AFF">
            <w:pPr>
              <w:spacing w:after="200" w:line="276" w:lineRule="auto"/>
              <w:jc w:val="both"/>
              <w:rPr>
                <w:lang w:val="mk-MK"/>
              </w:rPr>
            </w:pPr>
          </w:p>
        </w:tc>
        <w:tc>
          <w:tcPr>
            <w:tcW w:w="708" w:type="dxa"/>
            <w:shd w:val="clear" w:color="auto" w:fill="4F81BD" w:themeFill="accent1"/>
          </w:tcPr>
          <w:p w:rsidR="00A90AE5" w:rsidRPr="00DE1AFF" w:rsidRDefault="00A90AE5" w:rsidP="00DE1AFF">
            <w:pPr>
              <w:spacing w:after="200" w:line="276" w:lineRule="auto"/>
              <w:jc w:val="both"/>
              <w:rPr>
                <w:lang w:val="mk-MK"/>
              </w:rPr>
            </w:pPr>
          </w:p>
        </w:tc>
        <w:tc>
          <w:tcPr>
            <w:tcW w:w="2694" w:type="dxa"/>
          </w:tcPr>
          <w:p w:rsidR="00A90AE5" w:rsidRPr="00DE1AFF" w:rsidRDefault="00A90AE5" w:rsidP="00DE1AFF">
            <w:pPr>
              <w:spacing w:after="200" w:line="276" w:lineRule="auto"/>
              <w:jc w:val="both"/>
              <w:rPr>
                <w:lang w:val="mk-MK"/>
              </w:rPr>
            </w:pPr>
            <w:r w:rsidRPr="00DE1AFF">
              <w:rPr>
                <w:lang w:val="mk-MK"/>
              </w:rPr>
              <w:t>Декември 2014  - Април 2015</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03.М7</w:t>
            </w:r>
            <w:r w:rsidRPr="00811974">
              <w:rPr>
                <w:lang w:val="mk-MK"/>
              </w:rPr>
              <w:t>Зголемување на соработката на Комисијата со Здруженијата на граѓани и фондации и со Општините во Р.М. Преку меморандуми за соработка</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shd w:val="clear" w:color="auto" w:fill="4F81BD" w:themeFill="accent1"/>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DE1AFF" w:rsidRDefault="00A90AE5" w:rsidP="00DE1AFF">
            <w:pPr>
              <w:spacing w:after="200" w:line="276" w:lineRule="auto"/>
              <w:jc w:val="both"/>
              <w:rPr>
                <w:lang w:val="mk-MK"/>
              </w:rPr>
            </w:pPr>
          </w:p>
          <w:p w:rsidR="00A90AE5" w:rsidRPr="00DE1AFF" w:rsidRDefault="00A90AE5" w:rsidP="00DE1AFF">
            <w:pPr>
              <w:spacing w:after="200" w:line="276" w:lineRule="auto"/>
              <w:jc w:val="both"/>
              <w:rPr>
                <w:lang w:val="mk-MK"/>
              </w:rPr>
            </w:pPr>
            <w:r w:rsidRPr="00DE1AFF">
              <w:rPr>
                <w:lang w:val="mk-MK"/>
              </w:rPr>
              <w:t>Декември 2016</w:t>
            </w:r>
          </w:p>
          <w:p w:rsidR="00A90AE5" w:rsidRPr="00DE1AFF" w:rsidRDefault="00A90AE5" w:rsidP="00DE1AFF">
            <w:pPr>
              <w:spacing w:after="200" w:line="276" w:lineRule="auto"/>
              <w:jc w:val="both"/>
              <w:rPr>
                <w:lang w:val="mk-MK"/>
              </w:rPr>
            </w:pPr>
          </w:p>
        </w:tc>
      </w:tr>
      <w:tr w:rsidR="00A90AE5" w:rsidRPr="00DE1AFF" w:rsidTr="00E31A1B">
        <w:tc>
          <w:tcPr>
            <w:tcW w:w="3794" w:type="dxa"/>
          </w:tcPr>
          <w:p w:rsidR="00A90AE5" w:rsidRDefault="00A90AE5" w:rsidP="00DE1AFF">
            <w:pPr>
              <w:spacing w:after="200" w:line="276" w:lineRule="auto"/>
              <w:jc w:val="both"/>
              <w:rPr>
                <w:lang w:val="mk-MK"/>
              </w:rPr>
            </w:pPr>
            <w:r>
              <w:rPr>
                <w:lang w:val="mk-MK"/>
              </w:rPr>
              <w:t>03.М8</w:t>
            </w:r>
            <w:r w:rsidRPr="003E2194">
              <w:rPr>
                <w:lang w:val="mk-MK"/>
              </w:rPr>
              <w:t xml:space="preserve">Објавување на информации за буџетска и програмска имплементација на здравствените буџети, со посебен фокус на буџетската и финансиската </w:t>
            </w:r>
            <w:r w:rsidRPr="003E2194">
              <w:rPr>
                <w:lang w:val="mk-MK"/>
              </w:rPr>
              <w:lastRenderedPageBreak/>
              <w:t>имплементација на превентивните програми на Министерството за здравство, добиени преку постапка за пристап до информации од јавен карактер. www.esem.org.mk</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tcPr>
          <w:p w:rsidR="00A90AE5" w:rsidRPr="00DE1AFF" w:rsidRDefault="00A90AE5" w:rsidP="00DE1AFF">
            <w:pPr>
              <w:spacing w:after="200" w:line="276" w:lineRule="auto"/>
              <w:jc w:val="both"/>
              <w:rPr>
                <w:lang w:val="mk-MK"/>
              </w:rPr>
            </w:pPr>
          </w:p>
        </w:tc>
        <w:tc>
          <w:tcPr>
            <w:tcW w:w="708" w:type="dxa"/>
            <w:shd w:val="clear" w:color="auto" w:fill="4F81BD" w:themeFill="accent1"/>
          </w:tcPr>
          <w:p w:rsidR="00A90AE5" w:rsidRPr="00DE1AFF" w:rsidRDefault="00A90AE5" w:rsidP="00DE1AFF">
            <w:pPr>
              <w:spacing w:after="200" w:line="276" w:lineRule="auto"/>
              <w:jc w:val="both"/>
              <w:rPr>
                <w:lang w:val="mk-MK"/>
              </w:rPr>
            </w:pPr>
          </w:p>
        </w:tc>
        <w:tc>
          <w:tcPr>
            <w:tcW w:w="2694" w:type="dxa"/>
          </w:tcPr>
          <w:p w:rsidR="00A90AE5" w:rsidRPr="00DE1AFF" w:rsidRDefault="00A90AE5" w:rsidP="00DE1AFF">
            <w:pPr>
              <w:spacing w:after="200" w:line="276" w:lineRule="auto"/>
              <w:jc w:val="both"/>
              <w:rPr>
                <w:lang w:val="mk-MK"/>
              </w:rPr>
            </w:pPr>
          </w:p>
          <w:p w:rsidR="00A90AE5" w:rsidRPr="00DE1AFF" w:rsidRDefault="00A90AE5" w:rsidP="00DE1AFF">
            <w:pPr>
              <w:spacing w:after="200" w:line="276" w:lineRule="auto"/>
              <w:jc w:val="both"/>
              <w:rPr>
                <w:lang w:val="mk-MK"/>
              </w:rPr>
            </w:pPr>
            <w:r w:rsidRPr="00DE1AFF">
              <w:rPr>
                <w:lang w:val="mk-MK"/>
              </w:rPr>
              <w:t>Декември 2014  - Април 2015</w:t>
            </w:r>
          </w:p>
          <w:p w:rsidR="00A90AE5" w:rsidRPr="00DE1AFF" w:rsidRDefault="00A90AE5" w:rsidP="00DE1AFF">
            <w:pPr>
              <w:spacing w:after="200" w:line="276" w:lineRule="auto"/>
              <w:jc w:val="both"/>
              <w:rPr>
                <w:lang w:val="mk-MK"/>
              </w:rPr>
            </w:pPr>
          </w:p>
        </w:tc>
      </w:tr>
      <w:tr w:rsidR="00A90AE5" w:rsidRPr="00DE1AFF" w:rsidTr="00E31A1B">
        <w:trPr>
          <w:trHeight w:val="1492"/>
        </w:trPr>
        <w:tc>
          <w:tcPr>
            <w:tcW w:w="3794" w:type="dxa"/>
          </w:tcPr>
          <w:p w:rsidR="00A90AE5" w:rsidRDefault="00A90AE5" w:rsidP="00DE1AFF">
            <w:pPr>
              <w:spacing w:after="200" w:line="276" w:lineRule="auto"/>
              <w:jc w:val="both"/>
              <w:rPr>
                <w:lang w:val="mk-MK"/>
              </w:rPr>
            </w:pPr>
            <w:r>
              <w:rPr>
                <w:lang w:val="mk-MK"/>
              </w:rPr>
              <w:lastRenderedPageBreak/>
              <w:t>03.М9</w:t>
            </w:r>
            <w:r w:rsidRPr="002A69E1">
              <w:rPr>
                <w:lang w:val="mk-MK"/>
              </w:rPr>
              <w:t>Изменување и дополнувања на Законот за слободен пристап до информации до јавен карактер</w:t>
            </w:r>
          </w:p>
        </w:tc>
        <w:tc>
          <w:tcPr>
            <w:tcW w:w="709" w:type="dxa"/>
          </w:tcPr>
          <w:p w:rsidR="00A90AE5" w:rsidRPr="00DE1AFF" w:rsidRDefault="00A90AE5" w:rsidP="00DE1AFF">
            <w:pPr>
              <w:spacing w:after="200" w:line="276" w:lineRule="auto"/>
              <w:jc w:val="both"/>
              <w:rPr>
                <w:lang w:val="mk-MK"/>
              </w:rPr>
            </w:pPr>
          </w:p>
        </w:tc>
        <w:tc>
          <w:tcPr>
            <w:tcW w:w="850" w:type="dxa"/>
            <w:shd w:val="clear" w:color="auto" w:fill="4F81BD" w:themeFill="accent1"/>
          </w:tcPr>
          <w:p w:rsidR="00A90AE5" w:rsidRPr="00DE1AFF" w:rsidRDefault="00A90AE5" w:rsidP="00DE1AFF">
            <w:pPr>
              <w:spacing w:after="200" w:line="276" w:lineRule="auto"/>
              <w:jc w:val="both"/>
              <w:rPr>
                <w:lang w:val="mk-MK"/>
              </w:rPr>
            </w:pPr>
          </w:p>
        </w:tc>
        <w:tc>
          <w:tcPr>
            <w:tcW w:w="851" w:type="dxa"/>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DE1AFF" w:rsidRDefault="00A90AE5" w:rsidP="00DE1AFF">
            <w:pPr>
              <w:spacing w:after="200" w:line="276" w:lineRule="auto"/>
              <w:jc w:val="both"/>
              <w:rPr>
                <w:lang w:val="mk-MK"/>
              </w:rPr>
            </w:pPr>
            <w:r w:rsidRPr="00DE1AFF">
              <w:rPr>
                <w:lang w:val="mk-MK"/>
              </w:rPr>
              <w:t>Септември 2015 - Декември 2016 година</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 xml:space="preserve">03.М10 </w:t>
            </w:r>
            <w:r w:rsidRPr="00547F62">
              <w:rPr>
                <w:lang w:val="mk-MK"/>
              </w:rPr>
              <w:t>Формирање меѓуресорска работна група за утврдување на усогласеноста на Конвенција на Советот на Европа за пристап до јавните документи и утврдување на националните законски услови за пристапување кон оваа конвенција</w:t>
            </w:r>
          </w:p>
        </w:tc>
        <w:tc>
          <w:tcPr>
            <w:tcW w:w="709" w:type="dxa"/>
          </w:tcPr>
          <w:p w:rsidR="00A90AE5" w:rsidRPr="00DE1AFF" w:rsidRDefault="00A90AE5" w:rsidP="00DE1AFF">
            <w:pPr>
              <w:spacing w:after="200" w:line="276" w:lineRule="auto"/>
              <w:jc w:val="both"/>
              <w:rPr>
                <w:lang w:val="mk-MK"/>
              </w:rPr>
            </w:pPr>
          </w:p>
        </w:tc>
        <w:tc>
          <w:tcPr>
            <w:tcW w:w="850" w:type="dxa"/>
            <w:shd w:val="clear" w:color="auto" w:fill="4F81BD" w:themeFill="accent1"/>
          </w:tcPr>
          <w:p w:rsidR="00A90AE5" w:rsidRPr="00DE1AFF" w:rsidRDefault="00A90AE5" w:rsidP="00DE1AFF">
            <w:pPr>
              <w:spacing w:after="200" w:line="276" w:lineRule="auto"/>
              <w:jc w:val="both"/>
              <w:rPr>
                <w:lang w:val="mk-MK"/>
              </w:rPr>
            </w:pPr>
          </w:p>
        </w:tc>
        <w:tc>
          <w:tcPr>
            <w:tcW w:w="851" w:type="dxa"/>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DE1AFF" w:rsidRDefault="00A90AE5" w:rsidP="00DE1AFF">
            <w:pPr>
              <w:spacing w:after="200" w:line="276" w:lineRule="auto"/>
              <w:jc w:val="both"/>
              <w:rPr>
                <w:lang w:val="mk-MK"/>
              </w:rPr>
            </w:pPr>
            <w:r w:rsidRPr="00DE1AFF">
              <w:rPr>
                <w:lang w:val="mk-MK"/>
              </w:rPr>
              <w:t>Септември 2015 - Декември 2016 година</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04.М1</w:t>
            </w:r>
            <w:r w:rsidRPr="00613A29">
              <w:rPr>
                <w:lang w:val="mk-MK"/>
              </w:rPr>
              <w:t>Донесување на законски измени</w:t>
            </w:r>
          </w:p>
        </w:tc>
        <w:tc>
          <w:tcPr>
            <w:tcW w:w="709" w:type="dxa"/>
          </w:tcPr>
          <w:p w:rsidR="00A90AE5" w:rsidRPr="00DE1AFF" w:rsidRDefault="00A90AE5" w:rsidP="00DE1AFF">
            <w:pPr>
              <w:spacing w:after="200" w:line="276" w:lineRule="auto"/>
              <w:jc w:val="both"/>
              <w:rPr>
                <w:lang w:val="mk-MK"/>
              </w:rPr>
            </w:pPr>
          </w:p>
        </w:tc>
        <w:tc>
          <w:tcPr>
            <w:tcW w:w="850" w:type="dxa"/>
            <w:shd w:val="clear" w:color="auto" w:fill="4F81BD" w:themeFill="accent1"/>
          </w:tcPr>
          <w:p w:rsidR="00A90AE5" w:rsidRPr="00DE1AFF" w:rsidRDefault="00A90AE5" w:rsidP="00DE1AFF">
            <w:pPr>
              <w:spacing w:after="200" w:line="276" w:lineRule="auto"/>
              <w:jc w:val="both"/>
              <w:rPr>
                <w:lang w:val="mk-MK"/>
              </w:rPr>
            </w:pPr>
          </w:p>
        </w:tc>
        <w:tc>
          <w:tcPr>
            <w:tcW w:w="851" w:type="dxa"/>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EB6ACA" w:rsidRDefault="00A90AE5" w:rsidP="00DE1AFF">
            <w:pPr>
              <w:spacing w:after="200" w:line="276" w:lineRule="auto"/>
              <w:jc w:val="both"/>
              <w:rPr>
                <w:lang w:val="mk-MK"/>
              </w:rPr>
            </w:pPr>
            <w:r>
              <w:rPr>
                <w:lang w:val="mk-MK"/>
              </w:rPr>
              <w:t xml:space="preserve"> Октомври 2015</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 xml:space="preserve">04.М2 </w:t>
            </w:r>
            <w:r w:rsidRPr="006A6775">
              <w:rPr>
                <w:lang w:val="mk-MK"/>
              </w:rPr>
              <w:t>Спроведување на активности за подигање на свеста на јавната администрација и граѓаните за пријавување на корупција и друго незаконито и недозволиво постапување</w:t>
            </w:r>
          </w:p>
        </w:tc>
        <w:tc>
          <w:tcPr>
            <w:tcW w:w="709" w:type="dxa"/>
          </w:tcPr>
          <w:p w:rsidR="00A90AE5" w:rsidRPr="00DE1AFF" w:rsidRDefault="00A90AE5" w:rsidP="00DE1AFF">
            <w:pPr>
              <w:spacing w:after="200" w:line="276" w:lineRule="auto"/>
              <w:jc w:val="both"/>
              <w:rPr>
                <w:lang w:val="mk-MK"/>
              </w:rPr>
            </w:pPr>
          </w:p>
        </w:tc>
        <w:tc>
          <w:tcPr>
            <w:tcW w:w="850" w:type="dxa"/>
            <w:shd w:val="clear" w:color="auto" w:fill="4F81BD" w:themeFill="accent1"/>
          </w:tcPr>
          <w:p w:rsidR="00A90AE5" w:rsidRPr="00DE1AFF" w:rsidRDefault="00A90AE5" w:rsidP="00DE1AFF">
            <w:pPr>
              <w:spacing w:after="200" w:line="276" w:lineRule="auto"/>
              <w:jc w:val="both"/>
              <w:rPr>
                <w:lang w:val="mk-MK"/>
              </w:rPr>
            </w:pPr>
          </w:p>
        </w:tc>
        <w:tc>
          <w:tcPr>
            <w:tcW w:w="851" w:type="dxa"/>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2C2887" w:rsidRDefault="00A90AE5" w:rsidP="00DE1AFF">
            <w:pPr>
              <w:spacing w:after="200" w:line="276" w:lineRule="auto"/>
              <w:jc w:val="both"/>
              <w:rPr>
                <w:lang w:val="mk-MK"/>
              </w:rPr>
            </w:pPr>
            <w:r>
              <w:rPr>
                <w:lang w:val="mk-MK"/>
              </w:rPr>
              <w:t xml:space="preserve">   2016</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04.М3</w:t>
            </w:r>
            <w:r w:rsidRPr="002C51D0">
              <w:rPr>
                <w:lang w:val="mk-MK"/>
              </w:rPr>
              <w:t>Воведување на насоки на системот на интегритет и нивно натамошно пилотирање во општините и институциите на централно ниво</w:t>
            </w:r>
          </w:p>
        </w:tc>
        <w:tc>
          <w:tcPr>
            <w:tcW w:w="709" w:type="dxa"/>
          </w:tcPr>
          <w:p w:rsidR="00A90AE5" w:rsidRPr="00DE1AFF" w:rsidRDefault="00A90AE5" w:rsidP="00DE1AFF">
            <w:pPr>
              <w:spacing w:after="200" w:line="276" w:lineRule="auto"/>
              <w:jc w:val="both"/>
              <w:rPr>
                <w:lang w:val="mk-MK"/>
              </w:rPr>
            </w:pPr>
          </w:p>
        </w:tc>
        <w:tc>
          <w:tcPr>
            <w:tcW w:w="850" w:type="dxa"/>
            <w:shd w:val="clear" w:color="auto" w:fill="FFFFFF" w:themeFill="background1"/>
          </w:tcPr>
          <w:p w:rsidR="00A90AE5" w:rsidRPr="00DE1AFF" w:rsidRDefault="00A90AE5" w:rsidP="00DE1AFF">
            <w:pPr>
              <w:spacing w:after="200" w:line="276" w:lineRule="auto"/>
              <w:jc w:val="both"/>
              <w:rPr>
                <w:lang w:val="mk-MK"/>
              </w:rPr>
            </w:pPr>
          </w:p>
        </w:tc>
        <w:tc>
          <w:tcPr>
            <w:tcW w:w="851" w:type="dxa"/>
            <w:shd w:val="clear" w:color="auto" w:fill="4F81BD" w:themeFill="accent1"/>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8D090B" w:rsidRDefault="00A90AE5" w:rsidP="00DE1AFF">
            <w:pPr>
              <w:spacing w:after="200" w:line="276" w:lineRule="auto"/>
              <w:jc w:val="both"/>
              <w:rPr>
                <w:lang w:val="mk-MK"/>
              </w:rPr>
            </w:pPr>
            <w:r>
              <w:rPr>
                <w:lang w:val="mk-MK"/>
              </w:rPr>
              <w:t>Континуирано</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 xml:space="preserve">04.М4 </w:t>
            </w:r>
            <w:r w:rsidRPr="00353966">
              <w:rPr>
                <w:lang w:val="mk-MK"/>
              </w:rPr>
              <w:t>Дефинирање на методологија за проценка на ризици од корупција како надградба на концептот на интегритет</w:t>
            </w:r>
          </w:p>
        </w:tc>
        <w:tc>
          <w:tcPr>
            <w:tcW w:w="709" w:type="dxa"/>
          </w:tcPr>
          <w:p w:rsidR="00A90AE5" w:rsidRPr="00DE1AFF" w:rsidRDefault="00A90AE5" w:rsidP="00DE1AFF">
            <w:pPr>
              <w:spacing w:after="200" w:line="276" w:lineRule="auto"/>
              <w:jc w:val="both"/>
              <w:rPr>
                <w:lang w:val="mk-MK"/>
              </w:rPr>
            </w:pPr>
          </w:p>
        </w:tc>
        <w:tc>
          <w:tcPr>
            <w:tcW w:w="850" w:type="dxa"/>
            <w:shd w:val="clear" w:color="auto" w:fill="4F81BD" w:themeFill="accent1"/>
          </w:tcPr>
          <w:p w:rsidR="00A90AE5" w:rsidRPr="00DE1AFF" w:rsidRDefault="00A90AE5" w:rsidP="00DE1AFF">
            <w:pPr>
              <w:spacing w:after="200" w:line="276" w:lineRule="auto"/>
              <w:jc w:val="both"/>
              <w:rPr>
                <w:lang w:val="mk-MK"/>
              </w:rPr>
            </w:pPr>
          </w:p>
        </w:tc>
        <w:tc>
          <w:tcPr>
            <w:tcW w:w="851" w:type="dxa"/>
            <w:shd w:val="clear" w:color="auto" w:fill="FFFFFF" w:themeFill="background1"/>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CD0A2D" w:rsidRDefault="00A90AE5" w:rsidP="00DE1AFF">
            <w:pPr>
              <w:spacing w:after="200" w:line="276" w:lineRule="auto"/>
              <w:jc w:val="both"/>
              <w:rPr>
                <w:lang w:val="mk-MK"/>
              </w:rPr>
            </w:pPr>
            <w:r>
              <w:rPr>
                <w:lang w:val="mk-MK"/>
              </w:rPr>
              <w:t>2016</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04.М5</w:t>
            </w:r>
            <w:r w:rsidRPr="006D3ED5">
              <w:rPr>
                <w:lang w:val="mk-MK"/>
              </w:rPr>
              <w:t xml:space="preserve">Изготвување на методологија за следење на напредокот на воведувањето на системите на интегритет (индекс за интегритет) за </w:t>
            </w:r>
            <w:r w:rsidRPr="006D3ED5">
              <w:rPr>
                <w:lang w:val="mk-MK"/>
              </w:rPr>
              <w:lastRenderedPageBreak/>
              <w:t>единиците на локалната самоуправа</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shd w:val="clear" w:color="auto" w:fill="4F81BD" w:themeFill="accent1"/>
          </w:tcPr>
          <w:p w:rsidR="00A90AE5" w:rsidRPr="00DE1AFF" w:rsidRDefault="00A90AE5" w:rsidP="00DE1AFF">
            <w:pPr>
              <w:spacing w:after="200" w:line="276" w:lineRule="auto"/>
              <w:jc w:val="both"/>
              <w:rPr>
                <w:lang w:val="mk-MK"/>
              </w:rPr>
            </w:pPr>
          </w:p>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8172E2" w:rsidRDefault="00A90AE5" w:rsidP="00DE1AFF">
            <w:pPr>
              <w:spacing w:after="200" w:line="276" w:lineRule="auto"/>
              <w:jc w:val="both"/>
              <w:rPr>
                <w:lang w:val="mk-MK"/>
              </w:rPr>
            </w:pPr>
            <w:r>
              <w:rPr>
                <w:lang w:val="mk-MK"/>
              </w:rPr>
              <w:t>2016</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lastRenderedPageBreak/>
              <w:t>04.М6</w:t>
            </w:r>
            <w:r w:rsidRPr="00263543">
              <w:rPr>
                <w:lang w:val="mk-MK"/>
              </w:rPr>
              <w:t>Изготвување на методологија за следење на напредокот во воведување на системите на интегритет од страна на граѓанското општество</w:t>
            </w:r>
          </w:p>
        </w:tc>
        <w:tc>
          <w:tcPr>
            <w:tcW w:w="709" w:type="dxa"/>
            <w:shd w:val="clear" w:color="auto" w:fill="4F81BD" w:themeFill="accent1"/>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DE1AFF" w:rsidRDefault="00A90AE5" w:rsidP="00DE1AFF">
            <w:pPr>
              <w:spacing w:after="200" w:line="276" w:lineRule="auto"/>
              <w:jc w:val="both"/>
              <w:rPr>
                <w:lang w:val="mk-MK"/>
              </w:rPr>
            </w:pPr>
            <w:r w:rsidRPr="00DE1AFF">
              <w:rPr>
                <w:lang w:val="mk-MK"/>
              </w:rPr>
              <w:t>2016</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04.М7</w:t>
            </w:r>
            <w:r w:rsidRPr="00EC05B1">
              <w:rPr>
                <w:lang w:val="mk-MK"/>
              </w:rPr>
              <w:t>Континуирано промовирање на примената на ИТ алатки за општествена одговорност во општин</w:t>
            </w:r>
            <w:r>
              <w:rPr>
                <w:lang w:val="mk-MK"/>
              </w:rPr>
              <w:t>ите и други институции</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shd w:val="clear" w:color="auto" w:fill="4F81BD" w:themeFill="accent1"/>
          </w:tcPr>
          <w:p w:rsidR="00A90AE5" w:rsidRPr="00DE1AFF" w:rsidRDefault="00A90AE5" w:rsidP="00DE1AFF">
            <w:pPr>
              <w:spacing w:after="200" w:line="276" w:lineRule="auto"/>
              <w:jc w:val="both"/>
              <w:rPr>
                <w:lang w:val="mk-MK"/>
              </w:rPr>
            </w:pPr>
          </w:p>
        </w:tc>
        <w:tc>
          <w:tcPr>
            <w:tcW w:w="708" w:type="dxa"/>
            <w:shd w:val="clear" w:color="auto" w:fill="FFFFFF" w:themeFill="background1"/>
          </w:tcPr>
          <w:p w:rsidR="00A90AE5" w:rsidRPr="00DE1AFF" w:rsidRDefault="00A90AE5" w:rsidP="00DE1AFF">
            <w:pPr>
              <w:spacing w:after="200" w:line="276" w:lineRule="auto"/>
              <w:jc w:val="both"/>
              <w:rPr>
                <w:lang w:val="mk-MK"/>
              </w:rPr>
            </w:pPr>
          </w:p>
        </w:tc>
        <w:tc>
          <w:tcPr>
            <w:tcW w:w="2694" w:type="dxa"/>
          </w:tcPr>
          <w:p w:rsidR="00A90AE5" w:rsidRPr="00CD3AE5" w:rsidRDefault="00A90AE5" w:rsidP="00DE1AFF">
            <w:pPr>
              <w:spacing w:after="200" w:line="276" w:lineRule="auto"/>
              <w:jc w:val="both"/>
              <w:rPr>
                <w:lang w:val="mk-MK"/>
              </w:rPr>
            </w:pPr>
            <w:r>
              <w:rPr>
                <w:lang w:val="mk-MK"/>
              </w:rPr>
              <w:t>Континуирано</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04.М8</w:t>
            </w:r>
            <w:r w:rsidRPr="00095920">
              <w:rPr>
                <w:lang w:val="mk-MK"/>
              </w:rPr>
              <w:t>Градење на капацитетите на граѓанските организации за следење на антикоруптивни практики на локално ниво преку истражување и ЛОТОС студија</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shd w:val="clear" w:color="auto" w:fill="FFFFFF" w:themeFill="background1"/>
          </w:tcPr>
          <w:p w:rsidR="00A90AE5" w:rsidRPr="00DE1AFF" w:rsidRDefault="00A90AE5" w:rsidP="00DE1AFF">
            <w:pPr>
              <w:spacing w:after="200" w:line="276" w:lineRule="auto"/>
              <w:jc w:val="both"/>
              <w:rPr>
                <w:lang w:val="mk-MK"/>
              </w:rPr>
            </w:pPr>
          </w:p>
        </w:tc>
        <w:tc>
          <w:tcPr>
            <w:tcW w:w="708" w:type="dxa"/>
            <w:shd w:val="clear" w:color="auto" w:fill="4F81BD" w:themeFill="accent1"/>
          </w:tcPr>
          <w:p w:rsidR="00A90AE5" w:rsidRPr="00DE1AFF" w:rsidRDefault="00A90AE5" w:rsidP="00DE1AFF">
            <w:pPr>
              <w:spacing w:after="200" w:line="276" w:lineRule="auto"/>
              <w:jc w:val="both"/>
              <w:rPr>
                <w:lang w:val="mk-MK"/>
              </w:rPr>
            </w:pPr>
          </w:p>
        </w:tc>
        <w:tc>
          <w:tcPr>
            <w:tcW w:w="2694" w:type="dxa"/>
          </w:tcPr>
          <w:p w:rsidR="00A90AE5" w:rsidRPr="00DE1AFF" w:rsidRDefault="00A90AE5" w:rsidP="00DE1AFF">
            <w:pPr>
              <w:spacing w:after="200" w:line="276" w:lineRule="auto"/>
              <w:jc w:val="both"/>
              <w:rPr>
                <w:lang w:val="mk-MK"/>
              </w:rPr>
            </w:pPr>
            <w:r w:rsidRPr="00DE1AFF">
              <w:rPr>
                <w:lang w:val="mk-MK"/>
              </w:rPr>
              <w:t xml:space="preserve">  2015</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04.М9</w:t>
            </w:r>
            <w:r w:rsidRPr="00081B3A">
              <w:rPr>
                <w:lang w:val="mk-MK"/>
              </w:rPr>
              <w:t>Дефинирање на опфатот на избраните и именуваните лица кои имаат обврска да достават анкетен лист за имотната состојба и изјава за интереси - подготовка на Регистар</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shd w:val="clear" w:color="auto" w:fill="4F81BD" w:themeFill="accent1"/>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1F05D9" w:rsidRDefault="00A90AE5" w:rsidP="00DE1AFF">
            <w:pPr>
              <w:spacing w:after="200" w:line="276" w:lineRule="auto"/>
              <w:jc w:val="both"/>
              <w:rPr>
                <w:lang w:val="mk-MK"/>
              </w:rPr>
            </w:pPr>
            <w:r>
              <w:rPr>
                <w:lang w:val="mk-MK"/>
              </w:rPr>
              <w:t>2016</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 xml:space="preserve">05.М1 </w:t>
            </w:r>
            <w:r w:rsidRPr="004040E1">
              <w:rPr>
                <w:lang w:val="mk-MK"/>
              </w:rPr>
              <w:t>Спроведување на инцијативата за отворен буџет</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shd w:val="clear" w:color="auto" w:fill="4F81BD" w:themeFill="accent1"/>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3E45E9" w:rsidRDefault="00A90AE5" w:rsidP="00DE1AFF">
            <w:pPr>
              <w:spacing w:after="200" w:line="276" w:lineRule="auto"/>
              <w:jc w:val="both"/>
              <w:rPr>
                <w:lang w:val="mk-MK"/>
              </w:rPr>
            </w:pPr>
            <w:r>
              <w:rPr>
                <w:lang w:val="mk-MK"/>
              </w:rPr>
              <w:t>Крајот на 2015 година</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05.М2</w:t>
            </w:r>
            <w:r w:rsidRPr="00DE1110">
              <w:rPr>
                <w:lang w:val="mk-MK"/>
              </w:rPr>
              <w:t>Јавни набавки</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shd w:val="clear" w:color="auto" w:fill="4F81BD" w:themeFill="accent1"/>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DE1AFF" w:rsidRDefault="00A90AE5" w:rsidP="00DE1AFF">
            <w:pPr>
              <w:spacing w:after="200" w:line="276" w:lineRule="auto"/>
              <w:jc w:val="both"/>
              <w:rPr>
                <w:lang w:val="mk-MK"/>
              </w:rPr>
            </w:pPr>
            <w:r w:rsidRPr="00DE1AFF">
              <w:rPr>
                <w:lang w:val="mk-MK"/>
              </w:rPr>
              <w:t>Крајот на 2015 година</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 xml:space="preserve">05.М3 </w:t>
            </w:r>
            <w:r w:rsidRPr="006855C0">
              <w:rPr>
                <w:lang w:val="mk-MK"/>
              </w:rPr>
              <w:t>Странска помош и странски инвестиции</w:t>
            </w:r>
          </w:p>
        </w:tc>
        <w:tc>
          <w:tcPr>
            <w:tcW w:w="709" w:type="dxa"/>
            <w:shd w:val="clear" w:color="auto" w:fill="4F81BD" w:themeFill="accent1"/>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Default="00A90AE5" w:rsidP="00DE1AFF">
            <w:pPr>
              <w:spacing w:after="200" w:line="276" w:lineRule="auto"/>
              <w:jc w:val="both"/>
              <w:rPr>
                <w:lang w:val="mk-MK"/>
              </w:rPr>
            </w:pPr>
          </w:p>
          <w:p w:rsidR="00A90AE5" w:rsidRPr="00CF5462" w:rsidRDefault="00A90AE5" w:rsidP="00DE1AFF">
            <w:pPr>
              <w:spacing w:after="200" w:line="276" w:lineRule="auto"/>
              <w:jc w:val="both"/>
              <w:rPr>
                <w:lang w:val="mk-MK"/>
              </w:rPr>
            </w:pPr>
            <w:r>
              <w:rPr>
                <w:lang w:val="mk-MK"/>
              </w:rPr>
              <w:t>Крајот на 2016</w:t>
            </w:r>
            <w:r w:rsidRPr="00CF5462">
              <w:rPr>
                <w:lang w:val="mk-MK"/>
              </w:rPr>
              <w:t xml:space="preserve"> година</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06.М1</w:t>
            </w:r>
            <w:r w:rsidRPr="005E62C2">
              <w:rPr>
                <w:lang w:val="mk-MK"/>
              </w:rPr>
              <w:t>Развој на капацитети на локално ниво за примена на механизми за проактивна комуникација со граѓаните</w:t>
            </w:r>
          </w:p>
        </w:tc>
        <w:tc>
          <w:tcPr>
            <w:tcW w:w="709" w:type="dxa"/>
          </w:tcPr>
          <w:p w:rsidR="00A90AE5" w:rsidRPr="00DE1AFF" w:rsidRDefault="00A90AE5" w:rsidP="00DE1AFF">
            <w:pPr>
              <w:spacing w:after="200" w:line="276" w:lineRule="auto"/>
              <w:jc w:val="both"/>
              <w:rPr>
                <w:lang w:val="mk-MK"/>
              </w:rPr>
            </w:pPr>
          </w:p>
        </w:tc>
        <w:tc>
          <w:tcPr>
            <w:tcW w:w="850" w:type="dxa"/>
            <w:shd w:val="clear" w:color="auto" w:fill="FFFFFF" w:themeFill="background1"/>
          </w:tcPr>
          <w:p w:rsidR="00A90AE5" w:rsidRPr="00DE1AFF" w:rsidRDefault="00A90AE5" w:rsidP="00DE1AFF">
            <w:pPr>
              <w:spacing w:after="200" w:line="276" w:lineRule="auto"/>
              <w:jc w:val="both"/>
              <w:rPr>
                <w:lang w:val="mk-MK"/>
              </w:rPr>
            </w:pPr>
          </w:p>
        </w:tc>
        <w:tc>
          <w:tcPr>
            <w:tcW w:w="851" w:type="dxa"/>
            <w:shd w:val="clear" w:color="auto" w:fill="4F81BD" w:themeFill="accent1"/>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4E6F6D" w:rsidRDefault="00A90AE5" w:rsidP="00DE1AFF">
            <w:pPr>
              <w:spacing w:after="200" w:line="276" w:lineRule="auto"/>
              <w:jc w:val="both"/>
              <w:rPr>
                <w:lang w:val="mk-MK"/>
              </w:rPr>
            </w:pPr>
            <w:r>
              <w:rPr>
                <w:lang w:val="mk-MK"/>
              </w:rPr>
              <w:t xml:space="preserve"> Континуирано</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 xml:space="preserve">06.М2 </w:t>
            </w:r>
            <w:r w:rsidRPr="00941D38">
              <w:rPr>
                <w:lang w:val="mk-MK"/>
              </w:rPr>
              <w:t>Воспоставување на електронска платформа (dashboard) со показатели (индикатори) за буџетот и испорачувањето на локални услуги</w:t>
            </w:r>
          </w:p>
        </w:tc>
        <w:tc>
          <w:tcPr>
            <w:tcW w:w="709" w:type="dxa"/>
          </w:tcPr>
          <w:p w:rsidR="00A90AE5" w:rsidRPr="00DE1AFF" w:rsidRDefault="00A90AE5" w:rsidP="00DE1AFF">
            <w:pPr>
              <w:spacing w:after="200" w:line="276" w:lineRule="auto"/>
              <w:jc w:val="both"/>
              <w:rPr>
                <w:lang w:val="mk-MK"/>
              </w:rPr>
            </w:pPr>
          </w:p>
        </w:tc>
        <w:tc>
          <w:tcPr>
            <w:tcW w:w="850" w:type="dxa"/>
            <w:shd w:val="clear" w:color="auto" w:fill="4F81BD" w:themeFill="accent1"/>
          </w:tcPr>
          <w:p w:rsidR="00A90AE5" w:rsidRPr="00DE1AFF" w:rsidRDefault="00A90AE5" w:rsidP="00DE1AFF">
            <w:pPr>
              <w:spacing w:after="200" w:line="276" w:lineRule="auto"/>
              <w:jc w:val="both"/>
              <w:rPr>
                <w:lang w:val="mk-MK"/>
              </w:rPr>
            </w:pPr>
          </w:p>
        </w:tc>
        <w:tc>
          <w:tcPr>
            <w:tcW w:w="851" w:type="dxa"/>
            <w:shd w:val="clear" w:color="auto" w:fill="FFFFFF" w:themeFill="background1"/>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5C76BF" w:rsidRDefault="00A90AE5" w:rsidP="00DE1AFF">
            <w:pPr>
              <w:spacing w:after="200" w:line="276" w:lineRule="auto"/>
              <w:jc w:val="both"/>
              <w:rPr>
                <w:lang w:val="mk-MK"/>
              </w:rPr>
            </w:pPr>
            <w:r>
              <w:rPr>
                <w:lang w:val="mk-MK"/>
              </w:rPr>
              <w:t xml:space="preserve">  Јуни 2016</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lastRenderedPageBreak/>
              <w:t xml:space="preserve">06.М3 </w:t>
            </w:r>
            <w:r w:rsidRPr="00486191">
              <w:rPr>
                <w:lang w:val="mk-MK"/>
              </w:rPr>
              <w:t>Воспоставување на институционални форми на соработка на локалните власти со граѓаните (ГО) заради испорака на квалитетни услуги</w:t>
            </w:r>
          </w:p>
        </w:tc>
        <w:tc>
          <w:tcPr>
            <w:tcW w:w="709" w:type="dxa"/>
          </w:tcPr>
          <w:p w:rsidR="00A90AE5" w:rsidRPr="00DE1AFF" w:rsidRDefault="00A90AE5" w:rsidP="00DE1AFF">
            <w:pPr>
              <w:spacing w:after="200" w:line="276" w:lineRule="auto"/>
              <w:jc w:val="both"/>
              <w:rPr>
                <w:lang w:val="mk-MK"/>
              </w:rPr>
            </w:pPr>
          </w:p>
        </w:tc>
        <w:tc>
          <w:tcPr>
            <w:tcW w:w="850" w:type="dxa"/>
          </w:tcPr>
          <w:p w:rsidR="00A90AE5" w:rsidRPr="00DE1AFF" w:rsidRDefault="00A90AE5" w:rsidP="00DE1AFF">
            <w:pPr>
              <w:spacing w:after="200" w:line="276" w:lineRule="auto"/>
              <w:jc w:val="both"/>
              <w:rPr>
                <w:lang w:val="mk-MK"/>
              </w:rPr>
            </w:pPr>
          </w:p>
        </w:tc>
        <w:tc>
          <w:tcPr>
            <w:tcW w:w="851" w:type="dxa"/>
            <w:shd w:val="clear" w:color="auto" w:fill="4F81BD" w:themeFill="accent1"/>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2E6FFA" w:rsidRDefault="00A90AE5" w:rsidP="00DE1AFF">
            <w:pPr>
              <w:spacing w:after="200" w:line="276" w:lineRule="auto"/>
              <w:jc w:val="both"/>
              <w:rPr>
                <w:lang w:val="mk-MK"/>
              </w:rPr>
            </w:pPr>
            <w:r>
              <w:rPr>
                <w:lang w:val="mk-MK"/>
              </w:rPr>
              <w:t xml:space="preserve"> Јуни 2016</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 xml:space="preserve">06.М4 </w:t>
            </w:r>
            <w:r w:rsidRPr="00C77409">
              <w:rPr>
                <w:lang w:val="mk-MK"/>
              </w:rPr>
              <w:t>Трансформирање на дел од локалните услуги во е-услуги</w:t>
            </w:r>
          </w:p>
        </w:tc>
        <w:tc>
          <w:tcPr>
            <w:tcW w:w="709" w:type="dxa"/>
          </w:tcPr>
          <w:p w:rsidR="00A90AE5" w:rsidRPr="00DE1AFF" w:rsidRDefault="00A90AE5" w:rsidP="00DE1AFF">
            <w:pPr>
              <w:spacing w:after="200" w:line="276" w:lineRule="auto"/>
              <w:jc w:val="both"/>
              <w:rPr>
                <w:lang w:val="mk-MK"/>
              </w:rPr>
            </w:pPr>
          </w:p>
        </w:tc>
        <w:tc>
          <w:tcPr>
            <w:tcW w:w="850" w:type="dxa"/>
            <w:shd w:val="clear" w:color="auto" w:fill="FFFFFF" w:themeFill="background1"/>
          </w:tcPr>
          <w:p w:rsidR="00A90AE5" w:rsidRPr="00DE1AFF" w:rsidRDefault="00A90AE5" w:rsidP="00DE1AFF">
            <w:pPr>
              <w:spacing w:after="200" w:line="276" w:lineRule="auto"/>
              <w:jc w:val="both"/>
              <w:rPr>
                <w:lang w:val="mk-MK"/>
              </w:rPr>
            </w:pPr>
          </w:p>
        </w:tc>
        <w:tc>
          <w:tcPr>
            <w:tcW w:w="851" w:type="dxa"/>
            <w:shd w:val="clear" w:color="auto" w:fill="4F81BD" w:themeFill="accent1"/>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43612D" w:rsidRDefault="00A90AE5" w:rsidP="00DE1AFF">
            <w:pPr>
              <w:spacing w:after="200" w:line="276" w:lineRule="auto"/>
              <w:jc w:val="both"/>
              <w:rPr>
                <w:lang w:val="mk-MK"/>
              </w:rPr>
            </w:pPr>
            <w:r>
              <w:rPr>
                <w:lang w:val="mk-MK"/>
              </w:rPr>
              <w:t xml:space="preserve"> Јуни 2016</w:t>
            </w:r>
          </w:p>
        </w:tc>
      </w:tr>
      <w:tr w:rsidR="00A90AE5" w:rsidRPr="00DE1AFF" w:rsidTr="00E31A1B">
        <w:tc>
          <w:tcPr>
            <w:tcW w:w="3794" w:type="dxa"/>
          </w:tcPr>
          <w:p w:rsidR="00A90AE5" w:rsidRDefault="00A90AE5" w:rsidP="00DE1AFF">
            <w:pPr>
              <w:spacing w:after="200" w:line="276" w:lineRule="auto"/>
              <w:jc w:val="both"/>
              <w:rPr>
                <w:lang w:val="mk-MK"/>
              </w:rPr>
            </w:pPr>
            <w:r>
              <w:rPr>
                <w:lang w:val="mk-MK"/>
              </w:rPr>
              <w:t>06.М5</w:t>
            </w:r>
            <w:r w:rsidRPr="00EA137B">
              <w:rPr>
                <w:lang w:val="mk-MK"/>
              </w:rPr>
              <w:t>Партиципативно креирање политики на локално ниво</w:t>
            </w:r>
          </w:p>
        </w:tc>
        <w:tc>
          <w:tcPr>
            <w:tcW w:w="709" w:type="dxa"/>
          </w:tcPr>
          <w:p w:rsidR="00A90AE5" w:rsidRPr="00DE1AFF" w:rsidRDefault="00A90AE5" w:rsidP="00DE1AFF">
            <w:pPr>
              <w:spacing w:after="200" w:line="276" w:lineRule="auto"/>
              <w:jc w:val="both"/>
              <w:rPr>
                <w:lang w:val="mk-MK"/>
              </w:rPr>
            </w:pPr>
          </w:p>
        </w:tc>
        <w:tc>
          <w:tcPr>
            <w:tcW w:w="850" w:type="dxa"/>
            <w:shd w:val="clear" w:color="auto" w:fill="4F81BD" w:themeFill="accent1"/>
          </w:tcPr>
          <w:p w:rsidR="00A90AE5" w:rsidRPr="00DE1AFF" w:rsidRDefault="00A90AE5" w:rsidP="00DE1AFF">
            <w:pPr>
              <w:spacing w:after="200" w:line="276" w:lineRule="auto"/>
              <w:jc w:val="both"/>
              <w:rPr>
                <w:lang w:val="mk-MK"/>
              </w:rPr>
            </w:pPr>
          </w:p>
        </w:tc>
        <w:tc>
          <w:tcPr>
            <w:tcW w:w="851" w:type="dxa"/>
          </w:tcPr>
          <w:p w:rsidR="00A90AE5" w:rsidRPr="00DE1AFF" w:rsidRDefault="00A90AE5" w:rsidP="00DE1AFF">
            <w:pPr>
              <w:spacing w:after="200" w:line="276" w:lineRule="auto"/>
              <w:jc w:val="both"/>
              <w:rPr>
                <w:lang w:val="mk-MK"/>
              </w:rPr>
            </w:pPr>
          </w:p>
        </w:tc>
        <w:tc>
          <w:tcPr>
            <w:tcW w:w="708" w:type="dxa"/>
          </w:tcPr>
          <w:p w:rsidR="00A90AE5" w:rsidRPr="00DE1AFF" w:rsidRDefault="00A90AE5" w:rsidP="00DE1AFF">
            <w:pPr>
              <w:spacing w:after="200" w:line="276" w:lineRule="auto"/>
              <w:jc w:val="both"/>
              <w:rPr>
                <w:lang w:val="mk-MK"/>
              </w:rPr>
            </w:pPr>
          </w:p>
        </w:tc>
        <w:tc>
          <w:tcPr>
            <w:tcW w:w="2694" w:type="dxa"/>
          </w:tcPr>
          <w:p w:rsidR="00A90AE5" w:rsidRPr="00AE7BEE" w:rsidRDefault="00A90AE5" w:rsidP="00DE1AFF">
            <w:pPr>
              <w:spacing w:after="200" w:line="276" w:lineRule="auto"/>
              <w:jc w:val="both"/>
              <w:rPr>
                <w:lang w:val="mk-MK"/>
              </w:rPr>
            </w:pPr>
            <w:r>
              <w:rPr>
                <w:lang w:val="mk-MK"/>
              </w:rPr>
              <w:t>Континуирано</w:t>
            </w:r>
          </w:p>
        </w:tc>
      </w:tr>
    </w:tbl>
    <w:p w:rsidR="00E63737" w:rsidRDefault="00E63737" w:rsidP="00DE1AFF">
      <w:pPr>
        <w:jc w:val="both"/>
        <w:rPr>
          <w:lang w:val="mk-MK"/>
        </w:rPr>
      </w:pPr>
    </w:p>
    <w:p w:rsidR="004806AC" w:rsidRDefault="004806AC" w:rsidP="00DE1AFF">
      <w:pPr>
        <w:jc w:val="both"/>
        <w:rPr>
          <w:lang w:val="mk-MK"/>
        </w:rPr>
      </w:pPr>
    </w:p>
    <w:p w:rsidR="004806AC" w:rsidRDefault="004806AC" w:rsidP="00DE1AFF">
      <w:pPr>
        <w:jc w:val="both"/>
        <w:rPr>
          <w:lang w:val="mk-MK"/>
        </w:rPr>
      </w:pPr>
    </w:p>
    <w:p w:rsidR="004806AC" w:rsidRPr="004806AC" w:rsidRDefault="004806AC" w:rsidP="004806AC">
      <w:pPr>
        <w:pStyle w:val="ListParagraph"/>
        <w:numPr>
          <w:ilvl w:val="0"/>
          <w:numId w:val="1"/>
        </w:numPr>
        <w:spacing w:after="0" w:line="240" w:lineRule="auto"/>
        <w:jc w:val="both"/>
        <w:rPr>
          <w:b/>
          <w:lang w:val="mk-MK"/>
        </w:rPr>
      </w:pPr>
      <w:r w:rsidRPr="004806AC">
        <w:rPr>
          <w:b/>
          <w:lang w:val="mk-MK"/>
        </w:rPr>
        <w:t>Заклучок, други иницијативи и следни чекори</w:t>
      </w:r>
    </w:p>
    <w:p w:rsidR="004806AC" w:rsidRPr="00194B1B" w:rsidRDefault="004806AC" w:rsidP="004806AC">
      <w:pPr>
        <w:spacing w:after="0" w:line="240" w:lineRule="auto"/>
        <w:jc w:val="both"/>
        <w:rPr>
          <w:lang w:val="mk-MK"/>
        </w:rPr>
      </w:pPr>
    </w:p>
    <w:p w:rsidR="004806AC" w:rsidRPr="00E43293" w:rsidRDefault="004806AC" w:rsidP="004806AC">
      <w:pPr>
        <w:pStyle w:val="ListParagraph"/>
        <w:spacing w:after="0" w:line="240" w:lineRule="auto"/>
        <w:jc w:val="both"/>
      </w:pPr>
      <w:r>
        <w:rPr>
          <w:lang w:val="mk-MK"/>
        </w:rPr>
        <w:t xml:space="preserve">Во целина како заклучок добро е да се потенција дека сме задоволстволни на кој начин беше развиен и како во првата година се имплементираа мерките од  Акцискиот план </w:t>
      </w:r>
      <w:r w:rsidRPr="00ED53FD">
        <w:rPr>
          <w:lang w:val="mk-MK"/>
        </w:rPr>
        <w:t>за отворено Владино партнерство</w:t>
      </w:r>
      <w:r>
        <w:rPr>
          <w:lang w:val="mk-MK"/>
        </w:rPr>
        <w:t xml:space="preserve"> за  2014-2016 година</w:t>
      </w:r>
      <w:r w:rsidRPr="00E43293">
        <w:rPr>
          <w:lang w:val="mk-MK"/>
        </w:rPr>
        <w:t xml:space="preserve">.Искуството стекнато од првиот акциски план, препораките од независниот механизам за известување, директниот контакт со преставниците на </w:t>
      </w:r>
      <w:r>
        <w:rPr>
          <w:lang w:val="mk-MK"/>
        </w:rPr>
        <w:t>граѓанскиот</w:t>
      </w:r>
      <w:r w:rsidRPr="00E43293">
        <w:rPr>
          <w:lang w:val="mk-MK"/>
        </w:rPr>
        <w:t xml:space="preserve"> сектор и вклученоста на релевантните владини институциии овозможија да ја унапредиме нашата работа и квалитетот на документот кој во моментов се имплементира.</w:t>
      </w:r>
    </w:p>
    <w:p w:rsidR="004806AC" w:rsidRDefault="004806AC" w:rsidP="004806AC">
      <w:pPr>
        <w:pStyle w:val="ListParagraph"/>
        <w:spacing w:after="0" w:line="240" w:lineRule="auto"/>
        <w:jc w:val="both"/>
        <w:rPr>
          <w:lang w:val="mk-MK"/>
        </w:rPr>
      </w:pPr>
    </w:p>
    <w:p w:rsidR="004806AC" w:rsidRPr="0079676F" w:rsidRDefault="004806AC" w:rsidP="004806AC">
      <w:pPr>
        <w:pStyle w:val="ListParagraph"/>
        <w:spacing w:after="0" w:line="240" w:lineRule="auto"/>
        <w:jc w:val="both"/>
        <w:rPr>
          <w:lang w:val="mk-MK"/>
        </w:rPr>
      </w:pPr>
      <w:r>
        <w:rPr>
          <w:lang w:val="mk-MK"/>
        </w:rPr>
        <w:t xml:space="preserve">Среднорочната самооценката покажа дека дел од мерките во поединечните приоритети не се целосно реализирани но сепак може да се контатира дека има значаен напредок во постигнување на целите утвдени во акцискиот план. </w:t>
      </w:r>
      <w:r w:rsidRPr="0079676F">
        <w:rPr>
          <w:lang w:val="mk-MK"/>
        </w:rPr>
        <w:t xml:space="preserve">Имајќи во предвид </w:t>
      </w:r>
      <w:r>
        <w:rPr>
          <w:lang w:val="mk-MK"/>
        </w:rPr>
        <w:t xml:space="preserve">дека </w:t>
      </w:r>
      <w:r w:rsidRPr="0079676F">
        <w:rPr>
          <w:lang w:val="mk-MK"/>
        </w:rPr>
        <w:t xml:space="preserve">на крајот на оваа годината влегуваме во нов циклус на подготовки за третиот национален акциски план важно е да се каже дека  Владата останува посветена заедно со преставниците на </w:t>
      </w:r>
      <w:r>
        <w:rPr>
          <w:lang w:val="mk-MK"/>
        </w:rPr>
        <w:t>граѓанскиот</w:t>
      </w:r>
      <w:r w:rsidRPr="0079676F">
        <w:rPr>
          <w:lang w:val="mk-MK"/>
        </w:rPr>
        <w:t xml:space="preserve"> сектор да направи повеќе за отвореното владино партнерство. </w:t>
      </w:r>
    </w:p>
    <w:p w:rsidR="004806AC" w:rsidRPr="0079676F" w:rsidRDefault="004806AC" w:rsidP="004806AC">
      <w:pPr>
        <w:spacing w:after="0" w:line="240" w:lineRule="auto"/>
        <w:jc w:val="both"/>
        <w:rPr>
          <w:lang w:val="mk-MK"/>
        </w:rPr>
      </w:pPr>
    </w:p>
    <w:p w:rsidR="004806AC" w:rsidRDefault="004806AC" w:rsidP="004806AC">
      <w:pPr>
        <w:pStyle w:val="ListParagraph"/>
        <w:spacing w:after="0" w:line="240" w:lineRule="auto"/>
        <w:jc w:val="both"/>
        <w:rPr>
          <w:lang w:val="mk-MK"/>
        </w:rPr>
      </w:pPr>
      <w:r w:rsidRPr="00D34076">
        <w:rPr>
          <w:lang w:val="mk-MK"/>
        </w:rPr>
        <w:t xml:space="preserve">Нашиот следен </w:t>
      </w:r>
      <w:r>
        <w:rPr>
          <w:lang w:val="mk-MK"/>
        </w:rPr>
        <w:t xml:space="preserve">акциски план </w:t>
      </w:r>
      <w:r w:rsidRPr="00D34076">
        <w:rPr>
          <w:lang w:val="mk-MK"/>
        </w:rPr>
        <w:t xml:space="preserve">треба да биде објавен во </w:t>
      </w:r>
      <w:r>
        <w:rPr>
          <w:lang w:val="mk-MK"/>
        </w:rPr>
        <w:t>јуни</w:t>
      </w:r>
      <w:r w:rsidRPr="00D34076">
        <w:rPr>
          <w:lang w:val="mk-MK"/>
        </w:rPr>
        <w:t xml:space="preserve"> 2016 година</w:t>
      </w:r>
      <w:r>
        <w:rPr>
          <w:lang w:val="mk-MK"/>
        </w:rPr>
        <w:t>,па оттука И</w:t>
      </w:r>
      <w:r w:rsidRPr="00D34076">
        <w:rPr>
          <w:lang w:val="mk-MK"/>
        </w:rPr>
        <w:t>звештај</w:t>
      </w:r>
      <w:r>
        <w:rPr>
          <w:lang w:val="mk-MK"/>
        </w:rPr>
        <w:t xml:space="preserve">от и препораките </w:t>
      </w:r>
      <w:r w:rsidRPr="00E43293">
        <w:rPr>
          <w:lang w:val="mk-MK"/>
        </w:rPr>
        <w:t>од независниот механизам за известување</w:t>
      </w:r>
      <w:r>
        <w:rPr>
          <w:lang w:val="mk-MK"/>
        </w:rPr>
        <w:t xml:space="preserve"> кој се очекува да бид</w:t>
      </w:r>
      <w:r>
        <w:t>e</w:t>
      </w:r>
      <w:r>
        <w:rPr>
          <w:lang w:val="mk-MK"/>
        </w:rPr>
        <w:t xml:space="preserve"> објавен на крајот на годината, резултатите од имплементацијата на тековниот план и резултатите од планираните работни средби со преставниците од владиниот и  граѓанскиот сектор </w:t>
      </w:r>
      <w:r w:rsidRPr="00D34076">
        <w:rPr>
          <w:lang w:val="mk-MK"/>
        </w:rPr>
        <w:t>ќе ни помог</w:t>
      </w:r>
      <w:r>
        <w:rPr>
          <w:lang w:val="mk-MK"/>
        </w:rPr>
        <w:t xml:space="preserve">нат за унапредување на целите и посветеноста за </w:t>
      </w:r>
      <w:r w:rsidRPr="00D34076">
        <w:rPr>
          <w:lang w:val="mk-MK"/>
        </w:rPr>
        <w:t xml:space="preserve">отворена влада во </w:t>
      </w:r>
      <w:r>
        <w:rPr>
          <w:lang w:val="mk-MK"/>
        </w:rPr>
        <w:t>Република Македонија.</w:t>
      </w:r>
    </w:p>
    <w:p w:rsidR="004806AC" w:rsidRPr="00E63737" w:rsidRDefault="004806AC" w:rsidP="00DE1AFF">
      <w:pPr>
        <w:jc w:val="both"/>
        <w:rPr>
          <w:lang w:val="mk-MK"/>
        </w:rPr>
      </w:pPr>
    </w:p>
    <w:sectPr w:rsidR="004806AC" w:rsidRPr="00E63737" w:rsidSect="00295DA5">
      <w:pgSz w:w="12240" w:h="15840"/>
      <w:pgMar w:top="1418" w:right="873" w:bottom="1418" w:left="87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tobiSerifPro">
    <w:panose1 w:val="02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4CA"/>
    <w:multiLevelType w:val="hybridMultilevel"/>
    <w:tmpl w:val="4C2E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65904"/>
    <w:multiLevelType w:val="hybridMultilevel"/>
    <w:tmpl w:val="2772B36E"/>
    <w:lvl w:ilvl="0" w:tplc="0409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
    <w:nsid w:val="07877837"/>
    <w:multiLevelType w:val="hybridMultilevel"/>
    <w:tmpl w:val="B434B2D2"/>
    <w:lvl w:ilvl="0" w:tplc="D5F805E0">
      <w:numFmt w:val="bullet"/>
      <w:lvlText w:val="-"/>
      <w:lvlJc w:val="left"/>
      <w:pPr>
        <w:ind w:left="360" w:hanging="360"/>
      </w:pPr>
      <w:rPr>
        <w:rFonts w:ascii="Arial Narrow" w:eastAsia="Times New Roman" w:hAnsi="Arial Narrow" w:cs="Times New Roman"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3">
    <w:nsid w:val="1AAC73F5"/>
    <w:multiLevelType w:val="hybridMultilevel"/>
    <w:tmpl w:val="41A49E46"/>
    <w:lvl w:ilvl="0" w:tplc="0409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1FD56743"/>
    <w:multiLevelType w:val="hybridMultilevel"/>
    <w:tmpl w:val="715AF1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B01BBD"/>
    <w:multiLevelType w:val="hybridMultilevel"/>
    <w:tmpl w:val="7AAEEFE0"/>
    <w:lvl w:ilvl="0" w:tplc="042F000F">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6">
    <w:nsid w:val="41C722DA"/>
    <w:multiLevelType w:val="hybridMultilevel"/>
    <w:tmpl w:val="69E63576"/>
    <w:lvl w:ilvl="0" w:tplc="3CBA33FA">
      <w:start w:val="5"/>
      <w:numFmt w:val="bullet"/>
      <w:lvlText w:val="-"/>
      <w:lvlJc w:val="left"/>
      <w:pPr>
        <w:ind w:left="720" w:hanging="360"/>
      </w:pPr>
      <w:rPr>
        <w:rFonts w:ascii="Calibri" w:eastAsia="Times New Roman"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47DF060A"/>
    <w:multiLevelType w:val="hybridMultilevel"/>
    <w:tmpl w:val="D5B07BBC"/>
    <w:lvl w:ilvl="0" w:tplc="0409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49DA64E3"/>
    <w:multiLevelType w:val="hybridMultilevel"/>
    <w:tmpl w:val="3C54D550"/>
    <w:lvl w:ilvl="0" w:tplc="E1725B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8167D7"/>
    <w:multiLevelType w:val="hybridMultilevel"/>
    <w:tmpl w:val="C06A567E"/>
    <w:lvl w:ilvl="0" w:tplc="0409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683224FA"/>
    <w:multiLevelType w:val="hybridMultilevel"/>
    <w:tmpl w:val="08202B16"/>
    <w:lvl w:ilvl="0" w:tplc="0409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6C606388"/>
    <w:multiLevelType w:val="hybridMultilevel"/>
    <w:tmpl w:val="68448546"/>
    <w:lvl w:ilvl="0" w:tplc="0409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6F927B88"/>
    <w:multiLevelType w:val="hybridMultilevel"/>
    <w:tmpl w:val="EE2A6862"/>
    <w:lvl w:ilvl="0" w:tplc="461288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4F6EB5"/>
    <w:multiLevelType w:val="hybridMultilevel"/>
    <w:tmpl w:val="4C2E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CF476C"/>
    <w:multiLevelType w:val="hybridMultilevel"/>
    <w:tmpl w:val="750837A2"/>
    <w:lvl w:ilvl="0" w:tplc="461288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8"/>
  </w:num>
  <w:num w:numId="5">
    <w:abstractNumId w:val="5"/>
  </w:num>
  <w:num w:numId="6">
    <w:abstractNumId w:val="6"/>
  </w:num>
  <w:num w:numId="7">
    <w:abstractNumId w:val="14"/>
  </w:num>
  <w:num w:numId="8">
    <w:abstractNumId w:val="7"/>
  </w:num>
  <w:num w:numId="9">
    <w:abstractNumId w:val="10"/>
  </w:num>
  <w:num w:numId="10">
    <w:abstractNumId w:val="9"/>
  </w:num>
  <w:num w:numId="11">
    <w:abstractNumId w:val="1"/>
  </w:num>
  <w:num w:numId="12">
    <w:abstractNumId w:val="3"/>
  </w:num>
  <w:num w:numId="13">
    <w:abstractNumId w:val="11"/>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compat/>
  <w:rsids>
    <w:rsidRoot w:val="00295DA5"/>
    <w:rsid w:val="00193A84"/>
    <w:rsid w:val="001F338C"/>
    <w:rsid w:val="00211FD7"/>
    <w:rsid w:val="002133FA"/>
    <w:rsid w:val="00295DA5"/>
    <w:rsid w:val="002A70B2"/>
    <w:rsid w:val="002F1864"/>
    <w:rsid w:val="00381F72"/>
    <w:rsid w:val="003D2AC7"/>
    <w:rsid w:val="00400280"/>
    <w:rsid w:val="004421B1"/>
    <w:rsid w:val="004806AC"/>
    <w:rsid w:val="00484287"/>
    <w:rsid w:val="00494AFE"/>
    <w:rsid w:val="004A0125"/>
    <w:rsid w:val="004A43B6"/>
    <w:rsid w:val="0055737A"/>
    <w:rsid w:val="005909F7"/>
    <w:rsid w:val="005B7A34"/>
    <w:rsid w:val="005D16EC"/>
    <w:rsid w:val="00636565"/>
    <w:rsid w:val="006438AE"/>
    <w:rsid w:val="00711DC1"/>
    <w:rsid w:val="00743D00"/>
    <w:rsid w:val="007816B7"/>
    <w:rsid w:val="00787DEE"/>
    <w:rsid w:val="007E3EF1"/>
    <w:rsid w:val="00852AE9"/>
    <w:rsid w:val="0086333C"/>
    <w:rsid w:val="009503F1"/>
    <w:rsid w:val="00983839"/>
    <w:rsid w:val="009C7763"/>
    <w:rsid w:val="00A21C16"/>
    <w:rsid w:val="00A7083F"/>
    <w:rsid w:val="00A90AE5"/>
    <w:rsid w:val="00AB5DC7"/>
    <w:rsid w:val="00B13922"/>
    <w:rsid w:val="00B37EA3"/>
    <w:rsid w:val="00B40D33"/>
    <w:rsid w:val="00B62599"/>
    <w:rsid w:val="00BE7E08"/>
    <w:rsid w:val="00C45916"/>
    <w:rsid w:val="00C5008F"/>
    <w:rsid w:val="00C63F1A"/>
    <w:rsid w:val="00C77603"/>
    <w:rsid w:val="00CE2A38"/>
    <w:rsid w:val="00CF119B"/>
    <w:rsid w:val="00DB16A5"/>
    <w:rsid w:val="00DD0137"/>
    <w:rsid w:val="00DE1AFF"/>
    <w:rsid w:val="00E31A1B"/>
    <w:rsid w:val="00E63737"/>
    <w:rsid w:val="00E96342"/>
    <w:rsid w:val="00EA3C32"/>
    <w:rsid w:val="00EF52B6"/>
    <w:rsid w:val="00F07679"/>
    <w:rsid w:val="00F66E31"/>
    <w:rsid w:val="00F80806"/>
    <w:rsid w:val="00FA42AE"/>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A5"/>
    <w:pPr>
      <w:ind w:left="720"/>
      <w:contextualSpacing/>
    </w:pPr>
  </w:style>
  <w:style w:type="character" w:styleId="Hyperlink">
    <w:name w:val="Hyperlink"/>
    <w:basedOn w:val="DefaultParagraphFont"/>
    <w:uiPriority w:val="99"/>
    <w:rsid w:val="00295DA5"/>
    <w:rPr>
      <w:color w:val="0000FF"/>
      <w:u w:val="single"/>
    </w:rPr>
  </w:style>
  <w:style w:type="paragraph" w:styleId="BalloonText">
    <w:name w:val="Balloon Text"/>
    <w:basedOn w:val="Normal"/>
    <w:link w:val="BalloonTextChar"/>
    <w:uiPriority w:val="99"/>
    <w:semiHidden/>
    <w:unhideWhenUsed/>
    <w:rsid w:val="00295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DA5"/>
    <w:rPr>
      <w:rFonts w:ascii="Tahoma" w:hAnsi="Tahoma" w:cs="Tahoma"/>
      <w:sz w:val="16"/>
      <w:szCs w:val="16"/>
    </w:rPr>
  </w:style>
  <w:style w:type="table" w:styleId="TableGrid">
    <w:name w:val="Table Grid"/>
    <w:basedOn w:val="TableNormal"/>
    <w:uiPriority w:val="59"/>
    <w:rsid w:val="00A90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787DEE"/>
    <w:pPr>
      <w:autoSpaceDE w:val="0"/>
      <w:autoSpaceDN w:val="0"/>
      <w:adjustRightInd w:val="0"/>
      <w:spacing w:before="70" w:after="70" w:line="240" w:lineRule="auto"/>
      <w:ind w:left="1843" w:hanging="1843"/>
    </w:pPr>
    <w:rPr>
      <w:rFonts w:ascii="Arial" w:eastAsia="Times New Roman" w:hAnsi="Arial" w:cs="Times New Roman"/>
      <w:sz w:val="16"/>
      <w:szCs w:val="16"/>
      <w:lang w:val="en-GB" w:eastAsia="en-GB"/>
    </w:rPr>
  </w:style>
  <w:style w:type="character" w:customStyle="1" w:styleId="PlainTextChar">
    <w:name w:val="Plain Text Char"/>
    <w:basedOn w:val="DefaultParagraphFont"/>
    <w:link w:val="PlainText"/>
    <w:uiPriority w:val="99"/>
    <w:rsid w:val="00787DEE"/>
    <w:rPr>
      <w:rFonts w:ascii="Arial" w:eastAsia="Times New Roman" w:hAnsi="Arial" w:cs="Times New Roman"/>
      <w:sz w:val="16"/>
      <w:szCs w:val="16"/>
      <w:lang w:val="en-GB" w:eastAsia="en-GB"/>
    </w:rPr>
  </w:style>
  <w:style w:type="paragraph" w:customStyle="1" w:styleId="Default">
    <w:name w:val="Default"/>
    <w:rsid w:val="00787DEE"/>
    <w:pPr>
      <w:autoSpaceDE w:val="0"/>
      <w:autoSpaceDN w:val="0"/>
      <w:adjustRightInd w:val="0"/>
      <w:spacing w:after="0" w:line="240" w:lineRule="auto"/>
    </w:pPr>
    <w:rPr>
      <w:rFonts w:ascii="Arial" w:eastAsia="Times New Roman" w:hAnsi="Arial" w:cs="Arial"/>
      <w:color w:val="000000"/>
      <w:sz w:val="24"/>
      <w:szCs w:val="24"/>
      <w:lang w:val="mk-MK"/>
    </w:rPr>
  </w:style>
  <w:style w:type="paragraph" w:customStyle="1" w:styleId="DefaultStyle">
    <w:name w:val="Default Style"/>
    <w:rsid w:val="006438AE"/>
    <w:pPr>
      <w:suppressAutoHyphens/>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A5"/>
    <w:pPr>
      <w:ind w:left="720"/>
      <w:contextualSpacing/>
    </w:pPr>
  </w:style>
  <w:style w:type="character" w:styleId="Hyperlink">
    <w:name w:val="Hyperlink"/>
    <w:basedOn w:val="DefaultParagraphFont"/>
    <w:uiPriority w:val="99"/>
    <w:rsid w:val="00295DA5"/>
    <w:rPr>
      <w:color w:val="0000FF"/>
      <w:u w:val="single"/>
    </w:rPr>
  </w:style>
  <w:style w:type="paragraph" w:styleId="BalloonText">
    <w:name w:val="Balloon Text"/>
    <w:basedOn w:val="Normal"/>
    <w:link w:val="BalloonTextChar"/>
    <w:uiPriority w:val="99"/>
    <w:semiHidden/>
    <w:unhideWhenUsed/>
    <w:rsid w:val="00295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DA5"/>
    <w:rPr>
      <w:rFonts w:ascii="Tahoma" w:hAnsi="Tahoma" w:cs="Tahoma"/>
      <w:sz w:val="16"/>
      <w:szCs w:val="16"/>
    </w:rPr>
  </w:style>
  <w:style w:type="table" w:styleId="TableGrid">
    <w:name w:val="Table Grid"/>
    <w:basedOn w:val="TableNormal"/>
    <w:uiPriority w:val="59"/>
    <w:rsid w:val="00A90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787DEE"/>
    <w:pPr>
      <w:autoSpaceDE w:val="0"/>
      <w:autoSpaceDN w:val="0"/>
      <w:adjustRightInd w:val="0"/>
      <w:spacing w:before="70" w:after="70" w:line="240" w:lineRule="auto"/>
      <w:ind w:left="1843" w:hanging="1843"/>
    </w:pPr>
    <w:rPr>
      <w:rFonts w:ascii="Arial" w:eastAsia="Times New Roman" w:hAnsi="Arial" w:cs="Times New Roman"/>
      <w:sz w:val="16"/>
      <w:szCs w:val="16"/>
      <w:lang w:val="en-GB" w:eastAsia="en-GB"/>
    </w:rPr>
  </w:style>
  <w:style w:type="character" w:customStyle="1" w:styleId="PlainTextChar">
    <w:name w:val="Plain Text Char"/>
    <w:basedOn w:val="DefaultParagraphFont"/>
    <w:link w:val="PlainText"/>
    <w:uiPriority w:val="99"/>
    <w:rsid w:val="00787DEE"/>
    <w:rPr>
      <w:rFonts w:ascii="Arial" w:eastAsia="Times New Roman" w:hAnsi="Arial" w:cs="Times New Roman"/>
      <w:sz w:val="16"/>
      <w:szCs w:val="16"/>
      <w:lang w:val="en-GB" w:eastAsia="en-GB"/>
    </w:rPr>
  </w:style>
  <w:style w:type="paragraph" w:customStyle="1" w:styleId="Default">
    <w:name w:val="Default"/>
    <w:rsid w:val="00787DEE"/>
    <w:pPr>
      <w:autoSpaceDE w:val="0"/>
      <w:autoSpaceDN w:val="0"/>
      <w:adjustRightInd w:val="0"/>
      <w:spacing w:after="0" w:line="240" w:lineRule="auto"/>
    </w:pPr>
    <w:rPr>
      <w:rFonts w:ascii="Arial" w:eastAsia="Times New Roman" w:hAnsi="Arial" w:cs="Arial"/>
      <w:color w:val="000000"/>
      <w:sz w:val="24"/>
      <w:szCs w:val="24"/>
      <w:lang w:val="mk-MK"/>
    </w:rPr>
  </w:style>
  <w:style w:type="paragraph" w:customStyle="1" w:styleId="DefaultStyle">
    <w:name w:val="Default Style"/>
    <w:rsid w:val="006438AE"/>
    <w:pPr>
      <w:suppressAutoHyphens/>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dana.dimitrovska@mioa.gov.mk" TargetMode="External"/><Relationship Id="rId13" Type="http://schemas.openxmlformats.org/officeDocument/2006/relationships/hyperlink" Target="http://www.ogledalonavladata.mk/images/docs/publikacii/analiza-ogledalo-na-vladata-2014.pdf" TargetMode="External"/><Relationship Id="rId18" Type="http://schemas.openxmlformats.org/officeDocument/2006/relationships/hyperlink" Target="http://www.otvorenipodatoci.gov.m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omspi@komspi.mk" TargetMode="External"/><Relationship Id="rId7" Type="http://schemas.openxmlformats.org/officeDocument/2006/relationships/hyperlink" Target="http://e-demokratija.mk/sd_administracija/-/document_library_display/4ugU/view/170268/5502?_110_INSTANCE_4ugU_redirect=http%3A%2F%2Fe-demokratija.mk%2Fsd_administracija%2F" TargetMode="External"/><Relationship Id="rId12" Type="http://schemas.openxmlformats.org/officeDocument/2006/relationships/hyperlink" Target="http://www.ogledalonavladata.mk/index.php/vesti/sledenje-na-ener/kvartalen-izvestaj.html" TargetMode="External"/><Relationship Id="rId17" Type="http://schemas.openxmlformats.org/officeDocument/2006/relationships/hyperlink" Target="http://www.otvorenipodatoci.gov.m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ladimir.radosavljevik@mioa.gov.mk" TargetMode="External"/><Relationship Id="rId20" Type="http://schemas.openxmlformats.org/officeDocument/2006/relationships/hyperlink" Target="http://www.otvorenipodatoci.gov.mk/Templates/Pages/NewCatalogPage.aspx?page=37"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ogledalonavladata.mk/index.php/vesti/sledenje-na-ener/mesechen-pregled.html" TargetMode="External"/><Relationship Id="rId24" Type="http://schemas.openxmlformats.org/officeDocument/2006/relationships/hyperlink" Target="http://www.moja-opstina.mk/" TargetMode="External"/><Relationship Id="rId5" Type="http://schemas.openxmlformats.org/officeDocument/2006/relationships/webSettings" Target="webSettings.xml"/><Relationship Id="rId15" Type="http://schemas.openxmlformats.org/officeDocument/2006/relationships/hyperlink" Target="mailto:Nadica.Josifovski@mioa.gov.mk" TargetMode="External"/><Relationship Id="rId23" Type="http://schemas.openxmlformats.org/officeDocument/2006/relationships/hyperlink" Target="mailto:oliverserafimovski@komspi.mk" TargetMode="External"/><Relationship Id="rId10" Type="http://schemas.openxmlformats.org/officeDocument/2006/relationships/hyperlink" Target="http://www.ogledalonavladata.mk/index.php/vesti/sledenje-na-ener/nedelen-pregled.html" TargetMode="External"/><Relationship Id="rId19" Type="http://schemas.openxmlformats.org/officeDocument/2006/relationships/hyperlink" Target="http://www.otvorenipodatoci.gov.mk" TargetMode="External"/><Relationship Id="rId4" Type="http://schemas.openxmlformats.org/officeDocument/2006/relationships/settings" Target="settings.xml"/><Relationship Id="rId9" Type="http://schemas.openxmlformats.org/officeDocument/2006/relationships/hyperlink" Target="mailto:Vesna.vasileva@gs.gov.mk" TargetMode="External"/><Relationship Id="rId14" Type="http://schemas.openxmlformats.org/officeDocument/2006/relationships/hyperlink" Target="mailto:Filip.manevski@mioa.gov.mk" TargetMode="External"/><Relationship Id="rId22" Type="http://schemas.openxmlformats.org/officeDocument/2006/relationships/hyperlink" Target="mailto:pecetashevski@komspi.mk"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E74E1-55FF-4DE1-B953-E376255E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16813</Words>
  <Characters>95837</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gordana.dimitrovska</dc:creator>
  <cp:lastModifiedBy>Karina Donevska</cp:lastModifiedBy>
  <cp:revision>2</cp:revision>
  <dcterms:created xsi:type="dcterms:W3CDTF">2015-10-05T08:21:00Z</dcterms:created>
  <dcterms:modified xsi:type="dcterms:W3CDTF">2015-10-05T08:21:00Z</dcterms:modified>
</cp:coreProperties>
</file>